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50A8B" w:rsidP="00A50A8B" w:rsidRDefault="00A50A8B" w14:paraId="6DF96A72" w14:textId="4808B144">
      <w:pPr>
        <w:pStyle w:val="OMBInfo"/>
      </w:pPr>
      <w:r>
        <w:t xml:space="preserve">OMB No. 0925-0001 and 0925-0002 (Rev. </w:t>
      </w:r>
      <w:r w:rsidR="00202565">
        <w:t>10/2021</w:t>
      </w:r>
      <w:r w:rsidRPr="007E6E1E" w:rsidR="007E6E1E">
        <w:t xml:space="preserve"> </w:t>
      </w:r>
      <w:r>
        <w:t xml:space="preserve">Approved Through </w:t>
      </w:r>
      <w:r w:rsidR="00202565">
        <w:t>09/30/2024</w:t>
      </w:r>
      <w:r>
        <w:t>)</w:t>
      </w:r>
    </w:p>
    <w:p w:rsidRPr="006E6FB5" w:rsidR="002B7443" w:rsidP="006E6FB5" w:rsidRDefault="002B7443" w14:paraId="48D07FF5" w14:textId="77777777">
      <w:pPr>
        <w:pStyle w:val="Title"/>
      </w:pPr>
      <w:r w:rsidRPr="006E6FB5">
        <w:t>BIOGRAPHICAL SKETCH</w:t>
      </w:r>
    </w:p>
    <w:p w:rsidRPr="00F7284D" w:rsidR="002B7443" w:rsidP="7BE4DEDA" w:rsidRDefault="002B7443" w14:textId="7EDF005C" w14:paraId="6D34BF25">
      <w:pPr>
        <w:pStyle w:val="HeadingNote"/>
        <w:rPr>
          <w:b w:val="1"/>
          <w:bCs w:val="1"/>
        </w:rPr>
      </w:pPr>
      <w:r w:rsidRPr="00F7284D" w:rsidR="002B7443">
        <w:rPr/>
        <w:t>Provide the following information for the Senior/key personnel and other significant contributors.</w:t>
      </w:r>
    </w:p>
    <w:p w:rsidRPr="00F7284D" w:rsidR="002B7443" w:rsidP="7BE4DEDA" w:rsidRDefault="002B7443" w14:paraId="01C9B6C5" w14:textId="7EDF005C">
      <w:pPr>
        <w:pStyle w:val="HeadingNote"/>
        <w:rPr>
          <w:b w:val="1"/>
          <w:bCs w:val="1"/>
        </w:rPr>
      </w:pPr>
      <w:r w:rsidRPr="00F7284D" w:rsidR="002B7443">
        <w:rPr/>
        <w:t xml:space="preserve">Follow this format for each person.  </w:t>
      </w:r>
      <w:r w:rsidRPr="7BE4DEDA" w:rsidR="002B7443">
        <w:rPr>
          <w:b w:val="1"/>
          <w:bCs w:val="1"/>
        </w:rPr>
        <w:t xml:space="preserve">DO NOT EXCEED </w:t>
      </w:r>
      <w:r w:rsidRPr="7BE4DEDA" w:rsidR="002B7443">
        <w:rPr>
          <w:b w:val="1"/>
          <w:bCs w:val="1"/>
        </w:rPr>
        <w:t>FIVE</w:t>
      </w:r>
      <w:r w:rsidRPr="7BE4DEDA" w:rsidR="002B7443">
        <w:rPr>
          <w:b w:val="1"/>
          <w:bCs w:val="1"/>
        </w:rPr>
        <w:t xml:space="preserve"> PAGES.</w:t>
      </w:r>
    </w:p>
    <w:p w:rsidRPr="00D3779E" w:rsidR="002B7443" w:rsidP="7BE4DEDA" w:rsidRDefault="002B7443" w14:paraId="4F46CDBB" w14:textId="30BDBAF9">
      <w:pPr>
        <w:pStyle w:val="FormFieldCaption1"/>
        <w:pBdr>
          <w:between w:val="single" w:color="auto" w:sz="4" w:space="1"/>
        </w:pBdr>
        <w:rPr>
          <w:sz w:val="32"/>
          <w:szCs w:val="32"/>
        </w:rPr>
      </w:pPr>
      <w:r w:rsidRPr="7BE4DEDA" w:rsidR="002B7443">
        <w:rPr>
          <w:sz w:val="22"/>
          <w:szCs w:val="22"/>
        </w:rPr>
        <w:t>NAME:</w:t>
      </w:r>
      <w:r w:rsidRPr="7BE4DEDA" w:rsidR="00E03323">
        <w:rPr>
          <w:sz w:val="22"/>
          <w:szCs w:val="22"/>
        </w:rPr>
        <w:t xml:space="preserve"> </w:t>
      </w:r>
      <w:r w:rsidRPr="7BE4DEDA" w:rsidR="078EDAFE">
        <w:rPr>
          <w:sz w:val="22"/>
          <w:szCs w:val="22"/>
        </w:rPr>
        <w:t>Dahl, David B.</w:t>
      </w:r>
    </w:p>
    <w:p w:rsidRPr="00D3779E" w:rsidR="002B7443" w:rsidP="7BE4DEDA" w:rsidRDefault="00E047AD" w14:paraId="7FFF41C1" w14:textId="02BA5E62">
      <w:pPr>
        <w:pStyle w:val="FormFieldCaption1"/>
        <w:pBdr>
          <w:between w:val="single" w:color="auto" w:sz="4" w:space="1"/>
        </w:pBdr>
        <w:rPr>
          <w:sz w:val="32"/>
          <w:szCs w:val="32"/>
        </w:rPr>
      </w:pPr>
      <w:r w:rsidRPr="7BE4DEDA" w:rsidR="00E047AD">
        <w:rPr>
          <w:sz w:val="22"/>
          <w:szCs w:val="22"/>
        </w:rPr>
        <w:t xml:space="preserve">eRA COMMONS </w:t>
      </w:r>
      <w:proofErr w:type="gramStart"/>
      <w:r w:rsidRPr="7BE4DEDA" w:rsidR="00E047AD">
        <w:rPr>
          <w:sz w:val="22"/>
          <w:szCs w:val="22"/>
        </w:rPr>
        <w:t>USER NAME</w:t>
      </w:r>
      <w:proofErr w:type="gramEnd"/>
      <w:r w:rsidRPr="7BE4DEDA" w:rsidR="00E047AD">
        <w:rPr>
          <w:sz w:val="22"/>
          <w:szCs w:val="22"/>
        </w:rPr>
        <w:t xml:space="preserve"> (credential, e.g., agency login)</w:t>
      </w:r>
      <w:r w:rsidRPr="7BE4DEDA" w:rsidR="002B7443">
        <w:rPr>
          <w:sz w:val="22"/>
          <w:szCs w:val="22"/>
        </w:rPr>
        <w:t>:</w:t>
      </w:r>
      <w:r w:rsidRPr="7BE4DEDA" w:rsidR="00E03323">
        <w:rPr>
          <w:sz w:val="22"/>
          <w:szCs w:val="22"/>
        </w:rPr>
        <w:t xml:space="preserve"> </w:t>
      </w:r>
      <w:r w:rsidRPr="7BE4DEDA" w:rsidR="33049F40">
        <w:rPr>
          <w:sz w:val="22"/>
          <w:szCs w:val="22"/>
        </w:rPr>
        <w:t>DavidDahl</w:t>
      </w:r>
    </w:p>
    <w:p w:rsidRPr="00D3779E" w:rsidR="002B7443" w:rsidP="7BE4DEDA" w:rsidRDefault="00E047AD" w14:paraId="74873D9A" w14:textId="29111B0A">
      <w:pPr>
        <w:pStyle w:val="FormFieldCaption1"/>
        <w:pBdr>
          <w:between w:val="single" w:color="auto" w:sz="4" w:space="1"/>
        </w:pBdr>
        <w:rPr>
          <w:sz w:val="32"/>
          <w:szCs w:val="32"/>
        </w:rPr>
      </w:pPr>
      <w:r w:rsidRPr="7BE4DEDA" w:rsidR="00E047AD">
        <w:rPr>
          <w:sz w:val="22"/>
          <w:szCs w:val="22"/>
        </w:rPr>
        <w:t>POSITION TITLE</w:t>
      </w:r>
      <w:r w:rsidRPr="7BE4DEDA" w:rsidR="002B7443">
        <w:rPr>
          <w:sz w:val="22"/>
          <w:szCs w:val="22"/>
        </w:rPr>
        <w:t>:</w:t>
      </w:r>
      <w:r w:rsidRPr="7BE4DEDA" w:rsidR="6608A8C6">
        <w:rPr>
          <w:sz w:val="22"/>
          <w:szCs w:val="22"/>
        </w:rPr>
        <w:t xml:space="preserve"> Professor and Chair of Statistics</w:t>
      </w:r>
    </w:p>
    <w:p w:rsidRPr="00D3779E" w:rsidR="002B7443" w:rsidP="002B7443" w:rsidRDefault="002B7443" w14:paraId="035344DF" w14:textId="571DC801">
      <w:pPr>
        <w:pStyle w:val="FormFieldCaption1"/>
        <w:pBdr>
          <w:between w:val="single" w:color="auto" w:sz="4" w:space="1"/>
        </w:pBdr>
        <w:rPr>
          <w:sz w:val="22"/>
        </w:rPr>
      </w:pPr>
      <w:r w:rsidRPr="00D3779E">
        <w:rPr>
          <w:sz w:val="22"/>
        </w:rPr>
        <w:t xml:space="preserve">EDUCATION/TRAINING </w:t>
      </w:r>
      <w:r w:rsidRPr="00D3779E">
        <w:rPr>
          <w:rStyle w:val="Emphasis"/>
          <w:sz w:val="22"/>
        </w:rPr>
        <w:t>(Begin with baccalaureate or other initial professional education, such as nursing, include postdoctoral training and residency training if applicable.</w:t>
      </w:r>
      <w:r w:rsidRPr="00D3779E" w:rsidR="00C1247F">
        <w:rPr>
          <w:rStyle w:val="Emphasis"/>
          <w:sz w:val="22"/>
        </w:rPr>
        <w:t xml:space="preserve"> Add/delete rows as necessary.</w:t>
      </w:r>
      <w:r w:rsidRPr="00D3779E">
        <w:rPr>
          <w:rStyle w:val="Emphasis"/>
          <w:sz w:val="22"/>
        </w:rPr>
        <w:t>)</w:t>
      </w:r>
    </w:p>
    <w:tbl>
      <w:tblPr>
        <w:tblStyle w:val="TableGrid"/>
        <w:tblW w:w="10836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</w:tblBorders>
        <w:tblLayout w:type="fixed"/>
        <w:tblLook w:val="04A0" w:firstRow="1" w:lastRow="0" w:firstColumn="1" w:lastColumn="0" w:noHBand="0" w:noVBand="1"/>
        <w:tblCaption w:val="Education and Training Table"/>
        <w:tblDescription w:val="Enter your institution name and location, degree (if applicable), start date, end date (or expected end date), and field of study. "/>
      </w:tblPr>
      <w:tblGrid>
        <w:gridCol w:w="5220"/>
        <w:gridCol w:w="1440"/>
        <w:gridCol w:w="1584"/>
        <w:gridCol w:w="2592"/>
      </w:tblGrid>
      <w:tr w:rsidRPr="00D3779E" w:rsidR="00933173" w:rsidTr="7BE4DEDA" w14:paraId="21BBC1F3" w14:textId="77777777">
        <w:trPr>
          <w:cantSplit/>
          <w:tblHeader/>
        </w:trPr>
        <w:tc>
          <w:tcPr>
            <w:tcW w:w="5220" w:type="dxa"/>
            <w:tcBorders>
              <w:top w:val="single" w:color="auto" w:sz="4" w:space="0"/>
              <w:bottom w:val="single" w:color="auto" w:sz="4" w:space="0"/>
            </w:tcBorders>
            <w:tcMar/>
            <w:vAlign w:val="center"/>
          </w:tcPr>
          <w:p w:rsidRPr="00D3779E" w:rsidR="00933173" w:rsidP="000B5732" w:rsidRDefault="00933173" w14:paraId="5DCFDE41" w14:textId="77777777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INSTITUTION AND LOCATION</w:t>
            </w:r>
          </w:p>
        </w:tc>
        <w:tc>
          <w:tcPr>
            <w:tcW w:w="1440" w:type="dxa"/>
            <w:tcBorders>
              <w:top w:val="single" w:color="auto" w:sz="4" w:space="0"/>
              <w:bottom w:val="single" w:color="auto" w:sz="4" w:space="0"/>
            </w:tcBorders>
            <w:tcMar/>
            <w:vAlign w:val="center"/>
          </w:tcPr>
          <w:p w:rsidRPr="00D3779E" w:rsidR="00933173" w:rsidP="000B5732" w:rsidRDefault="00933173" w14:paraId="0A8E3E0E" w14:textId="77777777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DEGREE</w:t>
            </w:r>
          </w:p>
          <w:p w:rsidRPr="00D3779E" w:rsidR="00933173" w:rsidP="000B5732" w:rsidRDefault="00933173" w14:paraId="0DEF5BC8" w14:textId="77777777">
            <w:pPr>
              <w:pStyle w:val="FormFieldCaption"/>
              <w:jc w:val="center"/>
              <w:rPr>
                <w:rStyle w:val="Emphasis"/>
                <w:sz w:val="22"/>
              </w:rPr>
            </w:pPr>
            <w:r w:rsidRPr="00D3779E">
              <w:rPr>
                <w:rStyle w:val="Emphasis"/>
                <w:sz w:val="22"/>
              </w:rPr>
              <w:t>(if applicable)</w:t>
            </w:r>
          </w:p>
          <w:p w:rsidRPr="00D3779E" w:rsidR="00933173" w:rsidP="000B5732" w:rsidRDefault="00933173" w14:paraId="32A0C014" w14:textId="77777777">
            <w:pPr>
              <w:pStyle w:val="FormFieldCaption"/>
              <w:rPr>
                <w:sz w:val="22"/>
              </w:rPr>
            </w:pPr>
          </w:p>
        </w:tc>
        <w:tc>
          <w:tcPr>
            <w:tcW w:w="1584" w:type="dxa"/>
            <w:tcBorders>
              <w:top w:val="single" w:color="auto" w:sz="4" w:space="0"/>
              <w:bottom w:val="single" w:color="auto" w:sz="4" w:space="0"/>
            </w:tcBorders>
            <w:tcMar/>
            <w:vAlign w:val="center"/>
          </w:tcPr>
          <w:p w:rsidRPr="00D3779E" w:rsidR="00C1247F" w:rsidP="000B5732" w:rsidRDefault="00C1247F" w14:paraId="4ED3B33F" w14:textId="77777777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Completion Date</w:t>
            </w:r>
          </w:p>
          <w:p w:rsidRPr="00D3779E" w:rsidR="00933173" w:rsidP="000B5732" w:rsidRDefault="00933173" w14:paraId="76B4E15A" w14:textId="09B57E40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MM/YYYY</w:t>
            </w:r>
          </w:p>
          <w:p w:rsidRPr="00D3779E" w:rsidR="00933173" w:rsidP="000B5732" w:rsidRDefault="00933173" w14:paraId="143620A6" w14:textId="77777777">
            <w:pPr>
              <w:pStyle w:val="FormFieldCaption"/>
              <w:rPr>
                <w:sz w:val="22"/>
              </w:rPr>
            </w:pPr>
          </w:p>
        </w:tc>
        <w:tc>
          <w:tcPr>
            <w:tcW w:w="2592" w:type="dxa"/>
            <w:tcBorders>
              <w:top w:val="single" w:color="auto" w:sz="4" w:space="0"/>
              <w:bottom w:val="single" w:color="auto" w:sz="4" w:space="0"/>
            </w:tcBorders>
            <w:tcMar/>
            <w:vAlign w:val="center"/>
          </w:tcPr>
          <w:p w:rsidRPr="00D3779E" w:rsidR="00933173" w:rsidP="000B5732" w:rsidRDefault="00933173" w14:paraId="7E87FA43" w14:textId="77777777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FIELD OF STUDY</w:t>
            </w:r>
          </w:p>
          <w:p w:rsidRPr="00D3779E" w:rsidR="00933173" w:rsidP="000B5732" w:rsidRDefault="00933173" w14:paraId="4198E5FC" w14:textId="77777777">
            <w:pPr>
              <w:pStyle w:val="FormFieldCaption"/>
              <w:rPr>
                <w:sz w:val="22"/>
              </w:rPr>
            </w:pPr>
          </w:p>
        </w:tc>
      </w:tr>
      <w:tr w:rsidRPr="00D3779E" w:rsidR="00933173" w:rsidTr="7BE4DEDA" w14:paraId="5CD50646" w14:textId="77777777">
        <w:trPr>
          <w:cantSplit/>
          <w:trHeight w:val="395"/>
        </w:trPr>
        <w:tc>
          <w:tcPr>
            <w:tcW w:w="5220" w:type="dxa"/>
            <w:tcBorders>
              <w:top w:val="single" w:color="auto" w:sz="4" w:space="0"/>
            </w:tcBorders>
            <w:tcMar/>
          </w:tcPr>
          <w:p w:rsidRPr="00977FA5" w:rsidR="00933173" w:rsidP="00ED35D7" w:rsidRDefault="00933173" w14:paraId="3B0C531B" w14:textId="4297A161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color="auto" w:sz="4" w:space="0"/>
            </w:tcBorders>
            <w:tcMar/>
          </w:tcPr>
          <w:p w:rsidRPr="00977FA5" w:rsidR="00933173" w:rsidP="003E4A92" w:rsidRDefault="00933173" w14:paraId="62DD05C1" w14:textId="6114B49D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color="auto" w:sz="4" w:space="0"/>
            </w:tcBorders>
            <w:tcMar/>
          </w:tcPr>
          <w:p w:rsidRPr="00977FA5" w:rsidR="00933173" w:rsidP="003E4A92" w:rsidRDefault="00933173" w14:paraId="543299E0" w14:textId="2E73D866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2592" w:type="dxa"/>
            <w:tcBorders>
              <w:top w:val="single" w:color="auto" w:sz="4" w:space="0"/>
            </w:tcBorders>
            <w:tcMar/>
          </w:tcPr>
          <w:p w:rsidRPr="00977FA5" w:rsidR="00933173" w:rsidP="00ED35D7" w:rsidRDefault="00933173" w14:paraId="7BC5582F" w14:textId="462E33E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</w:tr>
      <w:tr w:rsidRPr="00D3779E" w:rsidR="00933173" w:rsidTr="7BE4DEDA" w14:paraId="1515F345" w14:textId="77777777">
        <w:trPr>
          <w:cantSplit/>
          <w:trHeight w:val="395"/>
        </w:trPr>
        <w:tc>
          <w:tcPr>
            <w:tcW w:w="5220" w:type="dxa"/>
            <w:tcMar/>
          </w:tcPr>
          <w:p w:rsidRPr="00977FA5" w:rsidR="00933173" w:rsidP="00ED35D7" w:rsidRDefault="00933173" w14:paraId="7DED23E7" w14:textId="42C5B506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 w:rsidRPr="7BE4DEDA" w:rsidR="3107B462">
              <w:rPr>
                <w:sz w:val="22"/>
                <w:szCs w:val="22"/>
              </w:rPr>
              <w:t>Brigham Young University</w:t>
            </w:r>
          </w:p>
        </w:tc>
        <w:tc>
          <w:tcPr>
            <w:tcW w:w="1440" w:type="dxa"/>
            <w:tcMar/>
          </w:tcPr>
          <w:p w:rsidRPr="00977FA5" w:rsidR="00933173" w:rsidP="003E4A92" w:rsidRDefault="00933173" w14:paraId="0D874BFC" w14:textId="5A1E0116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 w:rsidRPr="7BE4DEDA" w:rsidR="3107B462">
              <w:rPr>
                <w:sz w:val="22"/>
                <w:szCs w:val="22"/>
              </w:rPr>
              <w:t>B.S.</w:t>
            </w:r>
          </w:p>
        </w:tc>
        <w:tc>
          <w:tcPr>
            <w:tcW w:w="1584" w:type="dxa"/>
            <w:tcMar/>
          </w:tcPr>
          <w:p w:rsidRPr="00977FA5" w:rsidR="00933173" w:rsidP="003E4A92" w:rsidRDefault="00933173" w14:paraId="1A7AA7CA" w14:textId="79AEA2AB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 w:rsidRPr="7BE4DEDA" w:rsidR="3107B462">
              <w:rPr>
                <w:sz w:val="22"/>
                <w:szCs w:val="22"/>
              </w:rPr>
              <w:t>04/1997</w:t>
            </w:r>
          </w:p>
        </w:tc>
        <w:tc>
          <w:tcPr>
            <w:tcW w:w="2592" w:type="dxa"/>
            <w:tcMar/>
          </w:tcPr>
          <w:p w:rsidRPr="00977FA5" w:rsidR="00933173" w:rsidP="00ED35D7" w:rsidRDefault="00933173" w14:paraId="4CC74E5C" w14:textId="68398699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 w:rsidRPr="7BE4DEDA" w:rsidR="3107B462">
              <w:rPr>
                <w:sz w:val="22"/>
                <w:szCs w:val="22"/>
              </w:rPr>
              <w:t>Statistics</w:t>
            </w:r>
          </w:p>
        </w:tc>
      </w:tr>
      <w:tr w:rsidRPr="00D3779E" w:rsidR="00933173" w:rsidTr="7BE4DEDA" w14:paraId="51E27C1C" w14:textId="77777777">
        <w:trPr>
          <w:cantSplit/>
          <w:trHeight w:val="395"/>
        </w:trPr>
        <w:tc>
          <w:tcPr>
            <w:tcW w:w="5220" w:type="dxa"/>
            <w:tcMar/>
          </w:tcPr>
          <w:p w:rsidRPr="00977FA5" w:rsidR="00933173" w:rsidP="00ED35D7" w:rsidRDefault="00933173" w14:paraId="66BC8FF0" w14:textId="7B5FE3A9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 w:rsidRPr="7BE4DEDA" w:rsidR="3107B462">
              <w:rPr>
                <w:sz w:val="22"/>
                <w:szCs w:val="22"/>
              </w:rPr>
              <w:t>Brigham Young University</w:t>
            </w:r>
          </w:p>
        </w:tc>
        <w:tc>
          <w:tcPr>
            <w:tcW w:w="1440" w:type="dxa"/>
            <w:tcMar/>
          </w:tcPr>
          <w:p w:rsidRPr="00977FA5" w:rsidR="00933173" w:rsidP="003E4A92" w:rsidRDefault="00933173" w14:paraId="6AEADABA" w14:textId="72D9DCB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 w:rsidRPr="7BE4DEDA" w:rsidR="3107B462">
              <w:rPr>
                <w:sz w:val="22"/>
                <w:szCs w:val="22"/>
              </w:rPr>
              <w:t>M.S.</w:t>
            </w:r>
          </w:p>
        </w:tc>
        <w:tc>
          <w:tcPr>
            <w:tcW w:w="1584" w:type="dxa"/>
            <w:tcMar/>
          </w:tcPr>
          <w:p w:rsidRPr="00977FA5" w:rsidR="00933173" w:rsidP="003E4A92" w:rsidRDefault="00933173" w14:paraId="4ED60B07" w14:textId="04A6C7F6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 w:rsidRPr="7BE4DEDA" w:rsidR="3107B462">
              <w:rPr>
                <w:sz w:val="22"/>
                <w:szCs w:val="22"/>
              </w:rPr>
              <w:t>08/1998</w:t>
            </w:r>
          </w:p>
        </w:tc>
        <w:tc>
          <w:tcPr>
            <w:tcW w:w="2592" w:type="dxa"/>
            <w:tcMar/>
          </w:tcPr>
          <w:p w:rsidRPr="00977FA5" w:rsidR="00933173" w:rsidP="00ED35D7" w:rsidRDefault="00933173" w14:paraId="2303550C" w14:textId="7AE7DBBA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 w:rsidRPr="7BE4DEDA" w:rsidR="3107B462">
              <w:rPr>
                <w:sz w:val="22"/>
                <w:szCs w:val="22"/>
              </w:rPr>
              <w:t>Statistics</w:t>
            </w:r>
          </w:p>
        </w:tc>
      </w:tr>
      <w:tr w:rsidRPr="00D3779E" w:rsidR="00933173" w:rsidTr="7BE4DEDA" w14:paraId="09D52645" w14:textId="77777777">
        <w:trPr>
          <w:cantSplit/>
          <w:trHeight w:val="395"/>
        </w:trPr>
        <w:tc>
          <w:tcPr>
            <w:tcW w:w="5220" w:type="dxa"/>
            <w:tcMar/>
          </w:tcPr>
          <w:p w:rsidRPr="00977FA5" w:rsidR="00933173" w:rsidP="00ED35D7" w:rsidRDefault="00933173" w14:paraId="76A4F390" w14:textId="1A2A2F19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 w:rsidRPr="7BE4DEDA" w:rsidR="3107B462">
              <w:rPr>
                <w:sz w:val="22"/>
                <w:szCs w:val="22"/>
              </w:rPr>
              <w:t>University of Wisconsin, Madison</w:t>
            </w:r>
          </w:p>
        </w:tc>
        <w:tc>
          <w:tcPr>
            <w:tcW w:w="1440" w:type="dxa"/>
            <w:tcMar/>
          </w:tcPr>
          <w:p w:rsidRPr="00977FA5" w:rsidR="00933173" w:rsidP="003E4A92" w:rsidRDefault="00933173" w14:paraId="3120D72C" w14:textId="7FD2997C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 w:rsidRPr="7BE4DEDA" w:rsidR="3107B462">
              <w:rPr>
                <w:sz w:val="22"/>
                <w:szCs w:val="22"/>
              </w:rPr>
              <w:t>Ph.D.</w:t>
            </w:r>
          </w:p>
        </w:tc>
        <w:tc>
          <w:tcPr>
            <w:tcW w:w="1584" w:type="dxa"/>
            <w:tcMar/>
          </w:tcPr>
          <w:p w:rsidRPr="00977FA5" w:rsidR="00933173" w:rsidP="003E4A92" w:rsidRDefault="00933173" w14:paraId="53EB7033" w14:textId="76FD19FE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 w:rsidRPr="7BE4DEDA" w:rsidR="3107B462">
              <w:rPr>
                <w:sz w:val="22"/>
                <w:szCs w:val="22"/>
              </w:rPr>
              <w:t>08/2004</w:t>
            </w:r>
          </w:p>
        </w:tc>
        <w:tc>
          <w:tcPr>
            <w:tcW w:w="2592" w:type="dxa"/>
            <w:tcMar/>
          </w:tcPr>
          <w:p w:rsidRPr="00977FA5" w:rsidR="00933173" w:rsidP="00ED35D7" w:rsidRDefault="00933173" w14:paraId="4418E34F" w14:textId="5C5333EE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 w:rsidRPr="7BE4DEDA" w:rsidR="3107B462">
              <w:rPr>
                <w:sz w:val="22"/>
                <w:szCs w:val="22"/>
              </w:rPr>
              <w:t>Statistics / Biostatistics</w:t>
            </w:r>
          </w:p>
        </w:tc>
      </w:tr>
      <w:tr w:rsidRPr="00D3779E" w:rsidR="00933173" w:rsidTr="7BE4DEDA" w14:paraId="767906B9" w14:textId="77777777">
        <w:trPr>
          <w:cantSplit/>
          <w:trHeight w:val="395"/>
        </w:trPr>
        <w:tc>
          <w:tcPr>
            <w:tcW w:w="5220" w:type="dxa"/>
            <w:tcMar/>
          </w:tcPr>
          <w:p w:rsidRPr="00977FA5" w:rsidR="00933173" w:rsidP="00ED35D7" w:rsidRDefault="00933173" w14:paraId="4D43CFA6" w14:textId="2FFF44CD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  <w:tc>
          <w:tcPr>
            <w:tcW w:w="1440" w:type="dxa"/>
            <w:tcMar/>
          </w:tcPr>
          <w:p w:rsidRPr="00977FA5" w:rsidR="00933173" w:rsidP="003E4A92" w:rsidRDefault="00933173" w14:paraId="3D81FEFA" w14:textId="77777777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1584" w:type="dxa"/>
            <w:tcMar/>
          </w:tcPr>
          <w:p w:rsidRPr="00977FA5" w:rsidR="00933173" w:rsidP="003E4A92" w:rsidRDefault="00933173" w14:paraId="3F1F9756" w14:textId="77777777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2592" w:type="dxa"/>
            <w:tcMar/>
          </w:tcPr>
          <w:p w:rsidRPr="00977FA5" w:rsidR="00933173" w:rsidP="00ED35D7" w:rsidRDefault="00933173" w14:paraId="4D6D5595" w14:textId="685C1785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</w:tr>
    </w:tbl>
    <w:p w:rsidR="009E52CA" w:rsidRDefault="009E52CA" w14:paraId="6FC868BE" w14:textId="735E875D">
      <w:pPr>
        <w:pStyle w:val="DataField11pt-Single"/>
      </w:pPr>
    </w:p>
    <w:p w:rsidR="002C51BC" w:rsidP="00FC5F9E" w:rsidRDefault="002C51BC" w14:paraId="1695BFF0" w14:textId="77777777"/>
    <w:p w:rsidRPr="00A128A0" w:rsidR="002C51BC" w:rsidP="002C51BC" w:rsidRDefault="002C51BC" w14:paraId="00977992" w14:textId="6BF9432C" w14:noSpellErr="1">
      <w:pPr>
        <w:pStyle w:val="DataField11pt-Single"/>
        <w:rPr>
          <w:rStyle w:val="Strong"/>
        </w:rPr>
      </w:pPr>
      <w:r w:rsidRPr="7BE4DEDA" w:rsidR="002C51BC">
        <w:rPr>
          <w:rStyle w:val="Strong"/>
        </w:rPr>
        <w:t>A.</w:t>
      </w:r>
      <w:r>
        <w:tab/>
      </w:r>
      <w:r w:rsidRPr="7BE4DEDA" w:rsidR="002C51BC">
        <w:rPr>
          <w:rStyle w:val="Strong"/>
        </w:rPr>
        <w:t>Personal Statement</w:t>
      </w:r>
      <w:r>
        <w:br/>
      </w:r>
    </w:p>
    <w:p w:rsidR="58C0F580" w:rsidP="7BE4DEDA" w:rsidRDefault="58C0F580" w14:paraId="39A30147" w14:textId="25D85521">
      <w:pPr>
        <w:jc w:val="left"/>
      </w:pPr>
      <w:r w:rsidRPr="7BE4DEDA" w:rsidR="58C0F58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The proposed project requires an interdisciplinary team of individuals who are both experts in their field and capable of working productively with those in other disciplines. I have a strong research record in Bayesian nonparametric</w:t>
      </w:r>
      <w:r w:rsidRPr="7BE4DEDA" w:rsidR="58C0F58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statistics</w:t>
      </w:r>
      <w:r w:rsidRPr="7BE4DEDA" w:rsidR="0C32326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and statistical computing</w:t>
      </w:r>
      <w:r w:rsidRPr="7BE4DEDA" w:rsidR="58C0F58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BE4DEDA" w:rsidR="58C0F58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and </w:t>
      </w:r>
      <w:r w:rsidRPr="7BE4DEDA" w:rsidR="683DBEB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their</w:t>
      </w:r>
      <w:r w:rsidRPr="7BE4DEDA" w:rsidR="58C0F58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application to the life sciences. I have a history of successful collaborations with </w:t>
      </w:r>
      <w:proofErr w:type="spellStart"/>
      <w:r w:rsidRPr="7BE4DEDA" w:rsidR="58C0F58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nonstatisticians</w:t>
      </w:r>
      <w:proofErr w:type="spellEnd"/>
      <w:r w:rsidRPr="7BE4DEDA" w:rsidR="58C0F58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. Starting with my Ph.D. dissertation at the University of Wisconsin-Madison, my statistical research has been solid</w:t>
      </w:r>
      <w:r w:rsidRPr="7BE4DEDA" w:rsidR="087A8972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ly</w:t>
      </w:r>
      <w:r w:rsidRPr="7BE4DEDA" w:rsidR="58C0F58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rooted</w:t>
      </w:r>
      <w:r w:rsidRPr="7BE4DEDA" w:rsidR="006D75B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in </w:t>
      </w:r>
      <w:r w:rsidRPr="7BE4DEDA" w:rsidR="58C0F58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applications </w:t>
      </w:r>
      <w:r w:rsidRPr="7BE4DEDA" w:rsidR="555A6DA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for </w:t>
      </w:r>
      <w:r w:rsidRPr="7BE4DEDA" w:rsidR="497C2E62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biology</w:t>
      </w:r>
      <w:r w:rsidRPr="7BE4DEDA" w:rsidR="58C0F58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, genetics, and biochemistry.</w:t>
      </w:r>
      <w:r w:rsidRPr="7BE4DEDA" w:rsidR="3CAF01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Since then, I have collaborated in a variety of interdisciplinary teams. Of </w:t>
      </w:r>
      <w:r w:rsidRPr="7BE4DEDA" w:rsidR="4F5E92A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note</w:t>
      </w:r>
      <w:r w:rsidRPr="7BE4DEDA" w:rsidR="3CAF01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is </w:t>
      </w:r>
      <w:r w:rsidRPr="7BE4DEDA" w:rsidR="18FF5F2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a </w:t>
      </w:r>
      <w:r w:rsidRPr="7BE4DEDA" w:rsidR="2DC176A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long-term</w:t>
      </w:r>
      <w:r w:rsidRPr="7BE4DEDA" w:rsidR="18FF5F2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collaboration with </w:t>
      </w:r>
      <w:r w:rsidRPr="7BE4DEDA" w:rsidR="58C0F58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Dr. Jerry Tsai</w:t>
      </w:r>
      <w:r w:rsidRPr="7BE4DEDA" w:rsidR="18D5458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(biochemist)</w:t>
      </w:r>
      <w:r w:rsidRPr="7BE4DEDA" w:rsidR="57DA57D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and</w:t>
      </w:r>
      <w:r w:rsidRPr="7BE4DEDA" w:rsidR="58C0F58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Dr. Marina Vannucci</w:t>
      </w:r>
      <w:r w:rsidRPr="7BE4DEDA" w:rsidR="65A75F0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(statistician)</w:t>
      </w:r>
      <w:r w:rsidRPr="7BE4DEDA" w:rsidR="6346C5C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. I </w:t>
      </w:r>
      <w:r w:rsidRPr="7BE4DEDA" w:rsidR="0470B2C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was </w:t>
      </w:r>
      <w:r w:rsidRPr="7BE4DEDA" w:rsidR="30D5DFB2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PI on an</w:t>
      </w:r>
      <w:r w:rsidRPr="7BE4DEDA" w:rsidR="44F4B34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NIH R01 grant in which we</w:t>
      </w:r>
      <w:r w:rsidRPr="7BE4DEDA" w:rsidR="58C0F58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work</w:t>
      </w:r>
      <w:r w:rsidRPr="7BE4DEDA" w:rsidR="5C4EA51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ed</w:t>
      </w:r>
      <w:r w:rsidRPr="7BE4DEDA" w:rsidR="58C0F58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intensively on rigorous statistical approaches for protein structure prediction. Together we </w:t>
      </w:r>
      <w:r w:rsidRPr="7BE4DEDA" w:rsidR="58C0F58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identify</w:t>
      </w:r>
      <w:r w:rsidRPr="7BE4DEDA" w:rsidR="58C0F58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opportunities </w:t>
      </w:r>
      <w:r w:rsidRPr="7BE4DEDA" w:rsidR="23174A2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to</w:t>
      </w:r>
      <w:r w:rsidRPr="7BE4DEDA" w:rsidR="58C0F58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BE4DEDA" w:rsidR="58C0F58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further the field and formulate statistical models to address these challenges. I have applied my skills in statistical computing to lead the efforts to efficiently implement statistical methods</w:t>
      </w:r>
      <w:r w:rsidRPr="7BE4DEDA" w:rsidR="649CB4A2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  <w:r w:rsidRPr="7BE4DEDA" w:rsidR="58C0F58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My </w:t>
      </w:r>
      <w:r w:rsidRPr="7BE4DEDA" w:rsidR="58C0F58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previous</w:t>
      </w:r>
      <w:r w:rsidRPr="7BE4DEDA" w:rsidR="58C0F58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BE4DEDA" w:rsidR="5D60F349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experience</w:t>
      </w:r>
      <w:r w:rsidRPr="7BE4DEDA" w:rsidR="58C0F58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and </w:t>
      </w:r>
      <w:r w:rsidRPr="7BE4DEDA" w:rsidR="58C0F58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expertise</w:t>
      </w:r>
      <w:r w:rsidRPr="7BE4DEDA" w:rsidR="58C0F58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BE4DEDA" w:rsidR="4C2EBAF7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make</w:t>
      </w:r>
      <w:r w:rsidRPr="7BE4DEDA" w:rsidR="58C0F58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me well-suited to conduct the interdisciplinary research that we propose in this grant application.</w:t>
      </w:r>
    </w:p>
    <w:p w:rsidR="7BE4DEDA" w:rsidP="7BE4DEDA" w:rsidRDefault="7BE4DEDA" w14:paraId="6A8F0755" w14:textId="3305F015">
      <w:pPr>
        <w:pStyle w:val="DataField11pt-Single"/>
      </w:pPr>
    </w:p>
    <w:p w:rsidRPr="00A128A0" w:rsidR="002C51BC" w:rsidP="002C51BC" w:rsidRDefault="002C51BC" w14:paraId="4E1F882A" w14:textId="77777777">
      <w:pPr>
        <w:pStyle w:val="DataField11pt-Single"/>
        <w:rPr>
          <w:rStyle w:val="Strong"/>
        </w:rPr>
      </w:pPr>
    </w:p>
    <w:p w:rsidRPr="00A128A0" w:rsidR="002C51BC" w:rsidP="002C51BC" w:rsidRDefault="002C51BC" w14:paraId="2AB7A0F5" w14:textId="039CB105" w14:noSpellErr="1">
      <w:pPr>
        <w:pStyle w:val="DataField11pt-Single"/>
        <w:rPr>
          <w:rStyle w:val="Strong"/>
        </w:rPr>
      </w:pPr>
      <w:r w:rsidRPr="7BE4DEDA" w:rsidR="002C51BC">
        <w:rPr>
          <w:rStyle w:val="Strong"/>
        </w:rPr>
        <w:t>B.</w:t>
      </w:r>
      <w:r>
        <w:tab/>
      </w:r>
      <w:r w:rsidRPr="7BE4DEDA" w:rsidR="002C51BC">
        <w:rPr>
          <w:rStyle w:val="Strong"/>
        </w:rPr>
        <w:t>Positions</w:t>
      </w:r>
      <w:r w:rsidRPr="7BE4DEDA" w:rsidR="00CF6FAD">
        <w:rPr>
          <w:rStyle w:val="Strong"/>
        </w:rPr>
        <w:t>, Scientific Appointments,</w:t>
      </w:r>
      <w:r w:rsidRPr="7BE4DEDA" w:rsidR="002C51BC">
        <w:rPr>
          <w:rStyle w:val="Strong"/>
        </w:rPr>
        <w:t xml:space="preserve"> and Honors</w:t>
      </w:r>
      <w:r>
        <w:br/>
      </w:r>
    </w:p>
    <w:p w:rsidR="5739B30E" w:rsidP="7BE4DEDA" w:rsidRDefault="5739B30E" w14:paraId="79CF77BB" w14:textId="6AAC6169">
      <w:pPr>
        <w:jc w:val="left"/>
        <w:rPr>
          <w:b w:val="1"/>
          <w:bCs w:val="1"/>
          <w:noProof w:val="0"/>
          <w:color w:val="000000" w:themeColor="text1" w:themeTint="FF" w:themeShade="FF"/>
          <w:u w:val="none"/>
          <w:lang w:val="en-US"/>
        </w:rPr>
      </w:pPr>
      <w:r w:rsidRPr="7BE4DEDA" w:rsidR="5739B30E">
        <w:rPr>
          <w:b w:val="1"/>
          <w:bCs w:val="1"/>
          <w:noProof w:val="0"/>
          <w:color w:val="000000" w:themeColor="text1" w:themeTint="FF" w:themeShade="FF"/>
          <w:u w:val="none"/>
          <w:lang w:val="en-US"/>
        </w:rPr>
        <w:t xml:space="preserve">Positions and </w:t>
      </w:r>
      <w:r w:rsidRPr="7BE4DEDA" w:rsidR="525A5F1C">
        <w:rPr>
          <w:b w:val="1"/>
          <w:bCs w:val="1"/>
          <w:noProof w:val="0"/>
          <w:color w:val="000000" w:themeColor="text1" w:themeTint="FF" w:themeShade="FF"/>
          <w:u w:val="none"/>
          <w:lang w:val="en-US"/>
        </w:rPr>
        <w:t>Scientific Appointments</w:t>
      </w:r>
    </w:p>
    <w:p w:rsidR="5739B30E" w:rsidP="7BE4DEDA" w:rsidRDefault="5739B30E" w14:paraId="5AB809FC" w14:textId="02630EEA">
      <w:pPr>
        <w:jc w:val="left"/>
      </w:pPr>
      <w:r w:rsidRPr="7BE4DEDA" w:rsidR="5739B30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2004-2010</w:t>
      </w:r>
      <w:r>
        <w:tab/>
      </w:r>
      <w:r>
        <w:tab/>
      </w:r>
      <w:r w:rsidRPr="7BE4DEDA" w:rsidR="5739B30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Assistant Professor, Department of Statistics, Texas A&amp;M University, College Station, TX </w:t>
      </w:r>
    </w:p>
    <w:p w:rsidR="5739B30E" w:rsidP="7BE4DEDA" w:rsidRDefault="5739B30E" w14:paraId="23F24750" w14:textId="57A12C23">
      <w:pPr>
        <w:jc w:val="left"/>
      </w:pPr>
      <w:r w:rsidRPr="7BE4DEDA" w:rsidR="5739B30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2007-2010</w:t>
      </w:r>
      <w:r>
        <w:tab/>
      </w:r>
      <w:r>
        <w:tab/>
      </w:r>
      <w:r w:rsidRPr="7BE4DEDA" w:rsidR="5739B30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Adjunct Assistant Professor, Department of Biostatistics, University of Texas</w:t>
      </w:r>
    </w:p>
    <w:p w:rsidR="5739B30E" w:rsidP="7BE4DEDA" w:rsidRDefault="5739B30E" w14:paraId="0D14576A" w14:textId="2D46D681">
      <w:pPr>
        <w:jc w:val="left"/>
      </w:pPr>
      <w:r w:rsidRPr="7BE4DEDA" w:rsidR="5739B30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MD Anderson Cancer Center, Houston, TX</w:t>
      </w:r>
    </w:p>
    <w:p w:rsidR="5739B30E" w:rsidP="7BE4DEDA" w:rsidRDefault="5739B30E" w14:paraId="0924FFA6" w14:textId="0F0C57CC">
      <w:pPr>
        <w:jc w:val="left"/>
      </w:pPr>
      <w:r w:rsidRPr="7BE4DEDA" w:rsidR="5739B30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2010-2012</w:t>
      </w:r>
      <w:r>
        <w:tab/>
      </w:r>
      <w:r>
        <w:tab/>
      </w:r>
      <w:r w:rsidRPr="7BE4DEDA" w:rsidR="5739B30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Adjunct Associate Professor, Department of Biostatistics, University of Texas</w:t>
      </w:r>
    </w:p>
    <w:p w:rsidR="5739B30E" w:rsidP="7BE4DEDA" w:rsidRDefault="5739B30E" w14:paraId="0D95C720" w14:textId="316F05B0">
      <w:pPr>
        <w:jc w:val="left"/>
      </w:pPr>
      <w:r w:rsidRPr="7BE4DEDA" w:rsidR="5739B30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MD Anderson Cancer Center, Houston, TX</w:t>
      </w:r>
    </w:p>
    <w:p w:rsidR="5739B30E" w:rsidP="7BE4DEDA" w:rsidRDefault="5739B30E" w14:paraId="6FB9BD9E" w14:textId="61A8D2F5">
      <w:pPr>
        <w:jc w:val="left"/>
      </w:pPr>
      <w:r w:rsidRPr="7BE4DEDA" w:rsidR="5739B30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2010-2012</w:t>
      </w:r>
      <w:r>
        <w:tab/>
      </w:r>
      <w:r>
        <w:tab/>
      </w:r>
      <w:r w:rsidRPr="7BE4DEDA" w:rsidR="5739B30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Associate Professor, Department of Statistics, Texas A&amp;M University, College Station, TX</w:t>
      </w:r>
    </w:p>
    <w:p w:rsidR="5739B30E" w:rsidP="7BE4DEDA" w:rsidRDefault="5739B30E" w14:paraId="61DA1C41" w14:textId="27BE3441">
      <w:pPr>
        <w:pStyle w:val="Normal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BE4DEDA" w:rsidR="5739B30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2012-2015</w:t>
      </w:r>
      <w:r>
        <w:tab/>
      </w:r>
      <w:r>
        <w:tab/>
      </w:r>
      <w:r w:rsidRPr="7BE4DEDA" w:rsidR="5739B30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Associate Professor, Department of Statistics, Brigham Young University, Provo, UT</w:t>
      </w:r>
    </w:p>
    <w:p w:rsidR="5739B30E" w:rsidP="7BE4DEDA" w:rsidRDefault="5739B30E" w14:paraId="02A03C41" w14:textId="2B6D2DC5">
      <w:pPr>
        <w:pStyle w:val="Normal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BE4DEDA" w:rsidR="5739B30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2015-present</w:t>
      </w:r>
      <w:r>
        <w:tab/>
      </w:r>
      <w:r w:rsidRPr="7BE4DEDA" w:rsidR="5739B30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Professor, Department of Statistics, Brigham Young University, Provo, UT</w:t>
      </w:r>
    </w:p>
    <w:p w:rsidR="5739B30E" w:rsidP="7BE4DEDA" w:rsidRDefault="5739B30E" w14:paraId="46CFD8A6" w14:textId="43822C18">
      <w:pPr>
        <w:pStyle w:val="Normal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BE4DEDA" w:rsidR="5739B30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2022-present</w:t>
      </w:r>
      <w:r>
        <w:tab/>
      </w:r>
      <w:r w:rsidRPr="7BE4DEDA" w:rsidR="5739B30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Chair, Department of Statistics, Brigham Young University, Provo, UT</w:t>
      </w:r>
    </w:p>
    <w:p w:rsidR="7BE4DEDA" w:rsidP="7BE4DEDA" w:rsidRDefault="7BE4DEDA" w14:paraId="6ACFA3E4" w14:textId="69A6ABE7">
      <w:pPr>
        <w:pStyle w:val="Normal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739B30E" w:rsidP="7BE4DEDA" w:rsidRDefault="5739B30E" w14:paraId="4CAC96C4" w14:textId="6C3058C3">
      <w:pPr>
        <w:jc w:val="left"/>
        <w:rPr>
          <w:b w:val="1"/>
          <w:bCs w:val="1"/>
          <w:noProof w:val="0"/>
          <w:color w:val="000000" w:themeColor="text1" w:themeTint="FF" w:themeShade="FF"/>
          <w:u w:val="none"/>
          <w:lang w:val="en-US"/>
        </w:rPr>
      </w:pPr>
      <w:r w:rsidRPr="7BE4DEDA" w:rsidR="5739B30E">
        <w:rPr>
          <w:b w:val="1"/>
          <w:bCs w:val="1"/>
          <w:noProof w:val="0"/>
          <w:color w:val="000000" w:themeColor="text1" w:themeTint="FF" w:themeShade="FF"/>
          <w:u w:val="none"/>
          <w:lang w:val="en-US"/>
        </w:rPr>
        <w:t>Other Experience and Professional Memberships</w:t>
      </w:r>
    </w:p>
    <w:p w:rsidR="5739B30E" w:rsidP="7BE4DEDA" w:rsidRDefault="5739B30E" w14:paraId="5BF9A8D5" w14:textId="0A87A1D2">
      <w:pPr>
        <w:jc w:val="left"/>
      </w:pPr>
      <w:r w:rsidRPr="7BE4DEDA" w:rsidR="5739B30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1996-</w:t>
      </w:r>
      <w:r w:rsidRPr="7BE4DEDA" w:rsidR="33D5F00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present</w:t>
      </w:r>
      <w:r>
        <w:tab/>
      </w:r>
      <w:r w:rsidRPr="7BE4DEDA" w:rsidR="5739B30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Member, American Statistical Association</w:t>
      </w:r>
    </w:p>
    <w:p w:rsidR="5739B30E" w:rsidP="7BE4DEDA" w:rsidRDefault="5739B30E" w14:paraId="59E3BDE4" w14:textId="527C7FCF">
      <w:pPr>
        <w:jc w:val="left"/>
      </w:pPr>
      <w:r w:rsidRPr="7BE4DEDA" w:rsidR="5739B30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2003-</w:t>
      </w:r>
      <w:r w:rsidRPr="7BE4DEDA" w:rsidR="54F32643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present</w:t>
      </w:r>
      <w:r>
        <w:tab/>
      </w:r>
      <w:r w:rsidRPr="7BE4DEDA" w:rsidR="5739B30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Member, Institute of Mathematical Statistics</w:t>
      </w:r>
    </w:p>
    <w:p w:rsidR="140812D1" w:rsidP="7BE4DEDA" w:rsidRDefault="140812D1" w14:paraId="6F1C530B" w14:textId="7949CDDE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Pr="7BE4DEDA" w:rsidR="140812D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2003-present</w:t>
      </w:r>
      <w:r>
        <w:tab/>
      </w:r>
      <w:r w:rsidRPr="7BE4DEDA" w:rsidR="140812D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Member, International Society for Bayesian Analysis</w:t>
      </w:r>
    </w:p>
    <w:p w:rsidR="5739B30E" w:rsidP="7BE4DEDA" w:rsidRDefault="5739B30E" w14:paraId="2AA6CEF9" w14:textId="22341BD9">
      <w:pPr>
        <w:jc w:val="left"/>
      </w:pPr>
      <w:r w:rsidRPr="7BE4DEDA" w:rsidR="5739B30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2009-</w:t>
      </w:r>
      <w:r w:rsidRPr="7BE4DEDA" w:rsidR="038FFA05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2012</w:t>
      </w:r>
      <w:r>
        <w:tab/>
      </w:r>
      <w:r>
        <w:tab/>
      </w:r>
      <w:r w:rsidRPr="7BE4DEDA" w:rsidR="5739B30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Associate Editor, Bayesian Analysis</w:t>
      </w:r>
    </w:p>
    <w:p w:rsidR="5B59400A" w:rsidP="7BE4DEDA" w:rsidRDefault="5B59400A" w14:paraId="46CD003A" w14:textId="5ED2D4C3">
      <w:pPr>
        <w:pStyle w:val="Normal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BE4DEDA" w:rsidR="5B59400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2013-2015</w:t>
      </w:r>
      <w:r>
        <w:tab/>
      </w:r>
      <w:r>
        <w:tab/>
      </w:r>
      <w:r w:rsidRPr="7BE4DEDA" w:rsidR="5B59400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Co-Editor, Bayesian Analysis</w:t>
      </w:r>
    </w:p>
    <w:p w:rsidR="09F69069" w:rsidP="7BE4DEDA" w:rsidRDefault="09F69069" w14:paraId="076FB73B" w14:textId="5B076168">
      <w:pPr>
        <w:pStyle w:val="Normal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BE4DEDA" w:rsidR="09F69069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2021-2023</w:t>
      </w:r>
      <w:r>
        <w:tab/>
      </w:r>
      <w:r>
        <w:tab/>
      </w:r>
      <w:r w:rsidRPr="7BE4DEDA" w:rsidR="09F69069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Member, Board of Directors, International Society for Bayesian Analysis</w:t>
      </w:r>
    </w:p>
    <w:p w:rsidR="7BE4DEDA" w:rsidP="7BE4DEDA" w:rsidRDefault="7BE4DEDA" w14:paraId="0A2029AC" w14:textId="08B77FBC">
      <w:pPr>
        <w:jc w:val="left"/>
      </w:pPr>
    </w:p>
    <w:p w:rsidR="5739B30E" w:rsidP="7BE4DEDA" w:rsidRDefault="5739B30E" w14:paraId="09507F15" w14:textId="0B8F4448">
      <w:pPr>
        <w:jc w:val="left"/>
        <w:rPr>
          <w:b w:val="1"/>
          <w:bCs w:val="1"/>
          <w:noProof w:val="0"/>
          <w:color w:val="000000" w:themeColor="text1" w:themeTint="FF" w:themeShade="FF"/>
          <w:u w:val="none"/>
          <w:lang w:val="en-US"/>
        </w:rPr>
      </w:pPr>
      <w:r w:rsidRPr="7BE4DEDA" w:rsidR="5739B30E">
        <w:rPr>
          <w:b w:val="1"/>
          <w:bCs w:val="1"/>
          <w:noProof w:val="0"/>
          <w:color w:val="000000" w:themeColor="text1" w:themeTint="FF" w:themeShade="FF"/>
          <w:u w:val="none"/>
          <w:lang w:val="en-US"/>
        </w:rPr>
        <w:t>Honors</w:t>
      </w:r>
    </w:p>
    <w:p w:rsidR="5739B30E" w:rsidP="7BE4DEDA" w:rsidRDefault="5739B30E" w14:paraId="3AC7AC1C" w14:textId="2E80A0CD">
      <w:pPr>
        <w:jc w:val="left"/>
      </w:pPr>
      <w:r w:rsidRPr="7BE4DEDA" w:rsidR="5739B30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1997</w:t>
      </w:r>
      <w:r>
        <w:tab/>
      </w:r>
      <w:r>
        <w:tab/>
      </w:r>
      <w:r>
        <w:tab/>
      </w:r>
      <w:r w:rsidRPr="7BE4DEDA" w:rsidR="5739B30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Ellis R. Ott Scholarship from the American Society for Quality</w:t>
      </w:r>
    </w:p>
    <w:p w:rsidR="2705F83A" w:rsidP="7BE4DEDA" w:rsidRDefault="2705F83A" w14:paraId="240EF527" w14:textId="1D7654BA">
      <w:pPr>
        <w:pStyle w:val="Normal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BE4DEDA" w:rsidR="2705F83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1999-2004</w:t>
      </w:r>
      <w:r>
        <w:tab/>
      </w:r>
      <w:r>
        <w:tab/>
      </w:r>
      <w:r w:rsidRPr="7BE4DEDA" w:rsidR="2705F83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National Eye Institute Traineeship in Biostatistics at UW-Madison</w:t>
      </w:r>
    </w:p>
    <w:p w:rsidR="7BE4DEDA" w:rsidP="7BE4DEDA" w:rsidRDefault="7BE4DEDA" w14:paraId="4ADE23C5" w14:textId="1D92F3E9">
      <w:pPr>
        <w:pStyle w:val="DataField11pt-Single"/>
      </w:pPr>
    </w:p>
    <w:p w:rsidRPr="00A128A0" w:rsidR="002C51BC" w:rsidP="002C51BC" w:rsidRDefault="002C51BC" w14:paraId="4E6033BE" w14:textId="77777777">
      <w:pPr>
        <w:pStyle w:val="DataField11pt-Single"/>
        <w:rPr>
          <w:rStyle w:val="Strong"/>
        </w:rPr>
      </w:pPr>
    </w:p>
    <w:p w:rsidR="002C51BC" w:rsidP="7BE4DEDA" w:rsidRDefault="002C51BC" w14:paraId="64230A39" w14:textId="62CFC61D">
      <w:pPr>
        <w:pStyle w:val="DataField11pt-Single"/>
        <w:rPr>
          <w:rStyle w:val="Strong"/>
        </w:rPr>
      </w:pPr>
      <w:r w:rsidRPr="7BE4DEDA" w:rsidR="002C51BC">
        <w:rPr>
          <w:rStyle w:val="Strong"/>
        </w:rPr>
        <w:t>C.</w:t>
      </w:r>
      <w:r>
        <w:tab/>
      </w:r>
      <w:r w:rsidRPr="7BE4DEDA" w:rsidR="002C51BC">
        <w:rPr>
          <w:rStyle w:val="Strong"/>
        </w:rPr>
        <w:t>Contributions to Science</w:t>
      </w:r>
    </w:p>
    <w:p w:rsidR="7BE4DEDA" w:rsidP="7BE4DEDA" w:rsidRDefault="7BE4DEDA" w14:paraId="1450724F" w14:textId="1ABD8257">
      <w:pPr>
        <w:pStyle w:val="DataField11pt-Single"/>
      </w:pPr>
    </w:p>
    <w:p w:rsidR="792FD2A9" w:rsidP="7BE4DEDA" w:rsidRDefault="792FD2A9" w14:paraId="5B77E1BE" w14:textId="3DAEF6BC">
      <w:pPr>
        <w:pStyle w:val="DataField11pt-Single"/>
        <w:numPr>
          <w:ilvl w:val="0"/>
          <w:numId w:val="24"/>
        </w:numPr>
        <w:rPr/>
      </w:pPr>
      <w:r w:rsidR="792FD2A9">
        <w:rPr/>
        <w:t xml:space="preserve">One of my major research areas </w:t>
      </w:r>
      <w:r w:rsidR="6190D829">
        <w:rPr/>
        <w:t>in statistics is</w:t>
      </w:r>
      <w:r w:rsidR="792FD2A9">
        <w:rPr/>
        <w:t xml:space="preserve"> </w:t>
      </w:r>
      <w:r w:rsidRPr="7BE4DEDA" w:rsidR="792FD2A9">
        <w:rPr>
          <w:u w:val="single"/>
        </w:rPr>
        <w:t>Bayesian modeling of complex structures</w:t>
      </w:r>
      <w:r w:rsidRPr="7BE4DEDA" w:rsidR="08F54786">
        <w:rPr>
          <w:u w:val="single"/>
        </w:rPr>
        <w:t>,</w:t>
      </w:r>
      <w:r w:rsidRPr="7BE4DEDA" w:rsidR="792FD2A9">
        <w:rPr>
          <w:u w:val="single"/>
        </w:rPr>
        <w:t xml:space="preserve"> such as random partitions and feature allocations</w:t>
      </w:r>
      <w:r w:rsidR="792FD2A9">
        <w:rPr/>
        <w:t xml:space="preserve">. These models </w:t>
      </w:r>
      <w:r w:rsidR="792FD2A9">
        <w:rPr/>
        <w:t>permit</w:t>
      </w:r>
      <w:r w:rsidR="792FD2A9">
        <w:rPr/>
        <w:t xml:space="preserve"> the borrowing of information across </w:t>
      </w:r>
      <w:r w:rsidR="5066AD27">
        <w:rPr/>
        <w:t>subjects to improve</w:t>
      </w:r>
      <w:r w:rsidR="5975400E">
        <w:rPr/>
        <w:t xml:space="preserve"> prediction and interpretation and to allow inference in situations that are otherwise</w:t>
      </w:r>
      <w:r w:rsidR="41677CE4">
        <w:rPr/>
        <w:t xml:space="preserve"> too sparse.</w:t>
      </w:r>
      <w:r w:rsidR="48ABA49C">
        <w:rPr/>
        <w:t xml:space="preserve"> A few of my key publications in this area are:</w:t>
      </w:r>
    </w:p>
    <w:p w:rsidR="14CE49CA" w:rsidP="7BE4DEDA" w:rsidRDefault="14CE49CA" w14:paraId="1FEC9CB8" w14:textId="23CE388F">
      <w:pPr>
        <w:pStyle w:val="DataField11pt-Single"/>
        <w:numPr>
          <w:ilvl w:val="1"/>
          <w:numId w:val="24"/>
        </w:numPr>
        <w:rPr/>
      </w:pPr>
      <w:r w:rsidRPr="7BE4DEDA" w:rsidR="14CE49CA">
        <w:rPr>
          <w:b w:val="1"/>
          <w:bCs w:val="1"/>
        </w:rPr>
        <w:t>D. B. Dahl</w:t>
      </w:r>
      <w:r w:rsidR="14CE49CA">
        <w:rPr/>
        <w:t>, R. Day, J. Tsai (2017), Random Partition Distribution Indexed by Pairwise Information,</w:t>
      </w:r>
      <w:r w:rsidR="57B2053D">
        <w:rPr/>
        <w:t xml:space="preserve"> </w:t>
      </w:r>
      <w:r w:rsidRPr="7BE4DEDA" w:rsidR="14CE49CA">
        <w:rPr>
          <w:i w:val="1"/>
          <w:iCs w:val="1"/>
        </w:rPr>
        <w:t>Journal of the American Statistical Association</w:t>
      </w:r>
      <w:r w:rsidR="14CE49CA">
        <w:rPr/>
        <w:t>, 112, 721-732.</w:t>
      </w:r>
      <w:r w:rsidR="34C43B41">
        <w:rPr/>
        <w:t xml:space="preserve"> </w:t>
      </w:r>
      <w:r w:rsidR="14CE49CA">
        <w:rPr/>
        <w:t>DOI:10.1080/01621459.2016.1165103.</w:t>
      </w:r>
    </w:p>
    <w:p w:rsidR="052397D7" w:rsidP="7BE4DEDA" w:rsidRDefault="052397D7" w14:paraId="6DF53433" w14:textId="384C3A5E">
      <w:pPr>
        <w:pStyle w:val="DataField11pt-Single"/>
        <w:numPr>
          <w:ilvl w:val="1"/>
          <w:numId w:val="24"/>
        </w:numPr>
        <w:rPr/>
      </w:pPr>
      <w:r w:rsidRPr="7BE4DEDA" w:rsidR="052397D7">
        <w:rPr>
          <w:b w:val="1"/>
          <w:bCs w:val="1"/>
        </w:rPr>
        <w:t>D. B. Dahl</w:t>
      </w:r>
      <w:r w:rsidR="052397D7">
        <w:rPr/>
        <w:t xml:space="preserve">, Richard L. Warr, Thomas P. Jensen (2021), Invited Discussion of </w:t>
      </w:r>
      <w:proofErr w:type="spellStart"/>
      <w:r w:rsidR="052397D7">
        <w:rPr/>
        <w:t>Paganin</w:t>
      </w:r>
      <w:proofErr w:type="spellEnd"/>
      <w:r w:rsidR="052397D7">
        <w:rPr/>
        <w:t xml:space="preserve">, et al.’s “Centered Partition Processes: Informative Priors for Clustering (with Discussion),” </w:t>
      </w:r>
      <w:r w:rsidRPr="7BE4DEDA" w:rsidR="052397D7">
        <w:rPr>
          <w:i w:val="1"/>
          <w:iCs w:val="1"/>
        </w:rPr>
        <w:t>Bayesian Analysis</w:t>
      </w:r>
      <w:r w:rsidR="052397D7">
        <w:rPr/>
        <w:t>, 16 (1) 301-370, DOI:10.1214/20-BA1197.</w:t>
      </w:r>
    </w:p>
    <w:p w:rsidR="14CE49CA" w:rsidP="7BE4DEDA" w:rsidRDefault="14CE49CA" w14:paraId="7640F262" w14:textId="6A1A16A3">
      <w:pPr>
        <w:pStyle w:val="DataField11pt-Single"/>
        <w:numPr>
          <w:ilvl w:val="1"/>
          <w:numId w:val="24"/>
        </w:numPr>
        <w:rPr/>
      </w:pPr>
      <w:r w:rsidR="14CE49CA">
        <w:rPr/>
        <w:t xml:space="preserve">G. L. Page, F. A. Quintana, </w:t>
      </w:r>
      <w:r w:rsidRPr="7BE4DEDA" w:rsidR="14CE49CA">
        <w:rPr>
          <w:b w:val="1"/>
          <w:bCs w:val="1"/>
        </w:rPr>
        <w:t>D. B. Dahl</w:t>
      </w:r>
      <w:r w:rsidR="14CE49CA">
        <w:rPr/>
        <w:t xml:space="preserve"> (2022), Dependent Modeling of Temporal Sequences of Random Partitions, </w:t>
      </w:r>
      <w:r w:rsidRPr="7BE4DEDA" w:rsidR="14CE49CA">
        <w:rPr>
          <w:i w:val="1"/>
          <w:iCs w:val="1"/>
        </w:rPr>
        <w:t>Journal of Computational and Graphical Statistics</w:t>
      </w:r>
      <w:r w:rsidR="14CE49CA">
        <w:rPr/>
        <w:t>, 31(2), 614-627. DOI:10.1080/10618600.2021.1987255.</w:t>
      </w:r>
    </w:p>
    <w:p w:rsidR="115947DF" w:rsidP="7BE4DEDA" w:rsidRDefault="115947DF" w14:paraId="5812EA33" w14:textId="6403C9B0">
      <w:pPr>
        <w:pStyle w:val="DataField11pt-Single"/>
        <w:numPr>
          <w:ilvl w:val="1"/>
          <w:numId w:val="24"/>
        </w:numPr>
        <w:rPr/>
      </w:pPr>
      <w:r w:rsidR="115947DF">
        <w:rPr/>
        <w:t xml:space="preserve">R. L. Warr, </w:t>
      </w:r>
      <w:r w:rsidRPr="7BE4DEDA" w:rsidR="115947DF">
        <w:rPr>
          <w:b w:val="1"/>
          <w:bCs w:val="1"/>
        </w:rPr>
        <w:t>D. B. Dahl</w:t>
      </w:r>
      <w:r w:rsidR="115947DF">
        <w:rPr/>
        <w:t xml:space="preserve">, J. M. Meyer, A. Lui (2021+), The Attraction Indian Buffet Distribution, </w:t>
      </w:r>
      <w:r w:rsidRPr="7BE4DEDA" w:rsidR="115947DF">
        <w:rPr>
          <w:i w:val="1"/>
          <w:iCs w:val="1"/>
        </w:rPr>
        <w:t>Bayesian Analysis</w:t>
      </w:r>
      <w:r w:rsidR="115947DF">
        <w:rPr/>
        <w:t>, accepted. DOI:10.1214/21-BA1279.</w:t>
      </w:r>
    </w:p>
    <w:p w:rsidR="761F560F" w:rsidP="7BE4DEDA" w:rsidRDefault="761F560F" w14:paraId="383A6BAF" w14:textId="38A6CF01">
      <w:pPr>
        <w:pStyle w:val="DataField11pt-Single"/>
        <w:numPr>
          <w:ilvl w:val="0"/>
          <w:numId w:val="24"/>
        </w:numPr>
        <w:rPr/>
      </w:pPr>
      <w:r w:rsidRPr="7BE4DEDA" w:rsidR="761F560F">
        <w:rPr>
          <w:noProof w:val="0"/>
          <w:lang w:val="en-US"/>
        </w:rPr>
        <w:t>Typically,</w:t>
      </w:r>
      <w:r w:rsidRPr="7BE4DEDA" w:rsidR="4ECF88EE">
        <w:rPr>
          <w:noProof w:val="0"/>
          <w:lang w:val="en-US"/>
        </w:rPr>
        <w:t xml:space="preserve"> in</w:t>
      </w:r>
      <w:r w:rsidRPr="7BE4DEDA" w:rsidR="4BDF039F">
        <w:rPr>
          <w:noProof w:val="0"/>
          <w:lang w:val="en-US"/>
        </w:rPr>
        <w:t xml:space="preserve"> Bayesian </w:t>
      </w:r>
      <w:r w:rsidRPr="7BE4DEDA" w:rsidR="6FB8BFAB">
        <w:rPr>
          <w:noProof w:val="0"/>
          <w:lang w:val="en-US"/>
        </w:rPr>
        <w:t xml:space="preserve">data </w:t>
      </w:r>
      <w:r w:rsidRPr="7BE4DEDA" w:rsidR="4BDF039F">
        <w:rPr>
          <w:noProof w:val="0"/>
          <w:lang w:val="en-US"/>
        </w:rPr>
        <w:t>analysis, a great deal effort is spent on “fitting the model” such as sampling from the posterior distribution</w:t>
      </w:r>
      <w:r w:rsidRPr="7BE4DEDA" w:rsidR="28D96DE1">
        <w:rPr>
          <w:noProof w:val="0"/>
          <w:lang w:val="en-US"/>
        </w:rPr>
        <w:t xml:space="preserve"> of the model (like those cited previously)</w:t>
      </w:r>
      <w:r w:rsidRPr="7BE4DEDA" w:rsidR="4BDF039F">
        <w:rPr>
          <w:noProof w:val="0"/>
          <w:lang w:val="en-US"/>
        </w:rPr>
        <w:t>.</w:t>
      </w:r>
      <w:r w:rsidRPr="7BE4DEDA" w:rsidR="53D54ADD">
        <w:rPr>
          <w:noProof w:val="0"/>
          <w:lang w:val="en-US"/>
        </w:rPr>
        <w:t xml:space="preserve"> </w:t>
      </w:r>
      <w:r w:rsidRPr="7BE4DEDA" w:rsidR="4BDF039F">
        <w:rPr>
          <w:noProof w:val="0"/>
          <w:lang w:val="en-US"/>
        </w:rPr>
        <w:t xml:space="preserve">It is </w:t>
      </w:r>
      <w:r w:rsidRPr="7BE4DEDA" w:rsidR="75F305BC">
        <w:rPr>
          <w:noProof w:val="0"/>
          <w:lang w:val="en-US"/>
        </w:rPr>
        <w:t xml:space="preserve">also </w:t>
      </w:r>
      <w:r w:rsidRPr="7BE4DEDA" w:rsidR="4BDF039F">
        <w:rPr>
          <w:noProof w:val="0"/>
          <w:lang w:val="en-US"/>
        </w:rPr>
        <w:t>necessary</w:t>
      </w:r>
      <w:r w:rsidRPr="7BE4DEDA" w:rsidR="0C88A234">
        <w:rPr>
          <w:noProof w:val="0"/>
          <w:lang w:val="en-US"/>
        </w:rPr>
        <w:t>, however,</w:t>
      </w:r>
      <w:r w:rsidRPr="7BE4DEDA" w:rsidR="4BDF039F">
        <w:rPr>
          <w:noProof w:val="0"/>
          <w:lang w:val="en-US"/>
        </w:rPr>
        <w:t xml:space="preserve"> to </w:t>
      </w:r>
      <w:r w:rsidRPr="7BE4DEDA" w:rsidR="4BDF039F">
        <w:rPr>
          <w:noProof w:val="0"/>
          <w:u w:val="single"/>
          <w:lang w:val="en-US"/>
        </w:rPr>
        <w:t>summarize the posterior distribution</w:t>
      </w:r>
      <w:r w:rsidRPr="7BE4DEDA" w:rsidR="4BDF039F">
        <w:rPr>
          <w:noProof w:val="0"/>
          <w:lang w:val="en-US"/>
        </w:rPr>
        <w:t xml:space="preserve"> </w:t>
      </w:r>
      <w:bookmarkStart w:name="_Int_L68Y56Ff" w:id="1918013536"/>
      <w:r w:rsidRPr="7BE4DEDA" w:rsidR="4BDF039F">
        <w:rPr>
          <w:noProof w:val="0"/>
          <w:lang w:val="en-US"/>
        </w:rPr>
        <w:t>to</w:t>
      </w:r>
      <w:bookmarkEnd w:id="1918013536"/>
      <w:r w:rsidRPr="7BE4DEDA" w:rsidR="4BDF039F">
        <w:rPr>
          <w:noProof w:val="0"/>
          <w:lang w:val="en-US"/>
        </w:rPr>
        <w:t xml:space="preserve"> convey meaningful results. </w:t>
      </w:r>
      <w:r w:rsidR="219EB12F">
        <w:rPr/>
        <w:t>Another area of expertise is the e</w:t>
      </w:r>
      <w:r w:rsidR="2F1F70FD">
        <w:rPr/>
        <w:t xml:space="preserve">stimation of </w:t>
      </w:r>
      <w:r w:rsidR="55F3DBF0">
        <w:rPr/>
        <w:t xml:space="preserve">parameters, </w:t>
      </w:r>
      <w:r w:rsidR="0746E608">
        <w:rPr/>
        <w:t>p</w:t>
      </w:r>
      <w:r w:rsidR="2F1F70FD">
        <w:rPr/>
        <w:t>artitions</w:t>
      </w:r>
      <w:r w:rsidR="4819AE8A">
        <w:rPr/>
        <w:t>,</w:t>
      </w:r>
      <w:r w:rsidR="48F40021">
        <w:rPr/>
        <w:t xml:space="preserve"> and </w:t>
      </w:r>
      <w:r w:rsidR="2AED233C">
        <w:rPr/>
        <w:t>f</w:t>
      </w:r>
      <w:r w:rsidR="48F40021">
        <w:rPr/>
        <w:t xml:space="preserve">eature </w:t>
      </w:r>
      <w:r w:rsidR="799881BA">
        <w:rPr/>
        <w:t>a</w:t>
      </w:r>
      <w:r w:rsidR="48F40021">
        <w:rPr/>
        <w:t>llocation</w:t>
      </w:r>
      <w:r w:rsidR="35E14962">
        <w:rPr/>
        <w:t>s</w:t>
      </w:r>
      <w:r w:rsidR="334396A1">
        <w:rPr/>
        <w:t xml:space="preserve"> based on posterior samples.</w:t>
      </w:r>
      <w:r w:rsidR="0BF8F6E5">
        <w:rPr/>
        <w:t xml:space="preserve"> A few of my key publications in this area are:</w:t>
      </w:r>
    </w:p>
    <w:p w:rsidR="0BF8F6E5" w:rsidP="7BE4DEDA" w:rsidRDefault="0BF8F6E5" w14:paraId="6C10B6B4" w14:textId="49B487C5">
      <w:pPr>
        <w:pStyle w:val="DataField11pt-Single"/>
        <w:numPr>
          <w:ilvl w:val="1"/>
          <w:numId w:val="24"/>
        </w:numPr>
        <w:rPr/>
      </w:pPr>
      <w:r w:rsidRPr="7BE4DEDA" w:rsidR="0BF8F6E5">
        <w:rPr>
          <w:b w:val="1"/>
          <w:bCs w:val="1"/>
        </w:rPr>
        <w:t>D. B. Dahl</w:t>
      </w:r>
      <w:r w:rsidR="0BF8F6E5">
        <w:rPr/>
        <w:t xml:space="preserve">, M. A. Newton (2007), Multiple Hypothesis Testing by Clustering Treatment Effects, </w:t>
      </w:r>
      <w:r w:rsidRPr="7BE4DEDA" w:rsidR="0BF8F6E5">
        <w:rPr>
          <w:i w:val="1"/>
          <w:iCs w:val="1"/>
        </w:rPr>
        <w:t>Journal of the American Statistical Association</w:t>
      </w:r>
      <w:r w:rsidR="0BF8F6E5">
        <w:rPr/>
        <w:t>, 102, 517-526.</w:t>
      </w:r>
    </w:p>
    <w:p w:rsidR="7CA3B030" w:rsidP="7BE4DEDA" w:rsidRDefault="7CA3B030" w14:paraId="2CF25EC1" w14:textId="157159DC">
      <w:pPr>
        <w:pStyle w:val="DataField11pt-Single"/>
        <w:numPr>
          <w:ilvl w:val="1"/>
          <w:numId w:val="24"/>
        </w:numPr>
        <w:rPr/>
      </w:pPr>
      <w:r w:rsidRPr="7BE4DEDA" w:rsidR="7CA3B030">
        <w:rPr>
          <w:b w:val="1"/>
          <w:bCs w:val="1"/>
        </w:rPr>
        <w:t>D. B. Dahl</w:t>
      </w:r>
      <w:r w:rsidR="7CA3B030">
        <w:rPr/>
        <w:t xml:space="preserve"> (2009), Modal Clustering in a Class of Product Partition Models, </w:t>
      </w:r>
      <w:r w:rsidRPr="7BE4DEDA" w:rsidR="7CA3B030">
        <w:rPr>
          <w:i w:val="1"/>
          <w:iCs w:val="1"/>
        </w:rPr>
        <w:t>Bayesian Analysis</w:t>
      </w:r>
      <w:r w:rsidR="7CA3B030">
        <w:rPr/>
        <w:t>, 4, 243-264.</w:t>
      </w:r>
    </w:p>
    <w:p w:rsidR="3872353B" w:rsidP="7BE4DEDA" w:rsidRDefault="3872353B" w14:paraId="2CB16F14" w14:textId="0474D177">
      <w:pPr>
        <w:pStyle w:val="DataField11pt-Single"/>
        <w:numPr>
          <w:ilvl w:val="1"/>
          <w:numId w:val="24"/>
        </w:numPr>
        <w:rPr/>
      </w:pPr>
      <w:r w:rsidRPr="7BE4DEDA" w:rsidR="3872353B">
        <w:rPr>
          <w:b w:val="1"/>
          <w:bCs w:val="1"/>
        </w:rPr>
        <w:t>D. B. Dahl</w:t>
      </w:r>
      <w:r w:rsidR="3872353B">
        <w:rPr/>
        <w:t xml:space="preserve">, D. J. Johnson, P. Müller (2022+), Search Algorithms and Loss Functions for Bayesian Clustering, </w:t>
      </w:r>
      <w:r w:rsidRPr="7BE4DEDA" w:rsidR="3872353B">
        <w:rPr>
          <w:i w:val="1"/>
          <w:iCs w:val="1"/>
        </w:rPr>
        <w:t>Journal of Computational and Graphical Statistics</w:t>
      </w:r>
      <w:r w:rsidR="3872353B">
        <w:rPr/>
        <w:t>, accepted. DOI:10.1080/10618600.2022.2069779.</w:t>
      </w:r>
    </w:p>
    <w:p w:rsidR="5D6D4FB7" w:rsidP="7BE4DEDA" w:rsidRDefault="5D6D4FB7" w14:paraId="7AC20B4C" w14:textId="3E7A8E8B">
      <w:pPr>
        <w:pStyle w:val="DataField11pt-Single"/>
        <w:numPr>
          <w:ilvl w:val="0"/>
          <w:numId w:val="24"/>
        </w:numPr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="5D6D4FB7">
        <w:rPr/>
        <w:t>I have also made contributions to the field of statistical models for protein structure prediction.</w:t>
      </w:r>
      <w:r w:rsidR="21F4992B">
        <w:rPr/>
        <w:t xml:space="preserve"> </w:t>
      </w:r>
      <w:r w:rsidRPr="7BE4DEDA" w:rsidR="21F4992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I was PI on an NIH R01 grant with Dr. Jerry Tsai (biochemist) and Dr. Marina Vannucci (statistician) in which built rigorous statistical approaches for protein structure prediction.</w:t>
      </w:r>
      <w:r w:rsidRPr="7BE4DEDA" w:rsidR="375028C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Many publications are with my Ph.D. student Kristin Lennox. </w:t>
      </w:r>
      <w:r w:rsidRPr="7BE4DEDA" w:rsidR="6D637CD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Th</w:t>
      </w:r>
      <w:r w:rsidRPr="7BE4DEDA" w:rsidR="64CAE2F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is</w:t>
      </w:r>
      <w:r w:rsidRPr="7BE4DEDA" w:rsidR="6D637CD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collaboration led to 10 publications, the most significant from a statistical perspective are:</w:t>
      </w:r>
    </w:p>
    <w:p w:rsidR="4CB5EF76" w:rsidP="7BE4DEDA" w:rsidRDefault="4CB5EF76" w14:paraId="64D80DF1" w14:textId="2CFB4587">
      <w:pPr>
        <w:pStyle w:val="DataField11pt-Single"/>
        <w:numPr>
          <w:ilvl w:val="1"/>
          <w:numId w:val="24"/>
        </w:numPr>
        <w:rPr/>
      </w:pPr>
      <w:r w:rsidR="4CB5EF76">
        <w:rPr/>
        <w:t xml:space="preserve">K. P. Lennox, </w:t>
      </w:r>
      <w:r w:rsidRPr="7BE4DEDA" w:rsidR="4CB5EF76">
        <w:rPr>
          <w:b w:val="1"/>
          <w:bCs w:val="1"/>
        </w:rPr>
        <w:t>D. B. Dahl</w:t>
      </w:r>
      <w:r w:rsidR="4CB5EF76">
        <w:rPr/>
        <w:t>, M. Vannucci, J. W. Tsai (2009), Density Estimation for Protein Conforma</w:t>
      </w:r>
      <w:r w:rsidR="4CB5EF76">
        <w:rPr/>
        <w:t xml:space="preserve">tion Angles Using a Bivariate von Mises Distribution and Bayesian </w:t>
      </w:r>
      <w:proofErr w:type="spellStart"/>
      <w:r w:rsidR="4CB5EF76">
        <w:rPr/>
        <w:t>Nonparametrics</w:t>
      </w:r>
      <w:proofErr w:type="spellEnd"/>
      <w:r w:rsidR="4CB5EF76">
        <w:rPr/>
        <w:t xml:space="preserve">, </w:t>
      </w:r>
      <w:r w:rsidRPr="7BE4DEDA" w:rsidR="4CB5EF76">
        <w:rPr>
          <w:i w:val="1"/>
          <w:iCs w:val="1"/>
        </w:rPr>
        <w:t>Journal of the American Statistical Association</w:t>
      </w:r>
      <w:r w:rsidR="4CB5EF76">
        <w:rPr/>
        <w:t>, 104, 586-596.</w:t>
      </w:r>
    </w:p>
    <w:p w:rsidR="7CD8A628" w:rsidP="7BE4DEDA" w:rsidRDefault="7CD8A628" w14:paraId="2410DBBE" w14:textId="076122FA">
      <w:pPr>
        <w:pStyle w:val="DataField11pt-Single"/>
        <w:numPr>
          <w:ilvl w:val="1"/>
          <w:numId w:val="24"/>
        </w:numPr>
        <w:rPr/>
      </w:pPr>
      <w:r w:rsidR="7CD8A628">
        <w:rPr/>
        <w:t xml:space="preserve">K. P. Lennox, </w:t>
      </w:r>
      <w:r w:rsidRPr="7BE4DEDA" w:rsidR="7CD8A628">
        <w:rPr>
          <w:b w:val="1"/>
          <w:bCs w:val="1"/>
        </w:rPr>
        <w:t>D. B. Dahl</w:t>
      </w:r>
      <w:r w:rsidR="7CD8A628">
        <w:rPr/>
        <w:t>, M. Vannucci, R. Day, J. W. Tsai (2010), A Dirichlet Process Mixture of</w:t>
      </w:r>
      <w:r w:rsidR="60D6EC43">
        <w:rPr/>
        <w:t xml:space="preserve"> </w:t>
      </w:r>
      <w:r w:rsidR="7CD8A628">
        <w:rPr/>
        <w:t xml:space="preserve">Hidden Markov Models for Protein Structure Prediction, </w:t>
      </w:r>
      <w:r w:rsidRPr="7BE4DEDA" w:rsidR="7CD8A628">
        <w:rPr>
          <w:i w:val="1"/>
          <w:iCs w:val="1"/>
        </w:rPr>
        <w:t>Annals of Applied Statistics</w:t>
      </w:r>
      <w:r w:rsidR="7CD8A628">
        <w:rPr/>
        <w:t>, 4, 916-942.</w:t>
      </w:r>
    </w:p>
    <w:p w:rsidR="023E08A7" w:rsidP="7BE4DEDA" w:rsidRDefault="023E08A7" w14:paraId="404F1EC3" w14:textId="2AB07E76">
      <w:pPr>
        <w:pStyle w:val="DataField11pt-Single"/>
        <w:numPr>
          <w:ilvl w:val="1"/>
          <w:numId w:val="24"/>
        </w:numPr>
        <w:rPr/>
      </w:pPr>
      <w:r w:rsidR="023E08A7">
        <w:rPr/>
        <w:t xml:space="preserve">R. Day, K. P. Lennox, </w:t>
      </w:r>
      <w:r w:rsidRPr="7BE4DEDA" w:rsidR="023E08A7">
        <w:rPr>
          <w:b w:val="1"/>
          <w:bCs w:val="1"/>
        </w:rPr>
        <w:t>D. B. Dahl</w:t>
      </w:r>
      <w:r w:rsidR="023E08A7">
        <w:rPr/>
        <w:t xml:space="preserve">, M. Vannucci, J. W. Tsai (2010), Characterizing the regularity of tetrahedral packing motifs in protein tertiary structure, </w:t>
      </w:r>
      <w:r w:rsidRPr="7BE4DEDA" w:rsidR="023E08A7">
        <w:rPr>
          <w:i w:val="1"/>
          <w:iCs w:val="1"/>
        </w:rPr>
        <w:t>Bioinformatics</w:t>
      </w:r>
      <w:r w:rsidR="023E08A7">
        <w:rPr/>
        <w:t>, 26, 3059-3066.</w:t>
      </w:r>
    </w:p>
    <w:p w:rsidR="4E14FCDB" w:rsidP="7BE4DEDA" w:rsidRDefault="4E14FCDB" w14:paraId="5FC91EE5" w14:textId="659AF86B">
      <w:pPr>
        <w:pStyle w:val="DataField11pt-Single"/>
        <w:numPr>
          <w:ilvl w:val="1"/>
          <w:numId w:val="24"/>
        </w:numPr>
        <w:rPr/>
      </w:pPr>
      <w:r w:rsidR="4E14FCDB">
        <w:rPr/>
        <w:t xml:space="preserve">Q. Li, </w:t>
      </w:r>
      <w:r w:rsidRPr="7BE4DEDA" w:rsidR="4E14FCDB">
        <w:rPr>
          <w:b w:val="1"/>
          <w:bCs w:val="1"/>
        </w:rPr>
        <w:t>D. B. Dahl</w:t>
      </w:r>
      <w:r w:rsidR="4E14FCDB">
        <w:rPr/>
        <w:t xml:space="preserve">, M. Vannucci, H. Joo, J. W. Tsai (2016), </w:t>
      </w:r>
      <w:proofErr w:type="spellStart"/>
      <w:r w:rsidR="4E14FCDB">
        <w:rPr/>
        <w:t>KScons</w:t>
      </w:r>
      <w:proofErr w:type="spellEnd"/>
      <w:r w:rsidR="4E14FCDB">
        <w:rPr/>
        <w:t>: A Bayesian Approach for Protein</w:t>
      </w:r>
      <w:r w:rsidR="7C5BA464">
        <w:rPr/>
        <w:t xml:space="preserve"> </w:t>
      </w:r>
      <w:r w:rsidR="4E14FCDB">
        <w:rPr/>
        <w:t xml:space="preserve">Residue Contact Prediction using the Knob-socket Model of Protein Tertiary Structure, </w:t>
      </w:r>
      <w:r w:rsidRPr="7BE4DEDA" w:rsidR="4E14FCDB">
        <w:rPr>
          <w:i w:val="1"/>
          <w:iCs w:val="1"/>
        </w:rPr>
        <w:t>Bioinformat</w:t>
      </w:r>
      <w:r w:rsidRPr="7BE4DEDA" w:rsidR="4E14FCDB">
        <w:rPr>
          <w:i w:val="1"/>
          <w:iCs w:val="1"/>
        </w:rPr>
        <w:t>ics</w:t>
      </w:r>
      <w:r w:rsidR="4E14FCDB">
        <w:rPr/>
        <w:t>, 32(24): 3774-3781.</w:t>
      </w:r>
    </w:p>
    <w:p w:rsidR="3499F332" w:rsidP="7BE4DEDA" w:rsidRDefault="3499F332" w14:paraId="5CAF8D11" w14:textId="272B530F">
      <w:pPr>
        <w:pStyle w:val="DataField11pt-Single"/>
        <w:numPr>
          <w:ilvl w:val="0"/>
          <w:numId w:val="24"/>
        </w:numPr>
        <w:rPr/>
      </w:pPr>
      <w:r w:rsidR="3499F332">
        <w:rPr/>
        <w:t xml:space="preserve">I also work </w:t>
      </w:r>
      <w:r w:rsidR="3499F332">
        <w:rPr/>
        <w:t>in the area of</w:t>
      </w:r>
      <w:r w:rsidR="3499F332">
        <w:rPr/>
        <w:t xml:space="preserve"> efficient algorithms to fit Bayesian nonparametric models. Most notable are my merge-split samplers for random partition models, including these articles:</w:t>
      </w:r>
    </w:p>
    <w:p w:rsidR="4E14FCDB" w:rsidP="7BE4DEDA" w:rsidRDefault="4E14FCDB" w14:paraId="07D6DBFC" w14:textId="3422884E">
      <w:pPr>
        <w:pStyle w:val="DataField11pt-Single"/>
        <w:numPr>
          <w:ilvl w:val="1"/>
          <w:numId w:val="24"/>
        </w:numPr>
        <w:rPr/>
      </w:pPr>
      <w:r w:rsidRPr="7BE4DEDA" w:rsidR="4E14FCDB">
        <w:rPr>
          <w:b w:val="1"/>
          <w:bCs w:val="1"/>
        </w:rPr>
        <w:t>D. B. Dahl</w:t>
      </w:r>
      <w:r w:rsidR="4E14FCDB">
        <w:rPr/>
        <w:t xml:space="preserve">, S. Newcomb (2022), </w:t>
      </w:r>
      <w:proofErr w:type="gramStart"/>
      <w:r w:rsidR="4E14FCDB">
        <w:rPr/>
        <w:t>Sequentially-Allocated</w:t>
      </w:r>
      <w:proofErr w:type="gramEnd"/>
      <w:r w:rsidR="4E14FCDB">
        <w:rPr/>
        <w:t xml:space="preserve"> Merge-Split Samplers for Conjugate Bayesian</w:t>
      </w:r>
      <w:r w:rsidR="0BD0CDB0">
        <w:rPr/>
        <w:t xml:space="preserve"> </w:t>
      </w:r>
      <w:r w:rsidR="4E14FCDB">
        <w:rPr/>
        <w:t xml:space="preserve">Nonparametric Models, </w:t>
      </w:r>
      <w:r w:rsidRPr="7BE4DEDA" w:rsidR="4E14FCDB">
        <w:rPr>
          <w:i w:val="1"/>
          <w:iCs w:val="1"/>
        </w:rPr>
        <w:t>Journal of Computational Statistics and Simulation</w:t>
      </w:r>
      <w:r w:rsidR="4E14FCDB">
        <w:rPr/>
        <w:t>, 92(7), 1487-1511.</w:t>
      </w:r>
      <w:r w:rsidR="079E887D">
        <w:rPr/>
        <w:t xml:space="preserve"> </w:t>
      </w:r>
      <w:r w:rsidR="4E14FCDB">
        <w:rPr/>
        <w:t>DOI:10.1080/00949655.</w:t>
      </w:r>
      <w:r w:rsidR="4E14FCDB">
        <w:rPr/>
        <w:t>2021.</w:t>
      </w:r>
    </w:p>
    <w:p w:rsidR="2397A972" w:rsidP="7BE4DEDA" w:rsidRDefault="2397A972" w14:paraId="2333C4BD" w14:textId="0FDEF41F">
      <w:pPr>
        <w:pStyle w:val="DataField11pt-Single"/>
        <w:numPr>
          <w:ilvl w:val="1"/>
          <w:numId w:val="24"/>
        </w:numPr>
        <w:rPr/>
      </w:pPr>
      <w:r w:rsidRPr="7BE4DEDA" w:rsidR="2397A972">
        <w:rPr>
          <w:b w:val="1"/>
          <w:bCs w:val="1"/>
        </w:rPr>
        <w:t>D. B. Dahl</w:t>
      </w:r>
      <w:r w:rsidR="2397A972">
        <w:rPr/>
        <w:t xml:space="preserve"> (2007), Invited Discussion of Jain and Neal’s “Splitting and Merging Components of a</w:t>
      </w:r>
      <w:r w:rsidR="52914AFC">
        <w:rPr/>
        <w:t xml:space="preserve"> </w:t>
      </w:r>
      <w:r w:rsidR="2397A972">
        <w:rPr/>
        <w:t xml:space="preserve">Nonconjugate Dirichlet Process Mixture Model,” </w:t>
      </w:r>
      <w:r w:rsidRPr="7BE4DEDA" w:rsidR="2397A972">
        <w:rPr>
          <w:i w:val="1"/>
          <w:iCs w:val="1"/>
        </w:rPr>
        <w:t>Bayesian Analysis</w:t>
      </w:r>
      <w:r w:rsidR="2397A972">
        <w:rPr/>
        <w:t>, 2, 473-478.</w:t>
      </w:r>
    </w:p>
    <w:p w:rsidR="000C052C" w:rsidP="7BE4DEDA" w:rsidRDefault="000C052C" w14:paraId="6AA43666" w14:textId="43058302">
      <w:pPr>
        <w:pStyle w:val="DataField11pt-Single"/>
        <w:numPr>
          <w:ilvl w:val="0"/>
          <w:numId w:val="24"/>
        </w:numPr>
        <w:rPr>
          <w:b w:val="1"/>
          <w:bCs w:val="1"/>
        </w:rPr>
      </w:pPr>
      <w:bookmarkStart w:name="_Int_bB9MvL7n" w:id="1959108047"/>
      <w:r w:rsidR="000C052C">
        <w:rPr/>
        <w:t>Nearly all</w:t>
      </w:r>
      <w:bookmarkEnd w:id="1959108047"/>
      <w:r w:rsidR="1EF63A07">
        <w:rPr/>
        <w:t xml:space="preserve"> of my papers </w:t>
      </w:r>
      <w:r w:rsidR="1EF63A07">
        <w:rPr/>
        <w:t>provide</w:t>
      </w:r>
      <w:r w:rsidR="1EF63A07">
        <w:rPr/>
        <w:t xml:space="preserve"> a reference s</w:t>
      </w:r>
      <w:r w:rsidR="13123F57">
        <w:rPr/>
        <w:t>oftware</w:t>
      </w:r>
      <w:r w:rsidR="326B1308">
        <w:rPr/>
        <w:t xml:space="preserve"> implementation.</w:t>
      </w:r>
      <w:r w:rsidR="13123F57">
        <w:rPr/>
        <w:t xml:space="preserve"> </w:t>
      </w:r>
      <w:r w:rsidR="02B401AF">
        <w:rPr/>
        <w:t xml:space="preserve">To aid other researchers in also </w:t>
      </w:r>
      <w:r w:rsidR="02B401AF">
        <w:rPr/>
        <w:t>providing</w:t>
      </w:r>
      <w:r w:rsidR="02B401AF">
        <w:rPr/>
        <w:t xml:space="preserve"> software for their methods, I have worked </w:t>
      </w:r>
      <w:r w:rsidR="02B401AF">
        <w:rPr/>
        <w:t>in the area of</w:t>
      </w:r>
      <w:r w:rsidR="02B401AF">
        <w:rPr/>
        <w:t xml:space="preserve"> statistical software integrations. </w:t>
      </w:r>
      <w:r w:rsidR="62067447">
        <w:rPr/>
        <w:t xml:space="preserve">For example, </w:t>
      </w:r>
      <w:r w:rsidR="02B401AF">
        <w:rPr/>
        <w:t>I have a p</w:t>
      </w:r>
      <w:r w:rsidR="29311056">
        <w:rPr/>
        <w:t>aper u</w:t>
      </w:r>
      <w:r w:rsidR="4E62085E">
        <w:rPr/>
        <w:t>nder</w:t>
      </w:r>
      <w:r w:rsidR="03DD7F99">
        <w:rPr/>
        <w:t xml:space="preserve"> review that </w:t>
      </w:r>
      <w:r w:rsidR="2F552CA1">
        <w:rPr/>
        <w:t>provides</w:t>
      </w:r>
      <w:r w:rsidR="2F552CA1">
        <w:rPr/>
        <w:t xml:space="preserve"> a framework for</w:t>
      </w:r>
      <w:r w:rsidR="4E62085E">
        <w:rPr/>
        <w:t xml:space="preserve"> develop</w:t>
      </w:r>
      <w:r w:rsidR="5D422519">
        <w:rPr/>
        <w:t>ing</w:t>
      </w:r>
      <w:r w:rsidR="4E62085E">
        <w:rPr/>
        <w:t xml:space="preserve"> R packages using fast and safe Rust code. Other papers </w:t>
      </w:r>
      <w:bookmarkStart w:name="_Int_XRU52wan" w:id="1128715334"/>
      <w:r w:rsidR="4E62085E">
        <w:rPr/>
        <w:t>in</w:t>
      </w:r>
      <w:bookmarkEnd w:id="1128715334"/>
      <w:r w:rsidR="4E62085E">
        <w:rPr/>
        <w:t xml:space="preserve"> software integrations are:</w:t>
      </w:r>
    </w:p>
    <w:p w:rsidR="13123F57" w:rsidP="7BE4DEDA" w:rsidRDefault="13123F57" w14:paraId="1A301250" w14:textId="3A89C349">
      <w:pPr>
        <w:pStyle w:val="DataField11pt-Single"/>
        <w:numPr>
          <w:ilvl w:val="1"/>
          <w:numId w:val="24"/>
        </w:numPr>
        <w:rPr/>
      </w:pPr>
      <w:r w:rsidRPr="7BE4DEDA" w:rsidR="13123F57">
        <w:rPr>
          <w:b w:val="1"/>
          <w:bCs w:val="1"/>
        </w:rPr>
        <w:t>D. B. Dahl</w:t>
      </w:r>
      <w:r w:rsidR="13123F57">
        <w:rPr/>
        <w:t xml:space="preserve">, S. Crawford (2009), </w:t>
      </w:r>
      <w:proofErr w:type="spellStart"/>
      <w:r w:rsidR="13123F57">
        <w:rPr/>
        <w:t>RinRuby</w:t>
      </w:r>
      <w:proofErr w:type="spellEnd"/>
      <w:r w:rsidR="13123F57">
        <w:rPr/>
        <w:t xml:space="preserve">: Accessing the R Interpreter from Pure Ruby, </w:t>
      </w:r>
      <w:r w:rsidRPr="7BE4DEDA" w:rsidR="13123F57">
        <w:rPr>
          <w:i w:val="1"/>
          <w:iCs w:val="1"/>
        </w:rPr>
        <w:t>Journal of</w:t>
      </w:r>
      <w:r w:rsidRPr="7BE4DEDA" w:rsidR="628AA669">
        <w:rPr>
          <w:i w:val="1"/>
          <w:iCs w:val="1"/>
        </w:rPr>
        <w:t xml:space="preserve"> </w:t>
      </w:r>
      <w:r w:rsidRPr="7BE4DEDA" w:rsidR="13123F57">
        <w:rPr>
          <w:i w:val="1"/>
          <w:iCs w:val="1"/>
        </w:rPr>
        <w:t>Statistical Software</w:t>
      </w:r>
      <w:r w:rsidR="13123F57">
        <w:rPr/>
        <w:t>, 29(4), 1-18.</w:t>
      </w:r>
    </w:p>
    <w:p w:rsidR="14CE49CA" w:rsidP="7BE4DEDA" w:rsidRDefault="14CE49CA" w14:paraId="19A05DD0" w14:textId="2C009D6E">
      <w:pPr>
        <w:pStyle w:val="DataField11pt-Single"/>
        <w:numPr>
          <w:ilvl w:val="1"/>
          <w:numId w:val="24"/>
        </w:numPr>
        <w:rPr/>
      </w:pPr>
      <w:r w:rsidRPr="7BE4DEDA" w:rsidR="14CE49CA">
        <w:rPr>
          <w:b w:val="1"/>
          <w:bCs w:val="1"/>
        </w:rPr>
        <w:t>D. B. Dahl</w:t>
      </w:r>
      <w:r w:rsidR="14CE49CA">
        <w:rPr/>
        <w:t xml:space="preserve"> (2020), Integration of R and Scala Using </w:t>
      </w:r>
      <w:proofErr w:type="spellStart"/>
      <w:r w:rsidR="14CE49CA">
        <w:rPr/>
        <w:t>rscala</w:t>
      </w:r>
      <w:proofErr w:type="spellEnd"/>
      <w:r w:rsidR="14CE49CA">
        <w:rPr/>
        <w:t xml:space="preserve">, </w:t>
      </w:r>
      <w:r w:rsidRPr="7BE4DEDA" w:rsidR="14CE49CA">
        <w:rPr>
          <w:i w:val="1"/>
          <w:iCs w:val="1"/>
        </w:rPr>
        <w:t>Journal of Statistical Software</w:t>
      </w:r>
      <w:r w:rsidR="14CE49CA">
        <w:rPr/>
        <w:t>, 92:4, 1-18. DOI:10.18637/</w:t>
      </w:r>
      <w:r w:rsidR="14CE49CA">
        <w:rPr/>
        <w:t>jss.v092.i</w:t>
      </w:r>
      <w:r w:rsidR="14CE49CA">
        <w:rPr/>
        <w:t>04.</w:t>
      </w:r>
    </w:p>
    <w:p w:rsidR="14CE49CA" w:rsidP="7BE4DEDA" w:rsidRDefault="14CE49CA" w14:paraId="560AABFC" w14:textId="583D9193">
      <w:pPr>
        <w:pStyle w:val="DataField11pt-Single"/>
        <w:numPr>
          <w:ilvl w:val="1"/>
          <w:numId w:val="24"/>
        </w:numPr>
        <w:rPr/>
      </w:pPr>
      <w:r w:rsidR="14CE49CA">
        <w:rPr/>
        <w:t>F.</w:t>
      </w:r>
      <w:r w:rsidR="14CE49CA">
        <w:rPr/>
        <w:t xml:space="preserve"> R. Gilbert, </w:t>
      </w:r>
      <w:r w:rsidRPr="7BE4DEDA" w:rsidR="14CE49CA">
        <w:rPr>
          <w:b w:val="1"/>
          <w:bCs w:val="1"/>
        </w:rPr>
        <w:t>D. B. Dahl</w:t>
      </w:r>
      <w:r w:rsidR="14CE49CA">
        <w:rPr/>
        <w:t xml:space="preserve"> (2018), jsr223: A Java Platform Integration for R with Programming Lan</w:t>
      </w:r>
      <w:r w:rsidR="14CE49CA">
        <w:rPr/>
        <w:t xml:space="preserve">guages Groovy, JavaScript, </w:t>
      </w:r>
      <w:proofErr w:type="spellStart"/>
      <w:r w:rsidR="14CE49CA">
        <w:rPr/>
        <w:t>JRuby</w:t>
      </w:r>
      <w:proofErr w:type="spellEnd"/>
      <w:r w:rsidR="14CE49CA">
        <w:rPr/>
        <w:t xml:space="preserve">, </w:t>
      </w:r>
      <w:proofErr w:type="spellStart"/>
      <w:r w:rsidR="14CE49CA">
        <w:rPr/>
        <w:t>Jython</w:t>
      </w:r>
      <w:proofErr w:type="spellEnd"/>
      <w:r w:rsidR="14CE49CA">
        <w:rPr/>
        <w:t xml:space="preserve">, and Kotlin, </w:t>
      </w:r>
      <w:r w:rsidRPr="7BE4DEDA" w:rsidR="14CE49CA">
        <w:rPr>
          <w:i w:val="1"/>
          <w:iCs w:val="1"/>
        </w:rPr>
        <w:t>R Journal</w:t>
      </w:r>
      <w:r w:rsidR="14CE49CA">
        <w:rPr/>
        <w:t>, 10:2, 440-454. DOI:10.32614/RJ-</w:t>
      </w:r>
      <w:r w:rsidR="14CE49CA">
        <w:rPr/>
        <w:t>2018-066.</w:t>
      </w:r>
    </w:p>
    <w:p w:rsidR="7BE4DEDA" w:rsidP="7BE4DEDA" w:rsidRDefault="7BE4DEDA" w14:paraId="45E6029F" w14:textId="26012A2F">
      <w:pPr>
        <w:pStyle w:val="DataField11pt-Single"/>
      </w:pPr>
    </w:p>
    <w:p w:rsidR="7BE4DEDA" w:rsidP="7BE4DEDA" w:rsidRDefault="7BE4DEDA" w14:paraId="4661024C" w14:textId="67E9C22A">
      <w:pPr>
        <w:pStyle w:val="DataField11pt-Single"/>
      </w:pPr>
    </w:p>
    <w:p w:rsidRPr="00A128A0" w:rsidR="002C51BC" w:rsidP="002C51BC" w:rsidRDefault="002C51BC" w14:paraId="5CE1EAD0" w14:textId="77777777">
      <w:pPr>
        <w:pStyle w:val="DataField11pt-Single"/>
        <w:rPr>
          <w:rStyle w:val="Strong"/>
        </w:rPr>
      </w:pPr>
    </w:p>
    <w:p w:rsidRPr="00E03323" w:rsidR="00FC5F9E" w:rsidP="005C2CF8" w:rsidRDefault="00FC5F9E" w14:paraId="5BB8C337" w14:textId="10B44E9F" w14:noSpellErr="1">
      <w:pPr>
        <w:pStyle w:val="DataField11pt-Single"/>
        <w:rPr>
          <w:rStyle w:val="Strong"/>
          <w:b w:val="0"/>
          <w:bCs w:val="0"/>
        </w:rPr>
      </w:pPr>
    </w:p>
    <w:p w:rsidR="7BE4DEDA" w:rsidP="7BE4DEDA" w:rsidRDefault="7BE4DEDA" w14:paraId="25AD9002" w14:textId="37B6FC51">
      <w:pPr>
        <w:pStyle w:val="DataField11pt-Single"/>
        <w:rPr>
          <w:rStyle w:val="Strong"/>
          <w:b w:val="0"/>
          <w:bCs w:val="0"/>
        </w:rPr>
      </w:pPr>
    </w:p>
    <w:sectPr w:rsidRPr="00E03323" w:rsidR="00FC5F9E" w:rsidSect="00DF7645">
      <w:headerReference w:type="default" r:id="rId10"/>
      <w:type w:val="continuous"/>
      <w:pgSz w:w="12240" w:h="15840" w:orient="portrait" w:code="1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07C9E" w:rsidRDefault="00307C9E" w14:paraId="69A0B83E" w14:textId="77777777">
      <w:r>
        <w:separator/>
      </w:r>
    </w:p>
  </w:endnote>
  <w:endnote w:type="continuationSeparator" w:id="0">
    <w:p w:rsidR="00307C9E" w:rsidRDefault="00307C9E" w14:paraId="1B80623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07C9E" w:rsidRDefault="00307C9E" w14:paraId="167AB5EF" w14:textId="77777777">
      <w:r>
        <w:separator/>
      </w:r>
    </w:p>
  </w:footnote>
  <w:footnote w:type="continuationSeparator" w:id="0">
    <w:p w:rsidR="00307C9E" w:rsidRDefault="00307C9E" w14:paraId="77F8F043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27A1" w:rsidRDefault="00E127A1" w14:paraId="2A711255" w14:textId="4BE79BB4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XRU52wan" int2:invalidationBookmarkName="" int2:hashCode="gD0NHrr6BQHmXZ" int2:id="CMBAroNZ"/>
    <int2:bookmark int2:bookmarkName="_Int_bB9MvL7n" int2:invalidationBookmarkName="" int2:hashCode="77pzvLIcLZiy60" int2:id="Vm9kMQr8"/>
    <int2:bookmark int2:bookmarkName="_Int_L68Y56Ff" int2:invalidationBookmarkName="" int2:hashCode="e0dMsLOcF3PXGS" int2:id="fOK3xnv0"/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23">
    <w:nsid w:val="4013f3d1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2">
    <w:nsid w:val="43b1c8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cd00a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5259a7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46ba9c7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2cf8097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1d538a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7C"/>
    <w:multiLevelType w:val="singleLevel"/>
    <w:tmpl w:val="5486ED7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009D2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448867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C6EE5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86BCA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Times New Roman"/>
      </w:rPr>
    </w:lvl>
  </w:abstractNum>
  <w:abstractNum w:abstractNumId="5" w15:restartNumberingAfterBreak="0">
    <w:nsid w:val="FFFFFF81"/>
    <w:multiLevelType w:val="singleLevel"/>
    <w:tmpl w:val="25B4CBE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 w:cs="Times New Roman"/>
      </w:rPr>
    </w:lvl>
  </w:abstractNum>
  <w:abstractNum w:abstractNumId="6" w15:restartNumberingAfterBreak="0">
    <w:nsid w:val="FFFFFF82"/>
    <w:multiLevelType w:val="singleLevel"/>
    <w:tmpl w:val="D1761C7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 w:cs="Times New Roman"/>
      </w:rPr>
    </w:lvl>
  </w:abstractNum>
  <w:abstractNum w:abstractNumId="7" w15:restartNumberingAfterBreak="0">
    <w:nsid w:val="FFFFFF83"/>
    <w:multiLevelType w:val="singleLevel"/>
    <w:tmpl w:val="C1DCA67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Times New Roman"/>
      </w:rPr>
    </w:lvl>
  </w:abstractNum>
  <w:abstractNum w:abstractNumId="8" w15:restartNumberingAfterBreak="0">
    <w:nsid w:val="FFFFFF88"/>
    <w:multiLevelType w:val="singleLevel"/>
    <w:tmpl w:val="02B2C3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26D0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 w:cs="Times New Roman"/>
      </w:rPr>
    </w:lvl>
  </w:abstractNum>
  <w:abstractNum w:abstractNumId="10" w15:restartNumberingAfterBreak="0">
    <w:nsid w:val="00DE6AC5"/>
    <w:multiLevelType w:val="hybridMultilevel"/>
    <w:tmpl w:val="CC882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8E681E"/>
    <w:multiLevelType w:val="singleLevel"/>
    <w:tmpl w:val="04090013"/>
    <w:lvl w:ilvl="0">
      <w:start w:val="5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 w15:restartNumberingAfterBreak="0">
    <w:nsid w:val="31B11E7C"/>
    <w:multiLevelType w:val="hybridMultilevel"/>
    <w:tmpl w:val="9828D8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D9E62D8"/>
    <w:multiLevelType w:val="multilevel"/>
    <w:tmpl w:val="55E0F6FE"/>
    <w:lvl w:ilvl="0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4" w15:restartNumberingAfterBreak="0">
    <w:nsid w:val="6B09135F"/>
    <w:multiLevelType w:val="hybridMultilevel"/>
    <w:tmpl w:val="C39A8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867D5D"/>
    <w:multiLevelType w:val="hybridMultilevel"/>
    <w:tmpl w:val="C24C59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4EC444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 w:cs="Times New Roman"/>
      </w:rPr>
    </w:lvl>
  </w:abstractNum>
  <w:num w:numId="25">
    <w:abstractNumId w:val="23"/>
  </w:num>
  <w:num w:numId="24">
    <w:abstractNumId w:val="22"/>
  </w:num>
  <w:num w:numId="23">
    <w:abstractNumId w:val="21"/>
  </w:num>
  <w:num w:numId="22">
    <w:abstractNumId w:val="20"/>
  </w:num>
  <w:num w:numId="21">
    <w:abstractNumId w:val="19"/>
  </w:num>
  <w:num w:numId="20">
    <w:abstractNumId w:val="18"/>
  </w:num>
  <w:num w:numId="19">
    <w:abstractNumId w:val="17"/>
  </w: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0"/>
  </w:num>
  <w:num w:numId="12">
    <w:abstractNumId w:val="13"/>
  </w:num>
  <w:num w:numId="13">
    <w:abstractNumId w:val="11"/>
  </w:num>
  <w:num w:numId="14">
    <w:abstractNumId w:val="16"/>
  </w:num>
  <w:num w:numId="15">
    <w:abstractNumId w:val="14"/>
  </w:num>
  <w:num w:numId="16">
    <w:abstractNumId w:val="15"/>
  </w:num>
  <w:num w:numId="17">
    <w:abstractNumId w:val="10"/>
  </w:num>
  <w:num w:numId="18">
    <w:abstractNumId w:val="1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360"/>
  <w:doNotHyphenateCaps/>
  <w:drawingGridHorizontalSpacing w:val="110"/>
  <w:drawingGridVerticalSpacing w:val="120"/>
  <w:displayHorizontalDrawingGridEvery w:val="0"/>
  <w:displayVerticalDrawingGridEvery w:val="3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A45"/>
    <w:rsid w:val="00007231"/>
    <w:rsid w:val="00023A7A"/>
    <w:rsid w:val="00067621"/>
    <w:rsid w:val="00084466"/>
    <w:rsid w:val="000C052C"/>
    <w:rsid w:val="000E3BEC"/>
    <w:rsid w:val="00106DA1"/>
    <w:rsid w:val="00122EB3"/>
    <w:rsid w:val="00132CA6"/>
    <w:rsid w:val="0014571A"/>
    <w:rsid w:val="00170D87"/>
    <w:rsid w:val="00177D49"/>
    <w:rsid w:val="00182189"/>
    <w:rsid w:val="00183022"/>
    <w:rsid w:val="001C065C"/>
    <w:rsid w:val="00202565"/>
    <w:rsid w:val="002506F6"/>
    <w:rsid w:val="0028051C"/>
    <w:rsid w:val="002A70D9"/>
    <w:rsid w:val="002B7443"/>
    <w:rsid w:val="002C4808"/>
    <w:rsid w:val="002C51BC"/>
    <w:rsid w:val="002D7520"/>
    <w:rsid w:val="002E2CA2"/>
    <w:rsid w:val="002E5125"/>
    <w:rsid w:val="00307C9E"/>
    <w:rsid w:val="00321A19"/>
    <w:rsid w:val="0035045F"/>
    <w:rsid w:val="0037667F"/>
    <w:rsid w:val="00382AB6"/>
    <w:rsid w:val="00383712"/>
    <w:rsid w:val="003C2647"/>
    <w:rsid w:val="003C3CA5"/>
    <w:rsid w:val="003C62D6"/>
    <w:rsid w:val="003D2399"/>
    <w:rsid w:val="003E4A92"/>
    <w:rsid w:val="003F6A45"/>
    <w:rsid w:val="0040289D"/>
    <w:rsid w:val="00432346"/>
    <w:rsid w:val="00447F3A"/>
    <w:rsid w:val="004759D9"/>
    <w:rsid w:val="0049068A"/>
    <w:rsid w:val="00493D23"/>
    <w:rsid w:val="004A3FC8"/>
    <w:rsid w:val="00503B57"/>
    <w:rsid w:val="005145BB"/>
    <w:rsid w:val="00517BFD"/>
    <w:rsid w:val="0054471F"/>
    <w:rsid w:val="005461F3"/>
    <w:rsid w:val="00547118"/>
    <w:rsid w:val="00547AC9"/>
    <w:rsid w:val="00592740"/>
    <w:rsid w:val="005A7F6F"/>
    <w:rsid w:val="005C2BDD"/>
    <w:rsid w:val="005C2CF8"/>
    <w:rsid w:val="005C47A8"/>
    <w:rsid w:val="005E406E"/>
    <w:rsid w:val="005F0B12"/>
    <w:rsid w:val="005F5F51"/>
    <w:rsid w:val="00601C69"/>
    <w:rsid w:val="00616BCC"/>
    <w:rsid w:val="00624261"/>
    <w:rsid w:val="00646AF9"/>
    <w:rsid w:val="00656AB8"/>
    <w:rsid w:val="006609B6"/>
    <w:rsid w:val="0068699D"/>
    <w:rsid w:val="006A353C"/>
    <w:rsid w:val="006A56FC"/>
    <w:rsid w:val="006B2D1C"/>
    <w:rsid w:val="006C1E1F"/>
    <w:rsid w:val="006D75B4"/>
    <w:rsid w:val="006E6FB5"/>
    <w:rsid w:val="007050F5"/>
    <w:rsid w:val="0071140F"/>
    <w:rsid w:val="00722C8F"/>
    <w:rsid w:val="00763DE9"/>
    <w:rsid w:val="00781234"/>
    <w:rsid w:val="007B7AF3"/>
    <w:rsid w:val="007E6E1E"/>
    <w:rsid w:val="008073EB"/>
    <w:rsid w:val="00843027"/>
    <w:rsid w:val="00873917"/>
    <w:rsid w:val="00874EBC"/>
    <w:rsid w:val="0087514A"/>
    <w:rsid w:val="00890CA9"/>
    <w:rsid w:val="009211D3"/>
    <w:rsid w:val="00933173"/>
    <w:rsid w:val="00934124"/>
    <w:rsid w:val="00952A27"/>
    <w:rsid w:val="00977FA5"/>
    <w:rsid w:val="009D7E97"/>
    <w:rsid w:val="009E52CA"/>
    <w:rsid w:val="009F72E5"/>
    <w:rsid w:val="00A03FFA"/>
    <w:rsid w:val="00A04942"/>
    <w:rsid w:val="00A04B52"/>
    <w:rsid w:val="00A1469B"/>
    <w:rsid w:val="00A14EF5"/>
    <w:rsid w:val="00A26D0F"/>
    <w:rsid w:val="00A42D9B"/>
    <w:rsid w:val="00A50A8B"/>
    <w:rsid w:val="00A55D1D"/>
    <w:rsid w:val="00A63D7C"/>
    <w:rsid w:val="00A7514C"/>
    <w:rsid w:val="00A8122C"/>
    <w:rsid w:val="00A83312"/>
    <w:rsid w:val="00AE41C4"/>
    <w:rsid w:val="00B8003A"/>
    <w:rsid w:val="00C05C55"/>
    <w:rsid w:val="00C076C6"/>
    <w:rsid w:val="00C1247F"/>
    <w:rsid w:val="00C137DA"/>
    <w:rsid w:val="00C20F69"/>
    <w:rsid w:val="00C3113F"/>
    <w:rsid w:val="00C4536F"/>
    <w:rsid w:val="00C46ADA"/>
    <w:rsid w:val="00C8438D"/>
    <w:rsid w:val="00C85025"/>
    <w:rsid w:val="00C918BD"/>
    <w:rsid w:val="00C94E59"/>
    <w:rsid w:val="00CA680A"/>
    <w:rsid w:val="00CE0951"/>
    <w:rsid w:val="00CF68A2"/>
    <w:rsid w:val="00CF6FAD"/>
    <w:rsid w:val="00D3779E"/>
    <w:rsid w:val="00D679E5"/>
    <w:rsid w:val="00D74391"/>
    <w:rsid w:val="00D83360"/>
    <w:rsid w:val="00DB7B85"/>
    <w:rsid w:val="00DD31B4"/>
    <w:rsid w:val="00DF7645"/>
    <w:rsid w:val="00E03323"/>
    <w:rsid w:val="00E047AD"/>
    <w:rsid w:val="00E12287"/>
    <w:rsid w:val="00E127A1"/>
    <w:rsid w:val="00E15579"/>
    <w:rsid w:val="00E20E6D"/>
    <w:rsid w:val="00E355C2"/>
    <w:rsid w:val="00E53B95"/>
    <w:rsid w:val="00E67A05"/>
    <w:rsid w:val="00E74AB7"/>
    <w:rsid w:val="00E81FE1"/>
    <w:rsid w:val="00E90203"/>
    <w:rsid w:val="00EA0405"/>
    <w:rsid w:val="00ED35D7"/>
    <w:rsid w:val="00ED61AB"/>
    <w:rsid w:val="00EF4C32"/>
    <w:rsid w:val="00EF69CD"/>
    <w:rsid w:val="00F02126"/>
    <w:rsid w:val="00F07AB3"/>
    <w:rsid w:val="00F262AB"/>
    <w:rsid w:val="00F7284D"/>
    <w:rsid w:val="00F94A2B"/>
    <w:rsid w:val="00FA00C6"/>
    <w:rsid w:val="00FC5F9E"/>
    <w:rsid w:val="00FE10AD"/>
    <w:rsid w:val="00FE52B9"/>
    <w:rsid w:val="00FE7A5F"/>
    <w:rsid w:val="00FF1D5B"/>
    <w:rsid w:val="01CF9051"/>
    <w:rsid w:val="02205DCC"/>
    <w:rsid w:val="023E08A7"/>
    <w:rsid w:val="024343B4"/>
    <w:rsid w:val="02B401AF"/>
    <w:rsid w:val="02CFFEB1"/>
    <w:rsid w:val="038FFA05"/>
    <w:rsid w:val="03DD7F99"/>
    <w:rsid w:val="0470B2CD"/>
    <w:rsid w:val="0497D075"/>
    <w:rsid w:val="052397D7"/>
    <w:rsid w:val="06A30174"/>
    <w:rsid w:val="0746E608"/>
    <w:rsid w:val="078EDAFE"/>
    <w:rsid w:val="079E887D"/>
    <w:rsid w:val="087A8972"/>
    <w:rsid w:val="08F54786"/>
    <w:rsid w:val="09F69069"/>
    <w:rsid w:val="0A56104E"/>
    <w:rsid w:val="0B7810C6"/>
    <w:rsid w:val="0BC0F831"/>
    <w:rsid w:val="0BD0CDB0"/>
    <w:rsid w:val="0BF8F6E5"/>
    <w:rsid w:val="0C323260"/>
    <w:rsid w:val="0C88A234"/>
    <w:rsid w:val="0D7488B3"/>
    <w:rsid w:val="0E0377D6"/>
    <w:rsid w:val="0E6F9621"/>
    <w:rsid w:val="0EAAA74C"/>
    <w:rsid w:val="0EE586A1"/>
    <w:rsid w:val="0F46841F"/>
    <w:rsid w:val="10F672A1"/>
    <w:rsid w:val="113783AC"/>
    <w:rsid w:val="115947DF"/>
    <w:rsid w:val="125731D7"/>
    <w:rsid w:val="13123F57"/>
    <w:rsid w:val="138322AB"/>
    <w:rsid w:val="140812D1"/>
    <w:rsid w:val="1412C0F2"/>
    <w:rsid w:val="14ACEC8D"/>
    <w:rsid w:val="14CE49CA"/>
    <w:rsid w:val="15AE9153"/>
    <w:rsid w:val="169BD319"/>
    <w:rsid w:val="1793BFD4"/>
    <w:rsid w:val="1837A37A"/>
    <w:rsid w:val="18D5458E"/>
    <w:rsid w:val="18FF5F28"/>
    <w:rsid w:val="191B1C22"/>
    <w:rsid w:val="1B3931BA"/>
    <w:rsid w:val="1C52BCE4"/>
    <w:rsid w:val="1C68CF26"/>
    <w:rsid w:val="1CD126CF"/>
    <w:rsid w:val="1CE29F0F"/>
    <w:rsid w:val="1EF63A07"/>
    <w:rsid w:val="1FB2D334"/>
    <w:rsid w:val="201A3FD1"/>
    <w:rsid w:val="201D136B"/>
    <w:rsid w:val="20A56DB2"/>
    <w:rsid w:val="212179BD"/>
    <w:rsid w:val="219EB12F"/>
    <w:rsid w:val="21F4992B"/>
    <w:rsid w:val="23174A26"/>
    <w:rsid w:val="2397A972"/>
    <w:rsid w:val="24E417E9"/>
    <w:rsid w:val="2537FA20"/>
    <w:rsid w:val="2698B956"/>
    <w:rsid w:val="2705F83A"/>
    <w:rsid w:val="28D96DE1"/>
    <w:rsid w:val="29311056"/>
    <w:rsid w:val="2947522E"/>
    <w:rsid w:val="2A8E1FB9"/>
    <w:rsid w:val="2AED233C"/>
    <w:rsid w:val="2BA73BA4"/>
    <w:rsid w:val="2BD6E582"/>
    <w:rsid w:val="2C642C64"/>
    <w:rsid w:val="2C70CE34"/>
    <w:rsid w:val="2DC176A0"/>
    <w:rsid w:val="2E1AC351"/>
    <w:rsid w:val="2E43C4C4"/>
    <w:rsid w:val="2E69A59F"/>
    <w:rsid w:val="2F1F70FD"/>
    <w:rsid w:val="2F552CA1"/>
    <w:rsid w:val="2FF8BD82"/>
    <w:rsid w:val="307AACC7"/>
    <w:rsid w:val="309C63BF"/>
    <w:rsid w:val="30D5DFB2"/>
    <w:rsid w:val="3107B462"/>
    <w:rsid w:val="31526413"/>
    <w:rsid w:val="31D6F51C"/>
    <w:rsid w:val="326B1308"/>
    <w:rsid w:val="32E00FB8"/>
    <w:rsid w:val="33049F40"/>
    <w:rsid w:val="33095FA7"/>
    <w:rsid w:val="334396A1"/>
    <w:rsid w:val="33D5F00A"/>
    <w:rsid w:val="348A04D5"/>
    <w:rsid w:val="3499F332"/>
    <w:rsid w:val="34C43B41"/>
    <w:rsid w:val="35D4E49A"/>
    <w:rsid w:val="35E14962"/>
    <w:rsid w:val="36FED19D"/>
    <w:rsid w:val="375028CF"/>
    <w:rsid w:val="377A70DE"/>
    <w:rsid w:val="3872353B"/>
    <w:rsid w:val="3A111D84"/>
    <w:rsid w:val="3AC11878"/>
    <w:rsid w:val="3CAF019A"/>
    <w:rsid w:val="3E1EB025"/>
    <w:rsid w:val="3FBB7CA5"/>
    <w:rsid w:val="3FCF9AC6"/>
    <w:rsid w:val="40E64A1C"/>
    <w:rsid w:val="41677CE4"/>
    <w:rsid w:val="41E365F3"/>
    <w:rsid w:val="43DEF2D4"/>
    <w:rsid w:val="44B7EF3B"/>
    <w:rsid w:val="44F4B34F"/>
    <w:rsid w:val="451B06B5"/>
    <w:rsid w:val="45D1E007"/>
    <w:rsid w:val="4819AE8A"/>
    <w:rsid w:val="48ABA49C"/>
    <w:rsid w:val="48F40021"/>
    <w:rsid w:val="490D5C15"/>
    <w:rsid w:val="4936F500"/>
    <w:rsid w:val="497C2E62"/>
    <w:rsid w:val="49D54F7B"/>
    <w:rsid w:val="4AA5512A"/>
    <w:rsid w:val="4B30DD37"/>
    <w:rsid w:val="4B82C055"/>
    <w:rsid w:val="4BDF039F"/>
    <w:rsid w:val="4C2EBAF7"/>
    <w:rsid w:val="4C6BC228"/>
    <w:rsid w:val="4C6E95C2"/>
    <w:rsid w:val="4CB5EF76"/>
    <w:rsid w:val="4DDCF1EC"/>
    <w:rsid w:val="4E14FCDB"/>
    <w:rsid w:val="4E62085E"/>
    <w:rsid w:val="4ECF88EE"/>
    <w:rsid w:val="4F5E92A4"/>
    <w:rsid w:val="5066AD27"/>
    <w:rsid w:val="50C56362"/>
    <w:rsid w:val="514206E5"/>
    <w:rsid w:val="51E06160"/>
    <w:rsid w:val="52466D37"/>
    <w:rsid w:val="525A5F1C"/>
    <w:rsid w:val="52914AFC"/>
    <w:rsid w:val="52B0630F"/>
    <w:rsid w:val="53656744"/>
    <w:rsid w:val="53CDC985"/>
    <w:rsid w:val="53D54ADD"/>
    <w:rsid w:val="54112245"/>
    <w:rsid w:val="544C3370"/>
    <w:rsid w:val="54F32643"/>
    <w:rsid w:val="555A6DA8"/>
    <w:rsid w:val="55F3DBF0"/>
    <w:rsid w:val="561B98AB"/>
    <w:rsid w:val="567E7C59"/>
    <w:rsid w:val="5739B30E"/>
    <w:rsid w:val="57B2053D"/>
    <w:rsid w:val="57DA57DF"/>
    <w:rsid w:val="5805B3C7"/>
    <w:rsid w:val="581A4CBA"/>
    <w:rsid w:val="58C0F580"/>
    <w:rsid w:val="58F64911"/>
    <w:rsid w:val="5975400E"/>
    <w:rsid w:val="5A531D4B"/>
    <w:rsid w:val="5B5215B5"/>
    <w:rsid w:val="5B59400A"/>
    <w:rsid w:val="5BB31333"/>
    <w:rsid w:val="5C4EA51B"/>
    <w:rsid w:val="5D422519"/>
    <w:rsid w:val="5D60F349"/>
    <w:rsid w:val="5D6D4FB7"/>
    <w:rsid w:val="5DA3E66A"/>
    <w:rsid w:val="5DEF9479"/>
    <w:rsid w:val="5FFF8AD5"/>
    <w:rsid w:val="606980AD"/>
    <w:rsid w:val="60D67CF0"/>
    <w:rsid w:val="60D6EC43"/>
    <w:rsid w:val="618677E4"/>
    <w:rsid w:val="6190D829"/>
    <w:rsid w:val="619B5B36"/>
    <w:rsid w:val="62067447"/>
    <w:rsid w:val="62500A74"/>
    <w:rsid w:val="628AA669"/>
    <w:rsid w:val="6346C5CF"/>
    <w:rsid w:val="642FD4AA"/>
    <w:rsid w:val="649CB4A2"/>
    <w:rsid w:val="64CAE2FE"/>
    <w:rsid w:val="65A75F06"/>
    <w:rsid w:val="6608A8C6"/>
    <w:rsid w:val="683DBEBE"/>
    <w:rsid w:val="68548BD7"/>
    <w:rsid w:val="68A206C9"/>
    <w:rsid w:val="69BF9578"/>
    <w:rsid w:val="6A002FCE"/>
    <w:rsid w:val="6A143E3F"/>
    <w:rsid w:val="6B5B65D9"/>
    <w:rsid w:val="6BB00EA0"/>
    <w:rsid w:val="6BD9A78B"/>
    <w:rsid w:val="6D637CDD"/>
    <w:rsid w:val="6E693ADF"/>
    <w:rsid w:val="6FB8BFAB"/>
    <w:rsid w:val="705648F5"/>
    <w:rsid w:val="71097192"/>
    <w:rsid w:val="723F361C"/>
    <w:rsid w:val="725BE3D3"/>
    <w:rsid w:val="72773644"/>
    <w:rsid w:val="73C8BD79"/>
    <w:rsid w:val="741306A5"/>
    <w:rsid w:val="741810E1"/>
    <w:rsid w:val="7576D6DE"/>
    <w:rsid w:val="75B3E142"/>
    <w:rsid w:val="75F305BC"/>
    <w:rsid w:val="761F560F"/>
    <w:rsid w:val="770F963C"/>
    <w:rsid w:val="77825F8E"/>
    <w:rsid w:val="78615ADA"/>
    <w:rsid w:val="792FD2A9"/>
    <w:rsid w:val="799881BA"/>
    <w:rsid w:val="79BC90E5"/>
    <w:rsid w:val="7A2E7443"/>
    <w:rsid w:val="7B604ECC"/>
    <w:rsid w:val="7BE4DEDA"/>
    <w:rsid w:val="7C1E188A"/>
    <w:rsid w:val="7C5BA464"/>
    <w:rsid w:val="7CA3B030"/>
    <w:rsid w:val="7CD8A628"/>
    <w:rsid w:val="7CE7AB1A"/>
    <w:rsid w:val="7D4CECA8"/>
    <w:rsid w:val="7D661505"/>
    <w:rsid w:val="7E3C9D61"/>
    <w:rsid w:val="7EBD9702"/>
    <w:rsid w:val="7F01E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  <w14:docId w14:val="4DF5C490"/>
  <w15:chartTrackingRefBased/>
  <w15:docId w15:val="{6A0637CB-648B-4C13-B815-8F67F3708B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A04B52"/>
    <w:pPr>
      <w:autoSpaceDE w:val="0"/>
      <w:autoSpaceDN w:val="0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2B7443"/>
    <w:pPr>
      <w:pBdr>
        <w:top w:val="single" w:color="auto" w:sz="4" w:space="12"/>
      </w:pBdr>
      <w:jc w:val="center"/>
      <w:outlineLvl w:val="0"/>
    </w:pPr>
    <w:rPr>
      <w:rFonts w:cs="Arial"/>
      <w:b/>
      <w:bCs/>
      <w:szCs w:val="22"/>
    </w:rPr>
  </w:style>
  <w:style w:type="paragraph" w:styleId="Heading2">
    <w:name w:val="heading 2"/>
    <w:basedOn w:val="Subtitle"/>
    <w:next w:val="Normal"/>
    <w:qFormat/>
    <w:rsid w:val="00656AB8"/>
  </w:style>
  <w:style w:type="paragraph" w:styleId="Heading3">
    <w:name w:val="heading 3"/>
    <w:basedOn w:val="Subtitle2"/>
    <w:next w:val="Normal"/>
    <w:link w:val="Heading3Char"/>
    <w:unhideWhenUsed/>
    <w:qFormat/>
    <w:rsid w:val="00656AB8"/>
    <w:pPr>
      <w:outlineLvl w:val="2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</w:pPr>
    <w:rPr>
      <w:rFonts w:ascii="Times" w:hAnsi="Times" w:cs="Times"/>
    </w:rPr>
  </w:style>
  <w:style w:type="paragraph" w:styleId="ListBullet2">
    <w:name w:val="List Bullet 2"/>
    <w:basedOn w:val="Normal"/>
    <w:autoRedefine/>
    <w:pPr>
      <w:numPr>
        <w:numId w:val="2"/>
      </w:numPr>
    </w:pPr>
    <w:rPr>
      <w:rFonts w:ascii="Times" w:hAnsi="Times" w:cs="Times"/>
    </w:rPr>
  </w:style>
  <w:style w:type="paragraph" w:styleId="ListBullet3">
    <w:name w:val="List Bullet 3"/>
    <w:basedOn w:val="Normal"/>
    <w:autoRedefine/>
    <w:pPr>
      <w:numPr>
        <w:numId w:val="3"/>
      </w:numPr>
    </w:pPr>
    <w:rPr>
      <w:rFonts w:ascii="Times" w:hAnsi="Times" w:cs="Times"/>
    </w:rPr>
  </w:style>
  <w:style w:type="paragraph" w:styleId="ListBullet4">
    <w:name w:val="List Bullet 4"/>
    <w:basedOn w:val="Normal"/>
    <w:autoRedefine/>
    <w:pPr>
      <w:numPr>
        <w:numId w:val="4"/>
      </w:numPr>
    </w:pPr>
    <w:rPr>
      <w:rFonts w:ascii="Times" w:hAnsi="Times" w:cs="Times"/>
    </w:rPr>
  </w:style>
  <w:style w:type="paragraph" w:styleId="ListBullet5">
    <w:name w:val="List Bullet 5"/>
    <w:basedOn w:val="Normal"/>
    <w:autoRedefine/>
    <w:pPr>
      <w:numPr>
        <w:numId w:val="5"/>
      </w:numPr>
    </w:pPr>
    <w:rPr>
      <w:rFonts w:ascii="Times" w:hAnsi="Times" w:cs="Times"/>
    </w:rPr>
  </w:style>
  <w:style w:type="paragraph" w:styleId="ListNumber">
    <w:name w:val="List Number"/>
    <w:basedOn w:val="Normal"/>
    <w:pPr>
      <w:numPr>
        <w:numId w:val="6"/>
      </w:numPr>
    </w:pPr>
    <w:rPr>
      <w:rFonts w:ascii="Times" w:hAnsi="Times" w:cs="Times"/>
    </w:rPr>
  </w:style>
  <w:style w:type="paragraph" w:styleId="ListNumber2">
    <w:name w:val="List Number 2"/>
    <w:basedOn w:val="Normal"/>
    <w:pPr>
      <w:numPr>
        <w:numId w:val="7"/>
      </w:numPr>
    </w:pPr>
    <w:rPr>
      <w:rFonts w:ascii="Times" w:hAnsi="Times" w:cs="Times"/>
    </w:rPr>
  </w:style>
  <w:style w:type="paragraph" w:styleId="ListNumber3">
    <w:name w:val="List Number 3"/>
    <w:basedOn w:val="Normal"/>
    <w:pPr>
      <w:numPr>
        <w:numId w:val="8"/>
      </w:numPr>
    </w:pPr>
    <w:rPr>
      <w:rFonts w:ascii="Times" w:hAnsi="Times" w:cs="Times"/>
    </w:rPr>
  </w:style>
  <w:style w:type="paragraph" w:styleId="ListNumber4">
    <w:name w:val="List Number 4"/>
    <w:basedOn w:val="Normal"/>
    <w:pPr>
      <w:numPr>
        <w:numId w:val="9"/>
      </w:numPr>
    </w:pPr>
    <w:rPr>
      <w:rFonts w:ascii="Times" w:hAnsi="Times" w:cs="Times"/>
    </w:rPr>
  </w:style>
  <w:style w:type="paragraph" w:styleId="ListNumber5">
    <w:name w:val="List Number 5"/>
    <w:basedOn w:val="Normal"/>
    <w:pPr>
      <w:numPr>
        <w:numId w:val="10"/>
      </w:numPr>
    </w:pPr>
    <w:rPr>
      <w:rFonts w:ascii="Times" w:hAnsi="Times" w:cs="Times"/>
    </w:rPr>
  </w:style>
  <w:style w:type="paragraph" w:styleId="BodyTextIndent">
    <w:name w:val="Body Text Indent"/>
    <w:basedOn w:val="Normal"/>
    <w:link w:val="BodyTextIndentChar"/>
    <w:pPr>
      <w:ind w:left="720"/>
      <w:jc w:val="both"/>
    </w:pPr>
    <w:rPr>
      <w:rFonts w:cs="Arial"/>
      <w:color w:val="FF0000"/>
      <w:sz w:val="20"/>
      <w:szCs w:val="20"/>
    </w:rPr>
  </w:style>
  <w:style w:type="character" w:styleId="BodyTextIndentChar" w:customStyle="1">
    <w:name w:val="Body Text Indent Char"/>
    <w:basedOn w:val="DefaultParagraphFont"/>
    <w:link w:val="BodyTextIndent"/>
    <w:rsid w:val="00EF4C32"/>
    <w:rPr>
      <w:rFonts w:ascii="Arial" w:hAnsi="Arial" w:cs="Arial"/>
      <w:color w:val="FF0000"/>
    </w:rPr>
  </w:style>
  <w:style w:type="paragraph" w:styleId="NormalWeb">
    <w:name w:val="Normal (Web)"/>
    <w:basedOn w:val="Normal"/>
    <w:pPr>
      <w:autoSpaceDE/>
      <w:autoSpaceDN/>
      <w:spacing w:before="100" w:beforeAutospacing="1" w:after="100" w:afterAutospacing="1"/>
    </w:pPr>
    <w:rPr>
      <w:rFonts w:eastAsia="Arial Unicode M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DataField11pt-Single" w:customStyle="1">
    <w:name w:val="Data Field 11pt-Single"/>
    <w:basedOn w:val="Normal"/>
    <w:link w:val="DataField11pt-SingleChar"/>
    <w:rsid w:val="00CF68A2"/>
    <w:rPr>
      <w:rFonts w:cs="Arial"/>
      <w:szCs w:val="20"/>
    </w:rPr>
  </w:style>
  <w:style w:type="character" w:styleId="DataField11pt-SingleChar" w:customStyle="1">
    <w:name w:val="Data Field 11pt-Single Char"/>
    <w:basedOn w:val="DefaultParagraphFont"/>
    <w:link w:val="DataField11pt-Single"/>
    <w:rsid w:val="00843027"/>
    <w:rPr>
      <w:rFonts w:ascii="Arial" w:hAnsi="Arial" w:cs="Arial"/>
      <w:sz w:val="22"/>
      <w:lang w:val="en-US" w:eastAsia="en-US" w:bidi="ar-SA"/>
    </w:rPr>
  </w:style>
  <w:style w:type="character" w:styleId="PageNumber">
    <w:name w:val="page number"/>
    <w:basedOn w:val="DefaultParagraphFont"/>
    <w:rPr>
      <w:rFonts w:ascii="Arial" w:hAnsi="Arial"/>
      <w:sz w:val="20"/>
      <w:u w:val="single"/>
    </w:rPr>
  </w:style>
  <w:style w:type="paragraph" w:styleId="HeadingNote" w:customStyle="1">
    <w:name w:val="Heading Note"/>
    <w:basedOn w:val="Normal"/>
    <w:rsid w:val="002B7443"/>
    <w:pPr>
      <w:pBdr>
        <w:bottom w:val="single" w:color="auto" w:sz="4" w:space="6"/>
      </w:pBdr>
      <w:spacing w:before="40" w:after="40"/>
      <w:jc w:val="center"/>
    </w:pPr>
    <w:rPr>
      <w:rFonts w:cs="Arial"/>
      <w:iCs/>
      <w:sz w:val="16"/>
      <w:szCs w:val="16"/>
    </w:rPr>
  </w:style>
  <w:style w:type="paragraph" w:styleId="FormFieldCaption" w:customStyle="1">
    <w:name w:val="Form Field Caption"/>
    <w:basedOn w:val="Normal"/>
    <w:pPr>
      <w:tabs>
        <w:tab w:val="left" w:pos="270"/>
      </w:tabs>
    </w:pPr>
    <w:rPr>
      <w:rFonts w:cs="Arial"/>
      <w:sz w:val="16"/>
      <w:szCs w:val="16"/>
    </w:rPr>
  </w:style>
  <w:style w:type="character" w:styleId="Hyperlink">
    <w:name w:val="Hyperlink"/>
    <w:basedOn w:val="DefaultParagraphFont"/>
    <w:rsid w:val="00E67A05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qFormat/>
    <w:rsid w:val="00781234"/>
    <w:pPr>
      <w:keepNext/>
      <w:spacing w:before="360" w:after="120"/>
      <w:outlineLvl w:val="1"/>
    </w:pPr>
    <w:rPr>
      <w:b/>
    </w:rPr>
  </w:style>
  <w:style w:type="character" w:styleId="SubtitleChar" w:customStyle="1">
    <w:name w:val="Subtitle Char"/>
    <w:basedOn w:val="DefaultParagraphFont"/>
    <w:link w:val="Subtitle"/>
    <w:rsid w:val="00781234"/>
    <w:rPr>
      <w:rFonts w:ascii="Arial" w:hAnsi="Arial"/>
      <w:b/>
      <w:sz w:val="22"/>
      <w:szCs w:val="24"/>
    </w:rPr>
  </w:style>
  <w:style w:type="character" w:styleId="Strong">
    <w:name w:val="Strong"/>
    <w:basedOn w:val="DefaultParagraphFont"/>
    <w:qFormat/>
    <w:rsid w:val="00656AB8"/>
    <w:rPr>
      <w:b/>
      <w:bCs/>
    </w:rPr>
  </w:style>
  <w:style w:type="character" w:styleId="Emphasis">
    <w:name w:val="Emphasis"/>
    <w:basedOn w:val="DefaultParagraphFont"/>
    <w:qFormat/>
    <w:rsid w:val="00EF4C32"/>
    <w:rPr>
      <w:i/>
      <w:iCs/>
    </w:rPr>
  </w:style>
  <w:style w:type="paragraph" w:styleId="Subtitle2" w:customStyle="1">
    <w:name w:val="Subtitle 2"/>
    <w:basedOn w:val="Subtitle"/>
    <w:rsid w:val="00781234"/>
    <w:pPr>
      <w:spacing w:before="240" w:after="0"/>
    </w:pPr>
    <w:rPr>
      <w:bCs/>
      <w:szCs w:val="20"/>
      <w:u w:val="single"/>
    </w:rPr>
  </w:style>
  <w:style w:type="paragraph" w:styleId="OMBInfo" w:customStyle="1">
    <w:name w:val="OMB Info"/>
    <w:basedOn w:val="Normal"/>
    <w:qFormat/>
    <w:rsid w:val="00321A19"/>
    <w:pPr>
      <w:spacing w:after="120"/>
      <w:jc w:val="right"/>
    </w:pPr>
    <w:rPr>
      <w:sz w:val="16"/>
    </w:rPr>
  </w:style>
  <w:style w:type="character" w:styleId="Heading3Char" w:customStyle="1">
    <w:name w:val="Heading 3 Char"/>
    <w:basedOn w:val="DefaultParagraphFont"/>
    <w:link w:val="Heading3"/>
    <w:rsid w:val="00656AB8"/>
    <w:rPr>
      <w:rFonts w:ascii="Arial" w:hAnsi="Arial"/>
      <w:b/>
      <w:bCs/>
      <w:sz w:val="22"/>
      <w:u w:val="single"/>
    </w:rPr>
  </w:style>
  <w:style w:type="paragraph" w:styleId="FormFieldCaption1" w:customStyle="1">
    <w:name w:val="Form Field Caption1"/>
    <w:basedOn w:val="FormFieldCaption"/>
    <w:qFormat/>
    <w:rsid w:val="002B7443"/>
    <w:pPr>
      <w:spacing w:after="160"/>
    </w:pPr>
  </w:style>
  <w:style w:type="table" w:styleId="TableGrid">
    <w:name w:val="Table Grid"/>
    <w:basedOn w:val="TableNormal"/>
    <w:rsid w:val="002B744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mmentReference">
    <w:name w:val="annotation reference"/>
    <w:basedOn w:val="DefaultParagraphFont"/>
    <w:rsid w:val="002B7443"/>
    <w:rPr>
      <w:sz w:val="16"/>
      <w:szCs w:val="16"/>
    </w:rPr>
  </w:style>
  <w:style w:type="paragraph" w:styleId="CommentText">
    <w:name w:val="annotation text"/>
    <w:basedOn w:val="Normal"/>
    <w:link w:val="CommentTextChar"/>
    <w:rsid w:val="002B7443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rsid w:val="002B7443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2B7443"/>
    <w:rPr>
      <w:b/>
      <w:bCs/>
    </w:rPr>
  </w:style>
  <w:style w:type="character" w:styleId="CommentSubjectChar" w:customStyle="1">
    <w:name w:val="Comment Subject Char"/>
    <w:basedOn w:val="CommentTextChar"/>
    <w:link w:val="CommentSubject"/>
    <w:rsid w:val="002B7443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rsid w:val="002B7443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rsid w:val="002B7443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6E6FB5"/>
    <w:pPr>
      <w:pBdr>
        <w:top w:val="single" w:color="auto" w:sz="4" w:space="1"/>
      </w:pBdr>
      <w:spacing w:before="240"/>
      <w:jc w:val="center"/>
    </w:pPr>
    <w:rPr>
      <w:b/>
    </w:rPr>
  </w:style>
  <w:style w:type="character" w:styleId="TitleChar" w:customStyle="1">
    <w:name w:val="Title Char"/>
    <w:basedOn w:val="DefaultParagraphFont"/>
    <w:link w:val="Title"/>
    <w:rsid w:val="006E6FB5"/>
    <w:rPr>
      <w:rFonts w:ascii="Arial" w:hAnsi="Arial"/>
      <w:b/>
      <w:sz w:val="22"/>
      <w:szCs w:val="24"/>
    </w:rPr>
  </w:style>
  <w:style w:type="paragraph" w:styleId="BodyText">
    <w:name w:val="Body Text"/>
    <w:basedOn w:val="Normal"/>
    <w:link w:val="BodyTextChar"/>
    <w:uiPriority w:val="99"/>
    <w:rsid w:val="006E6FB5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6E6FB5"/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microsoft.com/office/2020/10/relationships/intelligence" Target="intelligence2.xml" Id="Rcb58b63166b4493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100C7699C73A498CB057F667D9CD99" ma:contentTypeVersion="14" ma:contentTypeDescription="Create a new document." ma:contentTypeScope="" ma:versionID="da1b2f359c56964e8a9e5ba2f4a7bb8e">
  <xsd:schema xmlns:xsd="http://www.w3.org/2001/XMLSchema" xmlns:xs="http://www.w3.org/2001/XMLSchema" xmlns:p="http://schemas.microsoft.com/office/2006/metadata/properties" xmlns:ns1="http://schemas.microsoft.com/sharepoint/v3" xmlns:ns3="0b516ab0-04e4-4c88-99cd-523706b96b1a" xmlns:ns4="589fc4a7-9825-4918-b2d3-6237c872ffbf" targetNamespace="http://schemas.microsoft.com/office/2006/metadata/properties" ma:root="true" ma:fieldsID="13579475e6e87a3a4fadde96db207311" ns1:_="" ns3:_="" ns4:_="">
    <xsd:import namespace="http://schemas.microsoft.com/sharepoint/v3"/>
    <xsd:import namespace="0b516ab0-04e4-4c88-99cd-523706b96b1a"/>
    <xsd:import namespace="589fc4a7-9825-4918-b2d3-6237c872ff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516ab0-04e4-4c88-99cd-523706b96b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9fc4a7-9825-4918-b2d3-6237c872ffb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9D37666-E58B-431B-B07E-592DB74D62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516ab0-04e4-4c88-99cd-523706b96b1a"/>
    <ds:schemaRef ds:uri="589fc4a7-9825-4918-b2d3-6237c872ff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4A9A40-AA55-4CBA-93F5-B14C65A494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76CE26-06FF-4835-817C-1A5CD3E7E1B8}">
  <ds:schemaRefs>
    <ds:schemaRef ds:uri="http://schemas.microsoft.com/office/2006/documentManagement/types"/>
    <ds:schemaRef ds:uri="http://schemas.openxmlformats.org/package/2006/metadata/core-properties"/>
    <ds:schemaRef ds:uri="0b516ab0-04e4-4c88-99cd-523706b96b1a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microsoft.com/sharepoint/v3"/>
    <ds:schemaRef ds:uri="589fc4a7-9825-4918-b2d3-6237c872ffbf"/>
    <ds:schemaRef ds:uri="http://www.w3.org/XML/1998/namespace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4</ap:DocSecurity>
  <ap:ScaleCrop>false</ap:ScaleCrop>
  <ap:Company>DHHS/PHS/NIH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OMB No. 0925-0046, Biographical Sketch Format Page</dc:title>
  <dc:subject>DHHS, Public Health Service Grant Application</dc:subject>
  <dc:creator>Office of Extramural Programs</dc:creator>
  <keywords>PHS Grant Application, 0925-0001/0002, (Rev. 08/12), Biographical Sketch Format Page</keywords>
  <dc:description/>
  <lastModifiedBy>David B Dahl</lastModifiedBy>
  <revision>3</revision>
  <lastPrinted>2011-03-11T19:43:00.0000000Z</lastPrinted>
  <dcterms:created xsi:type="dcterms:W3CDTF">2021-12-07T20:18:00.0000000Z</dcterms:created>
  <dcterms:modified xsi:type="dcterms:W3CDTF">2022-10-10T20:17:26.9983243Z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0x01010027100C7699C73A498CB057F667D9CD99</vt:lpwstr>
  </property>
  <property fmtid="{D5CDD505-2E9C-101B-9397-08002B2CF9AE}" pid="3" name="Test Comment">
    <vt:lpwstr>7/17/2015. Updated file properties. 6/23/2013. Created .docx version and added OMB info to footer.</vt:lpwstr>
  </property>
  <property fmtid="{D5CDD505-2E9C-101B-9397-08002B2CF9AE}" pid="4" name="Form Set">
    <vt:lpwstr>PHS398/PHS2590</vt:lpwstr>
  </property>
</Properties>
</file>