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2"/>
        </w:rPr>
        <w:t>GROWTH OS</w:t>
      </w:r>
    </w:p>
    <w:p>
      <w:pPr>
        <w:jc w:val="center"/>
      </w:pPr>
      <w:r>
        <w:t>Technical Specification v0.3</w:t>
      </w:r>
    </w:p>
    <w:p>
      <w:pPr>
        <w:jc w:val="center"/>
      </w:pPr>
      <w:r>
        <w:t>Release 1 engineering baseline - revised after Claude adversarial review</w:t>
      </w:r>
    </w:p>
    <w:p/>
    <w:p>
      <w:pPr>
        <w:jc w:val="center"/>
      </w:pPr>
      <w:r>
        <w:rPr>
          <w:b/>
        </w:rPr>
        <w:t>ONE FEED -&gt; DISCOVER -&gt; CREATE -&gt; PUBLISH -&gt; MEASURE -&gt; LEARN -&gt; MULTIPLY</w:t>
      </w:r>
    </w:p>
    <w:p/>
    <w:p>
      <w:pPr>
        <w:jc w:val="center"/>
      </w:pPr>
      <w:r>
        <w:rPr>
          <w:i/>
        </w:rPr>
        <w:t>Source of truth: Growth OS Project Concept v1.4.1 (FROZEN)</w:t>
      </w:r>
    </w:p>
    <w:p>
      <w:r>
        <w:br w:type="page"/>
      </w:r>
    </w:p>
    <w:p>
      <w:pPr>
        <w:pStyle w:val="Heading1"/>
      </w:pPr>
      <w:r>
        <w:t>1. Status, Scope and Authority</w:t>
      </w:r>
    </w:p>
    <w:p>
      <w:r>
        <w:t>This document translates the frozen conceptual baseline v1.4.1 into an executable technical design. v0.3 incorporates the v0.2 adversarial review and explicitly separates fresh primary-source validation, reviewer-supplied validation, engineering estimates and unresolved verification. It does not reopen product strategy. Where implementation evidence contradicts the frozen concept, the contradiction must be recorded and versioned rather than silently worked around.</w:t>
      </w:r>
    </w:p>
    <w:tbl>
      <w:tblPr>
        <w:tblStyle w:val="TableGrid"/>
        <w:tblW w:type="auto" w:w="0"/>
        <w:jc w:val="center"/>
        <w:tblLook w:firstColumn="1" w:firstRow="1" w:lastColumn="0" w:lastRow="0" w:noHBand="0" w:noVBand="1" w:val="04A0"/>
      </w:tblPr>
      <w:tblGrid>
        <w:gridCol w:w="5141"/>
        <w:gridCol w:w="5141"/>
      </w:tblGrid>
      <w:tr>
        <w:tc>
          <w:tcPr>
            <w:tcW w:type="dxa" w:w="5141"/>
            <w:vAlign w:val="center"/>
          </w:tcPr>
          <w:p>
            <w:r>
              <w:rPr>
                <w:b/>
              </w:rPr>
              <w:t>Item</w:t>
            </w:r>
          </w:p>
        </w:tc>
        <w:tc>
          <w:tcPr>
            <w:tcW w:type="dxa" w:w="5141"/>
            <w:vAlign w:val="center"/>
          </w:tcPr>
          <w:p>
            <w:r>
              <w:rPr>
                <w:b/>
              </w:rPr>
              <w:t>Decision</w:t>
            </w:r>
          </w:p>
        </w:tc>
      </w:tr>
      <w:tr>
        <w:tc>
          <w:tcPr>
            <w:tcW w:type="dxa" w:w="5141"/>
            <w:vAlign w:val="top"/>
          </w:tcPr>
          <w:p>
            <w:r>
              <w:t>Specification status</w:t>
            </w:r>
          </w:p>
        </w:tc>
        <w:tc>
          <w:tcPr>
            <w:tcW w:type="dxa" w:w="5141"/>
            <w:vAlign w:val="top"/>
          </w:tcPr>
          <w:p>
            <w:r>
              <w:t>v0.1 draft for adversarial review; not yet implementation-frozen.</w:t>
            </w:r>
          </w:p>
        </w:tc>
      </w:tr>
      <w:tr>
        <w:tc>
          <w:tcPr>
            <w:tcW w:type="dxa" w:w="5141"/>
            <w:vAlign w:val="top"/>
          </w:tcPr>
          <w:p>
            <w:r>
              <w:t>Concept authority</w:t>
            </w:r>
          </w:p>
        </w:tc>
        <w:tc>
          <w:tcPr>
            <w:tcW w:type="dxa" w:w="5141"/>
            <w:vAlign w:val="top"/>
          </w:tcPr>
          <w:p>
            <w:r>
              <w:t>Growth OS Project Concept v1.4.1 is the governing product baseline.</w:t>
            </w:r>
          </w:p>
        </w:tc>
      </w:tr>
      <w:tr>
        <w:tc>
          <w:tcPr>
            <w:tcW w:type="dxa" w:w="5141"/>
            <w:vAlign w:val="top"/>
          </w:tcPr>
          <w:p>
            <w:r>
              <w:t>Release 1 ICP</w:t>
            </w:r>
          </w:p>
        </w:tc>
        <w:tc>
          <w:tcPr>
            <w:tcW w:type="dxa" w:w="5141"/>
            <w:vAlign w:val="top"/>
          </w:tcPr>
          <w:p>
            <w:r>
              <w:t>Solo creators/founders, SMBs and small teams managing a limited number of owned accounts.</w:t>
            </w:r>
          </w:p>
        </w:tc>
      </w:tr>
      <w:tr>
        <w:tc>
          <w:tcPr>
            <w:tcW w:type="dxa" w:w="5141"/>
            <w:vAlign w:val="top"/>
          </w:tcPr>
          <w:p>
            <w:r>
              <w:t>Working launch markets</w:t>
            </w:r>
          </w:p>
        </w:tc>
        <w:tc>
          <w:tcPr>
            <w:tcW w:type="dxa" w:w="5141"/>
            <w:vAlign w:val="top"/>
          </w:tcPr>
          <w:p>
            <w:r>
              <w:t>United States + Brazil.</w:t>
            </w:r>
          </w:p>
        </w:tc>
      </w:tr>
      <w:tr>
        <w:tc>
          <w:tcPr>
            <w:tcW w:type="dxa" w:w="5141"/>
            <w:vAlign w:val="top"/>
          </w:tcPr>
          <w:p>
            <w:r>
              <w:t>Working launch platforms</w:t>
            </w:r>
          </w:p>
        </w:tc>
        <w:tc>
          <w:tcPr>
            <w:tcW w:type="dxa" w:w="5141"/>
            <w:vAlign w:val="top"/>
          </w:tcPr>
          <w:p>
            <w:r>
              <w:t>Instagram + YouTube; exact API capabilities must pass current official-documentation/contract validation before coding and before production.</w:t>
            </w:r>
          </w:p>
        </w:tc>
      </w:tr>
      <w:tr>
        <w:tc>
          <w:tcPr>
            <w:tcW w:type="dxa" w:w="5141"/>
            <w:vAlign w:val="top"/>
          </w:tcPr>
          <w:p>
            <w:r>
              <w:t>Architecture stance</w:t>
            </w:r>
          </w:p>
        </w:tc>
        <w:tc>
          <w:tcPr>
            <w:tcW w:type="dxa" w:w="5141"/>
            <w:vAlign w:val="top"/>
          </w:tcPr>
          <w:p>
            <w:r>
              <w:t>Global from inception; operational activation phased.</w:t>
            </w:r>
          </w:p>
        </w:tc>
      </w:tr>
      <w:tr>
        <w:tc>
          <w:tcPr>
            <w:tcW w:type="dxa" w:w="5141"/>
            <w:vAlign w:val="top"/>
          </w:tcPr>
          <w:p>
            <w:r>
              <w:t>Primary UX</w:t>
            </w:r>
          </w:p>
        </w:tc>
        <w:tc>
          <w:tcPr>
            <w:tcW w:type="dxa" w:w="5141"/>
            <w:vAlign w:val="top"/>
          </w:tcPr>
          <w:p>
            <w:r>
              <w:t>One typed intelligent feed; advanced views are secondary.</w:t>
            </w:r>
          </w:p>
        </w:tc>
      </w:tr>
      <w:tr>
        <w:tc>
          <w:tcPr>
            <w:tcW w:type="dxa" w:w="5141"/>
            <w:vAlign w:val="top"/>
          </w:tcPr>
          <w:p>
            <w:r>
              <w:t>Agency</w:t>
            </w:r>
          </w:p>
        </w:tc>
        <w:tc>
          <w:tcPr>
            <w:tcW w:type="dxa" w:w="5141"/>
            <w:vAlign w:val="top"/>
          </w:tcPr>
          <w:p>
            <w:r>
              <w:t>Not full Release 1 UX scope; agency-ready ownership/authority schema is mandatory from day one.</w:t>
            </w:r>
          </w:p>
        </w:tc>
      </w:tr>
    </w:tbl>
    <w:p/>
    <w:p>
      <w:pPr>
        <w:pStyle w:val="Heading1"/>
      </w:pPr>
      <w:r>
        <w:t>2. Release 1 Definition of Done</w:t>
      </w:r>
    </w:p>
    <w:p>
      <w:pPr>
        <w:pStyle w:val="ListBullet"/>
      </w:pPr>
      <w:r>
        <w:t>User can create an account/workspace and complete secure authentication.</w:t>
      </w:r>
    </w:p>
    <w:p>
      <w:pPr>
        <w:pStyle w:val="ListBullet"/>
      </w:pPr>
      <w:r>
        <w:t>User can connect at least one validated launch-platform account using least-privilege OAuth.</w:t>
      </w:r>
    </w:p>
    <w:p>
      <w:pPr>
        <w:pStyle w:val="ListBullet"/>
      </w:pPr>
      <w:r>
        <w:t>Zero-history and historical-account onboarding both produce a useful first action without fabricated personalization.</w:t>
      </w:r>
    </w:p>
    <w:p>
      <w:pPr>
        <w:pStyle w:val="ListBullet"/>
      </w:pPr>
      <w:r>
        <w:t>User can generate content, approve/edit it, publish through a supported adapter, and see durable publication state.</w:t>
      </w:r>
    </w:p>
    <w:p>
      <w:pPr>
        <w:pStyle w:val="ListBullet"/>
      </w:pPr>
      <w:r>
        <w:t>Token expiry, revocation, rate limiting, transient provider failure and duplicate/retry paths are recoverable and visible.</w:t>
      </w:r>
    </w:p>
    <w:p>
      <w:pPr>
        <w:pStyle w:val="ListBullet"/>
      </w:pPr>
      <w:r>
        <w:t>Owned metrics are ingested as raw observations with provenance and timestamps.</w:t>
      </w:r>
    </w:p>
    <w:p>
      <w:pPr>
        <w:pStyle w:val="ListBullet"/>
      </w:pPr>
      <w:r>
        <w:t>Growth Brain v1 can produce evidence-labeled insights from owned data and clearly represent insufficient evidence.</w:t>
      </w:r>
    </w:p>
    <w:p>
      <w:pPr>
        <w:pStyle w:val="ListBullet"/>
      </w:pPr>
      <w:r>
        <w:t>MULTIPLY v1 can identify a promising candidate, explain it, generate variants, apply originality checks, preserve lineage and measure outcomes.</w:t>
      </w:r>
    </w:p>
    <w:p>
      <w:pPr>
        <w:pStyle w:val="ListBullet"/>
      </w:pPr>
      <w:r>
        <w:t>All launch-critical actions are auditable and tenant-isolated.</w:t>
      </w:r>
    </w:p>
    <w:p>
      <w:pPr>
        <w:pStyle w:val="ListBullet"/>
      </w:pPr>
      <w:r>
        <w:t>Production Truth Gate passes end-to-end on real launch-platform test accounts.</w:t>
      </w:r>
    </w:p>
    <w:p>
      <w:pPr>
        <w:pStyle w:val="Heading1"/>
      </w:pPr>
      <w:r>
        <w:t>3. System Context</w:t>
      </w:r>
    </w:p>
    <w:p>
      <w:r>
        <w:t>Logical context:</w:t>
      </w:r>
    </w:p>
    <w:p>
      <w:pPr>
        <w:ind w:left="360"/>
      </w:pPr>
      <w:r>
        <w:rPr>
          <w:rFonts w:ascii="Consolas" w:hAnsi="Consolas"/>
          <w:sz w:val="17"/>
        </w:rPr>
        <w:t>Web/Mobile UI -&gt; API/BFF -&gt; Application Services -&gt; Domain -&gt; Data Stores</w:t>
        <w:br/>
        <w:t xml:space="preserve">                                      |-&gt; Job/Workflow Queue -&gt; Platform Adapters -&gt; Instagram/YouTube</w:t>
        <w:br/>
        <w:t xml:space="preserve">                                      |-&gt; AI Provider Gateway -&gt; LLM/Embedding providers</w:t>
        <w:br/>
        <w:t xml:space="preserve">                                      |-&gt; Intelligence Providers -&gt; open/licensed sources (capability-gated)</w:t>
        <w:br/>
        <w:t xml:space="preserve">                                      |-&gt; Observability/Audit/FinOps</w:t>
      </w:r>
    </w:p>
    <w:p>
      <w:r>
        <w:t>Release 1 should favor a modular monolith plus durable background workers rather than premature microservices. Boundaries are explicit in code and data contracts so high-load components can be extracted later without redesigning the domain.</w:t>
      </w:r>
    </w:p>
    <w:p>
      <w:pPr>
        <w:pStyle w:val="Heading1"/>
      </w:pPr>
      <w:r>
        <w:t>4. Recommended Deployment Architecture</w:t>
      </w:r>
    </w:p>
    <w:tbl>
      <w:tblPr>
        <w:tblStyle w:val="TableGrid"/>
        <w:tblW w:type="auto" w:w="0"/>
        <w:jc w:val="center"/>
        <w:tblLook w:firstColumn="1" w:firstRow="1" w:lastColumn="0" w:lastRow="0" w:noHBand="0" w:noVBand="1" w:val="04A0"/>
      </w:tblPr>
      <w:tblGrid>
        <w:gridCol w:w="5141"/>
        <w:gridCol w:w="5141"/>
      </w:tblGrid>
      <w:tr>
        <w:tc>
          <w:tcPr>
            <w:tcW w:type="dxa" w:w="5141"/>
            <w:vAlign w:val="center"/>
          </w:tcPr>
          <w:p>
            <w:r>
              <w:rPr>
                <w:b/>
              </w:rPr>
              <w:t>Component</w:t>
            </w:r>
          </w:p>
        </w:tc>
        <w:tc>
          <w:tcPr>
            <w:tcW w:type="dxa" w:w="5141"/>
            <w:vAlign w:val="center"/>
          </w:tcPr>
          <w:p>
            <w:r>
              <w:rPr>
                <w:b/>
              </w:rPr>
              <w:t>Release 1 responsibility</w:t>
            </w:r>
          </w:p>
        </w:tc>
      </w:tr>
      <w:tr>
        <w:tc>
          <w:tcPr>
            <w:tcW w:type="dxa" w:w="5141"/>
            <w:vAlign w:val="top"/>
          </w:tcPr>
          <w:p>
            <w:r>
              <w:t>Web application</w:t>
            </w:r>
          </w:p>
        </w:tc>
        <w:tc>
          <w:tcPr>
            <w:tcW w:type="dxa" w:w="5141"/>
            <w:vAlign w:val="top"/>
          </w:tcPr>
          <w:p>
            <w:r>
              <w:t>Responsive customer UI, feed, onboarding, create/review/publish/recovery flows.</w:t>
            </w:r>
          </w:p>
        </w:tc>
      </w:tr>
      <w:tr>
        <w:tc>
          <w:tcPr>
            <w:tcW w:type="dxa" w:w="5141"/>
            <w:vAlign w:val="top"/>
          </w:tcPr>
          <w:p>
            <w:r>
              <w:t>API/BFF</w:t>
            </w:r>
          </w:p>
        </w:tc>
        <w:tc>
          <w:tcPr>
            <w:tcW w:type="dxa" w:w="5141"/>
            <w:vAlign w:val="top"/>
          </w:tcPr>
          <w:p>
            <w:r>
              <w:t>Session/auth, tenant context, authorization, command/query endpoints, UI-tailored responses.</w:t>
            </w:r>
          </w:p>
        </w:tc>
      </w:tr>
      <w:tr>
        <w:tc>
          <w:tcPr>
            <w:tcW w:type="dxa" w:w="5141"/>
            <w:vAlign w:val="top"/>
          </w:tcPr>
          <w:p>
            <w:r>
              <w:t>Core application</w:t>
            </w:r>
          </w:p>
        </w:tc>
        <w:tc>
          <w:tcPr>
            <w:tcW w:type="dxa" w:w="5141"/>
            <w:vAlign w:val="top"/>
          </w:tcPr>
          <w:p>
            <w:r>
              <w:t>Workspace/account/content/insight/experiment/multiply orchestration.</w:t>
            </w:r>
          </w:p>
        </w:tc>
      </w:tr>
      <w:tr>
        <w:tc>
          <w:tcPr>
            <w:tcW w:type="dxa" w:w="5141"/>
            <w:vAlign w:val="top"/>
          </w:tcPr>
          <w:p>
            <w:r>
              <w:t>Worker service</w:t>
            </w:r>
          </w:p>
        </w:tc>
        <w:tc>
          <w:tcPr>
            <w:tcW w:type="dxa" w:w="5141"/>
            <w:vAlign w:val="top"/>
          </w:tcPr>
          <w:p>
            <w:r>
              <w:t>OAuth refresh, imports, publishing, metric polling, retries, AI jobs, feed materialization.</w:t>
            </w:r>
          </w:p>
        </w:tc>
      </w:tr>
      <w:tr>
        <w:tc>
          <w:tcPr>
            <w:tcW w:type="dxa" w:w="5141"/>
            <w:vAlign w:val="top"/>
          </w:tcPr>
          <w:p>
            <w:r>
              <w:t>PostgreSQL</w:t>
            </w:r>
          </w:p>
        </w:tc>
        <w:tc>
          <w:tcPr>
            <w:tcW w:type="dxa" w:w="5141"/>
            <w:vAlign w:val="top"/>
          </w:tcPr>
          <w:p>
            <w:r>
              <w:t>Transactional source of truth; row-level tenant controls where practical; JSONB only for provider payloads/variable metadata.</w:t>
            </w:r>
          </w:p>
        </w:tc>
      </w:tr>
      <w:tr>
        <w:tc>
          <w:tcPr>
            <w:tcW w:type="dxa" w:w="5141"/>
            <w:vAlign w:val="top"/>
          </w:tcPr>
          <w:p>
            <w:r>
              <w:t>Object storage</w:t>
            </w:r>
          </w:p>
        </w:tc>
        <w:tc>
          <w:tcPr>
            <w:tcW w:type="dxa" w:w="5141"/>
            <w:vAlign w:val="top"/>
          </w:tcPr>
          <w:p>
            <w:r>
              <w:t>Media assets, generated artifacts, provider payload archives where retention permits.</w:t>
            </w:r>
          </w:p>
        </w:tc>
      </w:tr>
      <w:tr>
        <w:tc>
          <w:tcPr>
            <w:tcW w:type="dxa" w:w="5141"/>
            <w:vAlign w:val="top"/>
          </w:tcPr>
          <w:p>
            <w:r>
              <w:t>Redis/queue or managed queue</w:t>
            </w:r>
          </w:p>
        </w:tc>
        <w:tc>
          <w:tcPr>
            <w:tcW w:type="dxa" w:w="5141"/>
            <w:vAlign w:val="top"/>
          </w:tcPr>
          <w:p>
            <w:r>
              <w:t>Durable jobs, rate-limit coordination, locks/idempotency assistance; queue must not be the source of truth.</w:t>
            </w:r>
          </w:p>
        </w:tc>
      </w:tr>
      <w:tr>
        <w:tc>
          <w:tcPr>
            <w:tcW w:type="dxa" w:w="5141"/>
            <w:vAlign w:val="top"/>
          </w:tcPr>
          <w:p>
            <w:r>
              <w:t>AI gateway</w:t>
            </w:r>
          </w:p>
        </w:tc>
        <w:tc>
          <w:tcPr>
            <w:tcW w:type="dxa" w:w="5141"/>
            <w:vAlign w:val="top"/>
          </w:tcPr>
          <w:p>
            <w:r>
              <w:t>Provider-neutral LLM/embedding calls, prompt/version registry, cost attribution, safety/output validation.</w:t>
            </w:r>
          </w:p>
        </w:tc>
      </w:tr>
      <w:tr>
        <w:tc>
          <w:tcPr>
            <w:tcW w:type="dxa" w:w="5141"/>
            <w:vAlign w:val="top"/>
          </w:tcPr>
          <w:p>
            <w:r>
              <w:t>Adapter gateway</w:t>
            </w:r>
          </w:p>
        </w:tc>
        <w:tc>
          <w:tcPr>
            <w:tcW w:type="dxa" w:w="5141"/>
            <w:vAlign w:val="top"/>
          </w:tcPr>
          <w:p>
            <w:r>
              <w:t>Instagram/YouTube interfaces, capability registry, normalized errors, rate-limit metadata.</w:t>
            </w:r>
          </w:p>
        </w:tc>
      </w:tr>
      <w:tr>
        <w:tc>
          <w:tcPr>
            <w:tcW w:type="dxa" w:w="5141"/>
            <w:vAlign w:val="top"/>
          </w:tcPr>
          <w:p>
            <w:r>
              <w:t>Observability</w:t>
            </w:r>
          </w:p>
        </w:tc>
        <w:tc>
          <w:tcPr>
            <w:tcW w:type="dxa" w:w="5141"/>
            <w:vAlign w:val="top"/>
          </w:tcPr>
          <w:p>
            <w:r>
              <w:t>Structured logs, traces, metrics, SLOs, audit events and alerting.</w:t>
            </w:r>
          </w:p>
        </w:tc>
      </w:tr>
    </w:tbl>
    <w:p/>
    <w:p>
      <w:pPr>
        <w:pStyle w:val="Heading1"/>
      </w:pPr>
      <w:r>
        <w:t>5. Core Architectural Rules</w:t>
      </w:r>
    </w:p>
    <w:p>
      <w:pPr>
        <w:pStyle w:val="ListBullet"/>
      </w:pPr>
      <w:r>
        <w:t>PostgreSQL is authoritative for business state; workers are restart-safe.</w:t>
      </w:r>
    </w:p>
    <w:p>
      <w:pPr>
        <w:pStyle w:val="ListBullet"/>
      </w:pPr>
      <w:r>
        <w:t>Every external side effect is idempotent or protected by an idempotency record.</w:t>
      </w:r>
    </w:p>
    <w:p>
      <w:pPr>
        <w:pStyle w:val="ListBullet"/>
      </w:pPr>
      <w:r>
        <w:t>Every provider call is tagged with tenant, account, capability, correlation_id and cost/quota metadata.</w:t>
      </w:r>
    </w:p>
    <w:p>
      <w:pPr>
        <w:pStyle w:val="ListBullet"/>
      </w:pPr>
      <w:r>
        <w:t>No platform-specific object leaks into the core domain without normalization.</w:t>
      </w:r>
    </w:p>
    <w:p>
      <w:pPr>
        <w:pStyle w:val="ListBullet"/>
      </w:pPr>
      <w:r>
        <w:t>Every AI-generated decision stores model/prompt/version/provenance sufficient for later explanation and replay where feasible.</w:t>
      </w:r>
    </w:p>
    <w:p>
      <w:pPr>
        <w:pStyle w:val="ListBullet"/>
      </w:pPr>
      <w:r>
        <w:t>Raw metric observations are immutable during their active retention life: corrections append new observations rather than mutating history. This is not a promise of permanent storage. Privacy/deletion workflows may tombstone records immediately from all reads and then physically purge them according to the deletion policy. Storage should be partitioned or otherwise keyed to make workspace/account expungement bounded and testable.</w:t>
      </w:r>
    </w:p>
    <w:p>
      <w:pPr>
        <w:pStyle w:val="ListBullet"/>
      </w:pPr>
      <w:r>
        <w:t>Tenant isolation is enforced server-side; never trust tenant/workspace IDs supplied by the client without authorization resolution.</w:t>
      </w:r>
    </w:p>
    <w:p>
      <w:pPr>
        <w:pStyle w:val="ListBullet"/>
      </w:pPr>
      <w:r>
        <w:t>Capabilities are offered only when Capability Registry says they are enabled for platform + market + account type + app permission state.</w:t>
      </w:r>
    </w:p>
    <w:p>
      <w:pPr>
        <w:pStyle w:val="Heading1"/>
      </w:pPr>
      <w:r>
        <w:t>6. Bounded Modules</w:t>
      </w:r>
    </w:p>
    <w:tbl>
      <w:tblPr>
        <w:tblStyle w:val="TableGrid"/>
        <w:tblW w:type="auto" w:w="0"/>
        <w:jc w:val="center"/>
        <w:tblLook w:firstColumn="1" w:firstRow="1" w:lastColumn="0" w:lastRow="0" w:noHBand="0" w:noVBand="1" w:val="04A0"/>
      </w:tblPr>
      <w:tblGrid>
        <w:gridCol w:w="5141"/>
        <w:gridCol w:w="5141"/>
      </w:tblGrid>
      <w:tr>
        <w:tc>
          <w:tcPr>
            <w:tcW w:type="dxa" w:w="5141"/>
            <w:vAlign w:val="center"/>
          </w:tcPr>
          <w:p>
            <w:r>
              <w:rPr>
                <w:b/>
              </w:rPr>
              <w:t>Module</w:t>
            </w:r>
          </w:p>
        </w:tc>
        <w:tc>
          <w:tcPr>
            <w:tcW w:type="dxa" w:w="5141"/>
            <w:vAlign w:val="center"/>
          </w:tcPr>
          <w:p>
            <w:r>
              <w:rPr>
                <w:b/>
              </w:rPr>
              <w:t>Responsibilities</w:t>
            </w:r>
          </w:p>
        </w:tc>
      </w:tr>
      <w:tr>
        <w:tc>
          <w:tcPr>
            <w:tcW w:type="dxa" w:w="5141"/>
            <w:vAlign w:val="top"/>
          </w:tcPr>
          <w:p>
            <w:r>
              <w:t>Identity &amp; Access</w:t>
            </w:r>
          </w:p>
        </w:tc>
        <w:tc>
          <w:tcPr>
            <w:tcW w:type="dxa" w:w="5141"/>
            <w:vAlign w:val="top"/>
          </w:tcPr>
          <w:p>
            <w:r>
              <w:t>Users, sessions, MFA-ready design, workspace membership, roles.</w:t>
            </w:r>
          </w:p>
        </w:tc>
      </w:tr>
      <w:tr>
        <w:tc>
          <w:tcPr>
            <w:tcW w:type="dxa" w:w="5141"/>
            <w:vAlign w:val="top"/>
          </w:tcPr>
          <w:p>
            <w:r>
              <w:t>Workspace &amp; Ownership</w:t>
            </w:r>
          </w:p>
        </w:tc>
        <w:tc>
          <w:tcPr>
            <w:tcW w:type="dxa" w:w="5141"/>
            <w:vAlign w:val="top"/>
          </w:tcPr>
          <w:p>
            <w:r>
              <w:t>Tenant, managed accounts, owner/authority/contribution states.</w:t>
            </w:r>
          </w:p>
        </w:tc>
      </w:tr>
      <w:tr>
        <w:tc>
          <w:tcPr>
            <w:tcW w:type="dxa" w:w="5141"/>
            <w:vAlign w:val="top"/>
          </w:tcPr>
          <w:p>
            <w:r>
              <w:t>Platform Connections</w:t>
            </w:r>
          </w:p>
        </w:tc>
        <w:tc>
          <w:tcPr>
            <w:tcW w:type="dxa" w:w="5141"/>
            <w:vAlign w:val="top"/>
          </w:tcPr>
          <w:p>
            <w:r>
              <w:t>OAuth, scopes, token lifecycle, account discovery, health.</w:t>
            </w:r>
          </w:p>
        </w:tc>
      </w:tr>
      <w:tr>
        <w:tc>
          <w:tcPr>
            <w:tcW w:type="dxa" w:w="5141"/>
            <w:vAlign w:val="top"/>
          </w:tcPr>
          <w:p>
            <w:r>
              <w:t>Capability Registry</w:t>
            </w:r>
          </w:p>
        </w:tc>
        <w:tc>
          <w:tcPr>
            <w:tcW w:type="dxa" w:w="5141"/>
            <w:vAlign w:val="top"/>
          </w:tcPr>
          <w:p>
            <w:r>
              <w:t>Platform/market/account capability flags, limits, validation date/evidence.</w:t>
            </w:r>
          </w:p>
        </w:tc>
      </w:tr>
      <w:tr>
        <w:tc>
          <w:tcPr>
            <w:tcW w:type="dxa" w:w="5141"/>
            <w:vAlign w:val="top"/>
          </w:tcPr>
          <w:p>
            <w:r>
              <w:t>Content</w:t>
            </w:r>
          </w:p>
        </w:tc>
        <w:tc>
          <w:tcPr>
            <w:tcW w:type="dxa" w:w="5141"/>
            <w:vAlign w:val="top"/>
          </w:tcPr>
          <w:p>
            <w:r>
              <w:t>Ideas, drafts, assets, variants, approval, localization.</w:t>
            </w:r>
          </w:p>
        </w:tc>
      </w:tr>
      <w:tr>
        <w:tc>
          <w:tcPr>
            <w:tcW w:type="dxa" w:w="5141"/>
            <w:vAlign w:val="top"/>
          </w:tcPr>
          <w:p>
            <w:r>
              <w:t>Publishing</w:t>
            </w:r>
          </w:p>
        </w:tc>
        <w:tc>
          <w:tcPr>
            <w:tcW w:type="dxa" w:w="5141"/>
            <w:vAlign w:val="top"/>
          </w:tcPr>
          <w:p>
            <w:r>
              <w:t>Schedules, attempts, idempotency, provider result, recovery.</w:t>
            </w:r>
          </w:p>
        </w:tc>
      </w:tr>
      <w:tr>
        <w:tc>
          <w:tcPr>
            <w:tcW w:type="dxa" w:w="5141"/>
            <w:vAlign w:val="top"/>
          </w:tcPr>
          <w:p>
            <w:r>
              <w:t>Metrics</w:t>
            </w:r>
          </w:p>
        </w:tc>
        <w:tc>
          <w:tcPr>
            <w:tcW w:type="dxa" w:w="5141"/>
            <w:vAlign w:val="top"/>
          </w:tcPr>
          <w:p>
            <w:r>
              <w:t>Raw observations, normalized metrics, polling windows, completeness.</w:t>
            </w:r>
          </w:p>
        </w:tc>
      </w:tr>
      <w:tr>
        <w:tc>
          <w:tcPr>
            <w:tcW w:type="dxa" w:w="5141"/>
            <w:vAlign w:val="top"/>
          </w:tcPr>
          <w:p>
            <w:r>
              <w:t>Growth Brain</w:t>
            </w:r>
          </w:p>
        </w:tc>
        <w:tc>
          <w:tcPr>
            <w:tcW w:type="dxa" w:w="5141"/>
            <w:vAlign w:val="top"/>
          </w:tcPr>
          <w:p>
            <w:r>
              <w:t>Profile, memories, evidence, recency, confirmed/hypothesis/general insight states.</w:t>
            </w:r>
          </w:p>
        </w:tc>
      </w:tr>
      <w:tr>
        <w:tc>
          <w:tcPr>
            <w:tcW w:type="dxa" w:w="5141"/>
            <w:vAlign w:val="top"/>
          </w:tcPr>
          <w:p>
            <w:r>
              <w:t>Feed</w:t>
            </w:r>
          </w:p>
        </w:tc>
        <w:tc>
          <w:tcPr>
            <w:tcW w:type="dxa" w:w="5141"/>
            <w:vAlign w:val="top"/>
          </w:tcPr>
          <w:p>
            <w:r>
              <w:t>Typed cards, ranking, lifecycle, user feedback/actions.</w:t>
            </w:r>
          </w:p>
        </w:tc>
      </w:tr>
      <w:tr>
        <w:tc>
          <w:tcPr>
            <w:tcW w:type="dxa" w:w="5141"/>
            <w:vAlign w:val="top"/>
          </w:tcPr>
          <w:p>
            <w:r>
              <w:t>Opportunity</w:t>
            </w:r>
          </w:p>
        </w:tc>
        <w:tc>
          <w:tcPr>
            <w:tcW w:type="dxa" w:w="5141"/>
            <w:vAlign w:val="top"/>
          </w:tcPr>
          <w:p>
            <w:r>
              <w:t>Opportunity candidates, evidence, score/confidence, expiry.</w:t>
            </w:r>
          </w:p>
        </w:tc>
      </w:tr>
      <w:tr>
        <w:tc>
          <w:tcPr>
            <w:tcW w:type="dxa" w:w="5141"/>
            <w:vAlign w:val="top"/>
          </w:tcPr>
          <w:p>
            <w:r>
              <w:t>Experiments</w:t>
            </w:r>
          </w:p>
        </w:tc>
        <w:tc>
          <w:tcPr>
            <w:tcW w:type="dxa" w:w="5141"/>
            <w:vAlign w:val="top"/>
          </w:tcPr>
          <w:p>
            <w:r>
              <w:t>Hypotheses, variants, assignment/eligibility/release, outcomes.</w:t>
            </w:r>
          </w:p>
        </w:tc>
      </w:tr>
      <w:tr>
        <w:tc>
          <w:tcPr>
            <w:tcW w:type="dxa" w:w="5141"/>
            <w:vAlign w:val="top"/>
          </w:tcPr>
          <w:p>
            <w:r>
              <w:t>Multiply</w:t>
            </w:r>
          </w:p>
        </w:tc>
        <w:tc>
          <w:tcPr>
            <w:tcW w:type="dxa" w:w="5141"/>
            <w:vAlign w:val="top"/>
          </w:tcPr>
          <w:p>
            <w:r>
              <w:t>Winner/promising detection, variant lineage, pacing, originality.</w:t>
            </w:r>
          </w:p>
        </w:tc>
      </w:tr>
      <w:tr>
        <w:tc>
          <w:tcPr>
            <w:tcW w:type="dxa" w:w="5141"/>
            <w:vAlign w:val="top"/>
          </w:tcPr>
          <w:p>
            <w:r>
              <w:t>AI Gateway</w:t>
            </w:r>
          </w:p>
        </w:tc>
        <w:tc>
          <w:tcPr>
            <w:tcW w:type="dxa" w:w="5141"/>
            <w:vAlign w:val="top"/>
          </w:tcPr>
          <w:p>
            <w:r>
              <w:t>Prompt/model routing, schemas, cost, retries, safety.</w:t>
            </w:r>
          </w:p>
        </w:tc>
      </w:tr>
      <w:tr>
        <w:tc>
          <w:tcPr>
            <w:tcW w:type="dxa" w:w="5141"/>
            <w:vAlign w:val="top"/>
          </w:tcPr>
          <w:p>
            <w:r>
              <w:t>Audit &amp; Compliance</w:t>
            </w:r>
          </w:p>
        </w:tc>
        <w:tc>
          <w:tcPr>
            <w:tcW w:type="dxa" w:w="5141"/>
            <w:vAlign w:val="top"/>
          </w:tcPr>
          <w:p>
            <w:r>
              <w:t>Audit trail, consent history, data rights, retention.</w:t>
            </w:r>
          </w:p>
        </w:tc>
      </w:tr>
      <w:tr>
        <w:tc>
          <w:tcPr>
            <w:tcW w:type="dxa" w:w="5141"/>
            <w:vAlign w:val="top"/>
          </w:tcPr>
          <w:p>
            <w:r>
              <w:t>FinOps &amp; Quotas</w:t>
            </w:r>
          </w:p>
        </w:tc>
        <w:tc>
          <w:tcPr>
            <w:tcW w:type="dxa" w:w="5141"/>
            <w:vAlign w:val="top"/>
          </w:tcPr>
          <w:p>
            <w:r>
              <w:t>Provider spend, platform quota, tenant limits, budget alerts.</w:t>
            </w:r>
          </w:p>
        </w:tc>
      </w:tr>
    </w:tbl>
    <w:p/>
    <w:p>
      <w:pPr>
        <w:pStyle w:val="Heading1"/>
      </w:pPr>
      <w:r>
        <w:t>7. Identity, Tenancy and Authorization</w:t>
      </w:r>
    </w:p>
    <w:tbl>
      <w:tblPr>
        <w:tblStyle w:val="TableGrid"/>
        <w:tblW w:type="auto" w:w="0"/>
        <w:jc w:val="center"/>
        <w:tblLook w:firstColumn="1" w:firstRow="1" w:lastColumn="0" w:lastRow="0" w:noHBand="0" w:noVBand="1" w:val="04A0"/>
      </w:tblPr>
      <w:tblGrid>
        <w:gridCol w:w="5141"/>
        <w:gridCol w:w="5141"/>
      </w:tblGrid>
      <w:tr>
        <w:tc>
          <w:tcPr>
            <w:tcW w:type="dxa" w:w="5141"/>
            <w:vAlign w:val="center"/>
          </w:tcPr>
          <w:p>
            <w:r>
              <w:rPr>
                <w:b/>
              </w:rPr>
              <w:t>Entity / rule</w:t>
            </w:r>
          </w:p>
        </w:tc>
        <w:tc>
          <w:tcPr>
            <w:tcW w:type="dxa" w:w="5141"/>
            <w:vAlign w:val="center"/>
          </w:tcPr>
          <w:p>
            <w:r>
              <w:rPr>
                <w:b/>
              </w:rPr>
              <w:t>Specification</w:t>
            </w:r>
          </w:p>
        </w:tc>
      </w:tr>
      <w:tr>
        <w:tc>
          <w:tcPr>
            <w:tcW w:type="dxa" w:w="5141"/>
            <w:vAlign w:val="top"/>
          </w:tcPr>
          <w:p>
            <w:r>
              <w:t>User</w:t>
            </w:r>
          </w:p>
        </w:tc>
        <w:tc>
          <w:tcPr>
            <w:tcW w:type="dxa" w:w="5141"/>
            <w:vAlign w:val="top"/>
          </w:tcPr>
          <w:p>
            <w:r>
              <w:t>Global identity; may belong to multiple workspaces.</w:t>
            </w:r>
          </w:p>
        </w:tc>
      </w:tr>
      <w:tr>
        <w:tc>
          <w:tcPr>
            <w:tcW w:type="dxa" w:w="5141"/>
            <w:vAlign w:val="top"/>
          </w:tcPr>
          <w:p>
            <w:r>
              <w:t>Workspace</w:t>
            </w:r>
          </w:p>
        </w:tc>
        <w:tc>
          <w:tcPr>
            <w:tcW w:type="dxa" w:w="5141"/>
            <w:vAlign w:val="top"/>
          </w:tcPr>
          <w:p>
            <w:r>
              <w:t>Primary tenant boundary.</w:t>
            </w:r>
          </w:p>
        </w:tc>
      </w:tr>
      <w:tr>
        <w:tc>
          <w:tcPr>
            <w:tcW w:type="dxa" w:w="5141"/>
            <w:vAlign w:val="top"/>
          </w:tcPr>
          <w:p>
            <w:r>
              <w:t>Membership</w:t>
            </w:r>
          </w:p>
        </w:tc>
        <w:tc>
          <w:tcPr>
            <w:tcW w:type="dxa" w:w="5141"/>
            <w:vAlign w:val="top"/>
          </w:tcPr>
          <w:p>
            <w:r>
              <w:t>user_id + workspace_id + role + status.</w:t>
            </w:r>
          </w:p>
        </w:tc>
      </w:tr>
      <w:tr>
        <w:tc>
          <w:tcPr>
            <w:tcW w:type="dxa" w:w="5141"/>
            <w:vAlign w:val="top"/>
          </w:tcPr>
          <w:p>
            <w:r>
              <w:t>Roles R1</w:t>
            </w:r>
          </w:p>
        </w:tc>
        <w:tc>
          <w:tcPr>
            <w:tcW w:type="dxa" w:w="5141"/>
            <w:vAlign w:val="top"/>
          </w:tcPr>
          <w:p>
            <w:r>
              <w:t>owner, admin, editor, viewer. Publisher permission may be separated from editor.</w:t>
            </w:r>
          </w:p>
        </w:tc>
      </w:tr>
      <w:tr>
        <w:tc>
          <w:tcPr>
            <w:tcW w:type="dxa" w:w="5141"/>
            <w:vAlign w:val="top"/>
          </w:tcPr>
          <w:p>
            <w:r>
              <w:t>Social account</w:t>
            </w:r>
          </w:p>
        </w:tc>
        <w:tc>
          <w:tcPr>
            <w:tcW w:type="dxa" w:w="5141"/>
            <w:vAlign w:val="top"/>
          </w:tcPr>
          <w:p>
            <w:r>
              <w:t>Belongs to workspace operationally; records actual owner/authority state separately.</w:t>
            </w:r>
          </w:p>
        </w:tc>
      </w:tr>
      <w:tr>
        <w:tc>
          <w:tcPr>
            <w:tcW w:type="dxa" w:w="5141"/>
            <w:vAlign w:val="top"/>
          </w:tcPr>
          <w:p>
            <w:r>
              <w:t>owner_type</w:t>
            </w:r>
          </w:p>
        </w:tc>
        <w:tc>
          <w:tcPr>
            <w:tcW w:type="dxa" w:w="5141"/>
            <w:vAlign w:val="top"/>
          </w:tcPr>
          <w:p>
            <w:r>
              <w:t>direct | agency_managed.</w:t>
            </w:r>
          </w:p>
        </w:tc>
      </w:tr>
      <w:tr>
        <w:tc>
          <w:tcPr>
            <w:tcW w:type="dxa" w:w="5141"/>
            <w:vAlign w:val="top"/>
          </w:tcPr>
          <w:p>
            <w:r>
              <w:t>authority_status</w:t>
            </w:r>
          </w:p>
        </w:tc>
        <w:tc>
          <w:tcPr>
            <w:tcW w:type="dxa" w:w="5141"/>
            <w:vAlign w:val="top"/>
          </w:tcPr>
          <w:p>
            <w:r>
              <w:t>pending | contractually_granted | revoked.</w:t>
            </w:r>
          </w:p>
        </w:tc>
      </w:tr>
      <w:tr>
        <w:tc>
          <w:tcPr>
            <w:tcW w:type="dxa" w:w="5141"/>
            <w:vAlign w:val="top"/>
          </w:tcPr>
          <w:p>
            <w:r>
              <w:t>contribution_eligibility</w:t>
            </w:r>
          </w:p>
        </w:tc>
        <w:tc>
          <w:tcPr>
            <w:tcW w:type="dxa" w:w="5141"/>
            <w:vAlign w:val="top"/>
          </w:tcPr>
          <w:p>
            <w:r>
              <w:t>private_only | eligible_pending_review | eligible.</w:t>
            </w:r>
          </w:p>
        </w:tc>
      </w:tr>
      <w:tr>
        <w:tc>
          <w:tcPr>
            <w:tcW w:type="dxa" w:w="5141"/>
            <w:vAlign w:val="top"/>
          </w:tcPr>
          <w:p>
            <w:r>
              <w:t>Authorization</w:t>
            </w:r>
          </w:p>
        </w:tc>
        <w:tc>
          <w:tcPr>
            <w:tcW w:type="dxa" w:w="5141"/>
            <w:vAlign w:val="top"/>
          </w:tcPr>
          <w:p>
            <w:r>
              <w:t>RBAC + resource ownership + capability checks; deny by default.</w:t>
            </w:r>
          </w:p>
        </w:tc>
      </w:tr>
      <w:tr>
        <w:tc>
          <w:tcPr>
            <w:tcW w:type="dxa" w:w="5141"/>
            <w:vAlign w:val="top"/>
          </w:tcPr>
          <w:p>
            <w:r>
              <w:t>Service jobs</w:t>
            </w:r>
          </w:p>
        </w:tc>
        <w:tc>
          <w:tcPr>
            <w:tcW w:type="dxa" w:w="5141"/>
            <w:vAlign w:val="top"/>
          </w:tcPr>
          <w:p>
            <w:r>
              <w:t>Carry immutable workspace/account context; cannot run unscoped.</w:t>
            </w:r>
          </w:p>
        </w:tc>
      </w:tr>
    </w:tbl>
    <w:p/>
    <w:p>
      <w:pPr/>
      <w:r>
        <w:t>Temporal authority rule: owner_type, authority_status and contribution_eligibility are current projections only. Every change also creates an effective-dated authority/eligibility history event (effective_from, effective_to, actor/source, contract/version reference, reason). This history exists in Release 1 even though aggregate-learning propagation activates later.</w:t>
      </w:r>
    </w:p>
    <w:p>
      <w:pPr>
        <w:pStyle w:val="Heading1"/>
      </w:pPr>
      <w:r>
        <w:t>8. Platform Connection State Machine</w:t>
      </w:r>
    </w:p>
    <w:p>
      <w:pPr>
        <w:ind w:left="360"/>
      </w:pPr>
      <w:r>
        <w:rPr>
          <w:rFonts w:ascii="Consolas" w:hAnsi="Consolas"/>
          <w:sz w:val="17"/>
        </w:rPr>
        <w:t>UNCONNECTED -&gt; AUTHORIZING -&gt; CONNECTED -&gt; DEGRADED -&gt; REAUTH_REQUIRED -&gt; CONNECTED</w:t>
        <w:br/>
        <w:t xml:space="preserve">                         \-&gt; FAILED</w:t>
        <w:br/>
        <w:t>CONNECTED -&gt; REVOKED / DISCONNECTED</w:t>
      </w:r>
    </w:p>
    <w:p>
      <w:pPr>
        <w:pStyle w:val="ListBullet"/>
      </w:pPr>
      <w:r>
        <w:t>Store access tokens encrypted at rest using envelope encryption/KMS; refresh tokens only where provider issues them.</w:t>
      </w:r>
    </w:p>
    <w:p>
      <w:pPr>
        <w:pStyle w:val="ListBullet"/>
      </w:pPr>
      <w:r>
        <w:t>Never log raw tokens or authorization codes.</w:t>
      </w:r>
    </w:p>
    <w:p>
      <w:pPr>
        <w:pStyle w:val="ListBullet"/>
      </w:pPr>
      <w:r>
        <w:t>Track granted scopes separately from requested scopes.</w:t>
      </w:r>
    </w:p>
    <w:p>
      <w:pPr>
        <w:pStyle w:val="ListBullet"/>
      </w:pPr>
      <w:r>
        <w:t>Connection health includes last_success_at, last_failure_at, error_class, token_expiry_at, next_health_check_at.</w:t>
      </w:r>
    </w:p>
    <w:p>
      <w:pPr>
        <w:pStyle w:val="ListBullet"/>
      </w:pPr>
      <w:r>
        <w:t>Reauthorization must preserve account/content history and only replace credentials/permission state.</w:t>
      </w:r>
    </w:p>
    <w:p>
      <w:pPr>
        <w:pStyle w:val="Heading1"/>
      </w:pPr>
      <w:r>
        <w:t>9. Capability Registry</w:t>
      </w:r>
    </w:p>
    <w:p>
      <w:r>
        <w:t>A capability is a contract, not a UI assumption.</w:t>
      </w:r>
    </w:p>
    <w:tbl>
      <w:tblPr>
        <w:tblStyle w:val="TableGrid"/>
        <w:tblW w:type="auto" w:w="0"/>
        <w:jc w:val="center"/>
        <w:tblLook w:firstColumn="1" w:firstRow="1" w:lastColumn="0" w:lastRow="0" w:noHBand="0" w:noVBand="1" w:val="04A0"/>
      </w:tblPr>
      <w:tblGrid>
        <w:gridCol w:w="5141"/>
        <w:gridCol w:w="5141"/>
      </w:tblGrid>
      <w:tr>
        <w:tc>
          <w:tcPr>
            <w:tcW w:type="dxa" w:w="5141"/>
            <w:vAlign w:val="center"/>
          </w:tcPr>
          <w:p>
            <w:r>
              <w:rPr>
                <w:b/>
              </w:rPr>
              <w:t>Field</w:t>
            </w:r>
          </w:p>
        </w:tc>
        <w:tc>
          <w:tcPr>
            <w:tcW w:type="dxa" w:w="5141"/>
            <w:vAlign w:val="center"/>
          </w:tcPr>
          <w:p>
            <w:r>
              <w:rPr>
                <w:b/>
              </w:rPr>
              <w:t>Example / purpose</w:t>
            </w:r>
          </w:p>
        </w:tc>
      </w:tr>
      <w:tr>
        <w:tc>
          <w:tcPr>
            <w:tcW w:type="dxa" w:w="5141"/>
            <w:vAlign w:val="top"/>
          </w:tcPr>
          <w:p>
            <w:r>
              <w:t>platform</w:t>
            </w:r>
          </w:p>
        </w:tc>
        <w:tc>
          <w:tcPr>
            <w:tcW w:type="dxa" w:w="5141"/>
            <w:vAlign w:val="top"/>
          </w:tcPr>
          <w:p>
            <w:r>
              <w:t>instagram | youtube</w:t>
            </w:r>
          </w:p>
        </w:tc>
      </w:tr>
      <w:tr>
        <w:tc>
          <w:tcPr>
            <w:tcW w:type="dxa" w:w="5141"/>
            <w:vAlign w:val="top"/>
          </w:tcPr>
          <w:p>
            <w:r>
              <w:t>market</w:t>
            </w:r>
          </w:p>
        </w:tc>
        <w:tc>
          <w:tcPr>
            <w:tcW w:type="dxa" w:w="5141"/>
            <w:vAlign w:val="top"/>
          </w:tcPr>
          <w:p>
            <w:r>
              <w:t>US | BR | *</w:t>
            </w:r>
          </w:p>
        </w:tc>
      </w:tr>
      <w:tr>
        <w:tc>
          <w:tcPr>
            <w:tcW w:type="dxa" w:w="5141"/>
            <w:vAlign w:val="top"/>
          </w:tcPr>
          <w:p>
            <w:r>
              <w:t>account_type</w:t>
            </w:r>
          </w:p>
        </w:tc>
        <w:tc>
          <w:tcPr>
            <w:tcW w:type="dxa" w:w="5141"/>
            <w:vAlign w:val="top"/>
          </w:tcPr>
          <w:p>
            <w:r>
              <w:t>professional/channel/etc.</w:t>
            </w:r>
          </w:p>
        </w:tc>
      </w:tr>
      <w:tr>
        <w:tc>
          <w:tcPr>
            <w:tcW w:type="dxa" w:w="5141"/>
            <w:vAlign w:val="top"/>
          </w:tcPr>
          <w:p>
            <w:r>
              <w:t>capability</w:t>
            </w:r>
          </w:p>
        </w:tc>
        <w:tc>
          <w:tcPr>
            <w:tcW w:type="dxa" w:w="5141"/>
            <w:vAlign w:val="top"/>
          </w:tcPr>
          <w:p>
            <w:r>
              <w:t>publish_video, read_owned_metrics, read_comments, etc.</w:t>
            </w:r>
          </w:p>
        </w:tc>
      </w:tr>
      <w:tr>
        <w:tc>
          <w:tcPr>
            <w:tcW w:type="dxa" w:w="5141"/>
            <w:vAlign w:val="top"/>
          </w:tcPr>
          <w:p>
            <w:r>
              <w:t>status</w:t>
            </w:r>
          </w:p>
        </w:tc>
        <w:tc>
          <w:tcPr>
            <w:tcW w:type="dxa" w:w="5141"/>
            <w:vAlign w:val="top"/>
          </w:tcPr>
          <w:p>
            <w:r>
              <w:t>enabled | disabled | degraded | validation_required</w:t>
            </w:r>
          </w:p>
        </w:tc>
      </w:tr>
      <w:tr>
        <w:tc>
          <w:tcPr>
            <w:tcW w:type="dxa" w:w="5141"/>
            <w:vAlign w:val="top"/>
          </w:tcPr>
          <w:p>
            <w:r>
              <w:t>required_scopes</w:t>
            </w:r>
          </w:p>
        </w:tc>
        <w:tc>
          <w:tcPr>
            <w:tcW w:type="dxa" w:w="5141"/>
            <w:vAlign w:val="top"/>
          </w:tcPr>
          <w:p>
            <w:r>
              <w:t>Normalized list.</w:t>
            </w:r>
          </w:p>
        </w:tc>
      </w:tr>
      <w:tr>
        <w:tc>
          <w:tcPr>
            <w:tcW w:type="dxa" w:w="5141"/>
            <w:vAlign w:val="top"/>
          </w:tcPr>
          <w:p>
            <w:r>
              <w:t>limits</w:t>
            </w:r>
          </w:p>
        </w:tc>
        <w:tc>
          <w:tcPr>
            <w:tcW w:type="dxa" w:w="5141"/>
            <w:vAlign w:val="top"/>
          </w:tcPr>
          <w:p>
            <w:r>
              <w:t>Quota/rate/media constraints as structured JSON.</w:t>
            </w:r>
          </w:p>
        </w:tc>
      </w:tr>
      <w:tr>
        <w:tc>
          <w:tcPr>
            <w:tcW w:type="dxa" w:w="5141"/>
            <w:vAlign w:val="top"/>
          </w:tcPr>
          <w:p>
            <w:r>
              <w:t>validated_at</w:t>
            </w:r>
          </w:p>
        </w:tc>
        <w:tc>
          <w:tcPr>
            <w:tcW w:type="dxa" w:w="5141"/>
            <w:vAlign w:val="top"/>
          </w:tcPr>
          <w:p>
            <w:r>
              <w:t>Timestamp of last official validation.</w:t>
            </w:r>
          </w:p>
        </w:tc>
      </w:tr>
      <w:tr>
        <w:tc>
          <w:tcPr>
            <w:tcW w:type="dxa" w:w="5141"/>
            <w:vAlign w:val="top"/>
          </w:tcPr>
          <w:p>
            <w:r>
              <w:t>evidence_ref</w:t>
            </w:r>
          </w:p>
        </w:tc>
        <w:tc>
          <w:tcPr>
            <w:tcW w:type="dxa" w:w="5141"/>
            <w:vAlign w:val="top"/>
          </w:tcPr>
          <w:p>
            <w:r>
              <w:t>Official doc/contract reference.</w:t>
            </w:r>
          </w:p>
        </w:tc>
      </w:tr>
      <w:tr>
        <w:tc>
          <w:tcPr>
            <w:tcW w:type="dxa" w:w="5141"/>
            <w:vAlign w:val="top"/>
          </w:tcPr>
          <w:p>
            <w:r>
              <w:t>adapter_version</w:t>
            </w:r>
          </w:p>
        </w:tc>
        <w:tc>
          <w:tcPr>
            <w:tcW w:type="dxa" w:w="5141"/>
            <w:vAlign w:val="top"/>
          </w:tcPr>
          <w:p>
            <w:r>
              <w:t>Implementation known to satisfy the capability.</w:t>
            </w:r>
          </w:p>
        </w:tc>
      </w:tr>
      <w:tr>
        <w:tc>
          <w:tcPr>
            <w:tcW w:type="dxa" w:w="5141"/>
            <w:vAlign w:val="top"/>
          </w:tcPr>
          <w:p>
            <w:r>
              <w:t>kill_switch</w:t>
            </w:r>
          </w:p>
        </w:tc>
        <w:tc>
          <w:tcPr>
            <w:tcW w:type="dxa" w:w="5141"/>
            <w:vAlign w:val="top"/>
          </w:tcPr>
          <w:p>
            <w:r>
              <w:t>Immediate disable without deploy.</w:t>
            </w:r>
          </w:p>
        </w:tc>
      </w:tr>
      <w:tr>
        <w:tc>
          <w:tcPr>
            <w:tcW w:type="dxa" w:w="5141"/>
          </w:tcPr>
          <w:p>
            <w:r>
              <w:t>app_review_status</w:t>
            </w:r>
          </w:p>
        </w:tc>
        <w:tc>
          <w:tcPr>
            <w:tcW w:type="dxa" w:w="5141"/>
          </w:tcPr>
          <w:p>
            <w:r>
              <w:t>not_submitted | in_review | approved | rejected; operational release gate.</w:t>
            </w:r>
          </w:p>
        </w:tc>
      </w:tr>
      <w:tr>
        <w:tc>
          <w:tcPr>
            <w:tcW w:type="dxa" w:w="5141"/>
          </w:tcPr>
          <w:p>
            <w:r>
              <w:t>deprecation_date / sunset_notice_ref</w:t>
            </w:r>
          </w:p>
        </w:tc>
        <w:tc>
          <w:tcPr>
            <w:tcW w:type="dxa" w:w="5141"/>
          </w:tcPr>
          <w:p>
            <w:r>
              <w:t>Provider deprecation/sunset tracking.</w:t>
            </w:r>
          </w:p>
        </w:tc>
      </w:tr>
      <w:tr>
        <w:tc>
          <w:tcPr>
            <w:tcW w:type="dxa" w:w="5141"/>
          </w:tcPr>
          <w:p>
            <w:r>
              <w:t>incident_ref / last_incident_at</w:t>
            </w:r>
          </w:p>
        </w:tc>
        <w:tc>
          <w:tcPr>
            <w:tcW w:type="dxa" w:w="5141"/>
          </w:tcPr>
          <w:p>
            <w:r>
              <w:t>Current/recent provider incident state.</w:t>
            </w:r>
          </w:p>
        </w:tc>
      </w:tr>
      <w:tr>
        <w:tc>
          <w:tcPr>
            <w:tcW w:type="dxa" w:w="5141"/>
          </w:tcPr>
          <w:p>
            <w:r>
              <w:t>media_constraints</w:t>
            </w:r>
          </w:p>
        </w:tc>
        <w:tc>
          <w:tcPr>
            <w:tcW w:type="dxa" w:w="5141"/>
          </w:tcPr>
          <w:p>
            <w:r>
              <w:t>First-class structured media constraints consumed by content validation.</w:t>
            </w:r>
          </w:p>
        </w:tc>
      </w:tr>
    </w:tbl>
    <w:p/>
    <w:p>
      <w:r>
        <w:t>Specification rule: no Release 1 platform feature is accepted until its registry entry has an official-source evidence reference and an executable adapter contract test.</w:t>
      </w:r>
    </w:p>
    <w:p>
      <w:pPr/>
      <w:r>
        <w:t>Registry v0.2 additions: app_review_status and last_review_at; deprecation_date/sunset_notice_ref; incident_ref/last_incident_at; structured media_constraints; quota_bucket/quota_limit/reset semantics; verification/audit status; and evidence freshness. Media constraints must be queryable directly by Content validation rather than buried only in generic JSON.</w:t>
      </w:r>
    </w:p>
    <w:p>
      <w:pPr>
        <w:pStyle w:val="Heading1"/>
      </w:pPr>
      <w:r>
        <w:t>10. Content Domain</w:t>
      </w:r>
    </w:p>
    <w:tbl>
      <w:tblPr>
        <w:tblStyle w:val="TableGrid"/>
        <w:tblW w:type="auto" w:w="0"/>
        <w:jc w:val="center"/>
        <w:tblLook w:firstColumn="1" w:firstRow="1" w:lastColumn="0" w:lastRow="0" w:noHBand="0" w:noVBand="1" w:val="04A0"/>
      </w:tblPr>
      <w:tblGrid>
        <w:gridCol w:w="5141"/>
        <w:gridCol w:w="5141"/>
      </w:tblGrid>
      <w:tr>
        <w:tc>
          <w:tcPr>
            <w:tcW w:type="dxa" w:w="5141"/>
            <w:vAlign w:val="center"/>
          </w:tcPr>
          <w:p>
            <w:r>
              <w:rPr>
                <w:b/>
              </w:rPr>
              <w:t>Entity</w:t>
            </w:r>
          </w:p>
        </w:tc>
        <w:tc>
          <w:tcPr>
            <w:tcW w:type="dxa" w:w="5141"/>
            <w:vAlign w:val="center"/>
          </w:tcPr>
          <w:p>
            <w:r>
              <w:rPr>
                <w:b/>
              </w:rPr>
              <w:t>Key fields</w:t>
            </w:r>
          </w:p>
        </w:tc>
      </w:tr>
      <w:tr>
        <w:tc>
          <w:tcPr>
            <w:tcW w:type="dxa" w:w="5141"/>
            <w:vAlign w:val="top"/>
          </w:tcPr>
          <w:p>
            <w:r>
              <w:t>content_item</w:t>
            </w:r>
          </w:p>
        </w:tc>
        <w:tc>
          <w:tcPr>
            <w:tcW w:type="dxa" w:w="5141"/>
            <w:vAlign w:val="top"/>
          </w:tcPr>
          <w:p>
            <w:r>
              <w:t>id, workspace_id, objective, market, language, platform_target, status, source_type, created_by.</w:t>
            </w:r>
          </w:p>
        </w:tc>
      </w:tr>
      <w:tr>
        <w:tc>
          <w:tcPr>
            <w:tcW w:type="dxa" w:w="5141"/>
            <w:vAlign w:val="top"/>
          </w:tcPr>
          <w:p>
            <w:r>
              <w:t>content_version</w:t>
            </w:r>
          </w:p>
        </w:tc>
        <w:tc>
          <w:tcPr>
            <w:tcW w:type="dxa" w:w="5141"/>
            <w:vAlign w:val="top"/>
          </w:tcPr>
          <w:p>
            <w:r>
              <w:t>content_item_id, version, text/script, structure_json, ai_provenance, created_at.</w:t>
            </w:r>
          </w:p>
        </w:tc>
      </w:tr>
      <w:tr>
        <w:tc>
          <w:tcPr>
            <w:tcW w:type="dxa" w:w="5141"/>
            <w:vAlign w:val="top"/>
          </w:tcPr>
          <w:p>
            <w:r>
              <w:t>media_asset</w:t>
            </w:r>
          </w:p>
        </w:tc>
        <w:tc>
          <w:tcPr>
            <w:tcW w:type="dxa" w:w="5141"/>
            <w:vAlign w:val="top"/>
          </w:tcPr>
          <w:p>
            <w:r>
              <w:t>storage_ref, mime, checksum, rights_status, source, duration/dimensions.</w:t>
            </w:r>
          </w:p>
        </w:tc>
      </w:tr>
      <w:tr>
        <w:tc>
          <w:tcPr>
            <w:tcW w:type="dxa" w:w="5141"/>
            <w:vAlign w:val="top"/>
          </w:tcPr>
          <w:p>
            <w:r>
              <w:t>content_variant</w:t>
            </w:r>
          </w:p>
        </w:tc>
        <w:tc>
          <w:tcPr>
            <w:tcW w:type="dxa" w:w="5141"/>
            <w:vAlign w:val="top"/>
          </w:tcPr>
          <w:p>
            <w:r>
              <w:t>parent_content_id, hypothesis_id, variant_type, similarity_status, lineage.</w:t>
            </w:r>
          </w:p>
        </w:tc>
      </w:tr>
      <w:tr>
        <w:tc>
          <w:tcPr>
            <w:tcW w:type="dxa" w:w="5141"/>
            <w:vAlign w:val="top"/>
          </w:tcPr>
          <w:p>
            <w:r>
              <w:t>approval</w:t>
            </w:r>
          </w:p>
        </w:tc>
        <w:tc>
          <w:tcPr>
            <w:tcW w:type="dxa" w:w="5141"/>
            <w:vAlign w:val="top"/>
          </w:tcPr>
          <w:p>
            <w:r>
              <w:t>content_version_id, actor, decision, timestamp, notes.</w:t>
            </w:r>
          </w:p>
        </w:tc>
      </w:tr>
      <w:tr>
        <w:tc>
          <w:tcPr>
            <w:tcW w:type="dxa" w:w="5141"/>
            <w:vAlign w:val="top"/>
          </w:tcPr>
          <w:p>
            <w:r>
              <w:t>localization</w:t>
            </w:r>
          </w:p>
        </w:tc>
        <w:tc>
          <w:tcPr>
            <w:tcW w:type="dxa" w:w="5141"/>
            <w:vAlign w:val="top"/>
          </w:tcPr>
          <w:p>
            <w:r>
              <w:t>source_version, target_market/language, adaptation_notes, model provenance.</w:t>
            </w:r>
          </w:p>
        </w:tc>
      </w:tr>
    </w:tbl>
    <w:p/>
    <w:p>
      <w:pPr>
        <w:pStyle w:val="ListBullet"/>
      </w:pPr>
      <w:r>
        <w:t>Content generation must return structured output validated against a schema before persistence.</w:t>
      </w:r>
    </w:p>
    <w:p>
      <w:pPr>
        <w:pStyle w:val="ListBullet"/>
      </w:pPr>
      <w:r>
        <w:t>Every generated asset retains its origin: customer asset, generated, licensed, public reference or unknown/not-usable.</w:t>
      </w:r>
    </w:p>
    <w:p>
      <w:pPr>
        <w:pStyle w:val="ListBullet"/>
      </w:pPr>
      <w:r>
        <w:t>Publishing consumes an immutable approved content version; edits create a new version.</w:t>
      </w:r>
    </w:p>
    <w:p>
      <w:pPr>
        <w:pStyle w:val="Heading1"/>
      </w:pPr>
      <w:r>
        <w:t>11. Publishing State Machine</w:t>
      </w:r>
    </w:p>
    <w:p>
      <w:pPr>
        <w:ind w:left="360"/>
      </w:pPr>
      <w:r>
        <w:rPr>
          <w:rFonts w:ascii="Consolas" w:hAnsi="Consolas"/>
          <w:sz w:val="17"/>
        </w:rPr>
        <w:t>DRAFT -&gt; READY -&gt; SCHEDULED -&gt; QUEUED -&gt; SENDING -&gt; CONFIRMED</w:t>
        <w:br/>
        <w:t xml:space="preserve">                                  |          \-&gt; FAILED_RETRYABLE -&gt; RETRYING -&gt; SENDING</w:t>
        <w:br/>
        <w:t xml:space="preserve">                                  \------------&gt; NEEDS_USER_ACTION</w:t>
        <w:br/>
        <w:t>SCHEDULED/QUEUED -&gt; CANCELLED</w:t>
      </w:r>
    </w:p>
    <w:tbl>
      <w:tblPr>
        <w:tblStyle w:val="TableGrid"/>
        <w:tblW w:type="auto" w:w="0"/>
        <w:jc w:val="center"/>
        <w:tblLook w:firstColumn="1" w:firstRow="1" w:lastColumn="0" w:lastRow="0" w:noHBand="0" w:noVBand="1" w:val="04A0"/>
      </w:tblPr>
      <w:tblGrid>
        <w:gridCol w:w="5141"/>
        <w:gridCol w:w="5141"/>
      </w:tblGrid>
      <w:tr>
        <w:tc>
          <w:tcPr>
            <w:tcW w:type="dxa" w:w="5141"/>
            <w:vAlign w:val="center"/>
          </w:tcPr>
          <w:p>
            <w:r>
              <w:rPr>
                <w:b/>
              </w:rPr>
              <w:t>Requirement</w:t>
            </w:r>
          </w:p>
        </w:tc>
        <w:tc>
          <w:tcPr>
            <w:tcW w:type="dxa" w:w="5141"/>
            <w:vAlign w:val="center"/>
          </w:tcPr>
          <w:p>
            <w:r>
              <w:rPr>
                <w:b/>
              </w:rPr>
              <w:t>Rule</w:t>
            </w:r>
          </w:p>
        </w:tc>
      </w:tr>
      <w:tr>
        <w:tc>
          <w:tcPr>
            <w:tcW w:type="dxa" w:w="5141"/>
            <w:vAlign w:val="top"/>
          </w:tcPr>
          <w:p>
            <w:r>
              <w:t>Idempotency key</w:t>
            </w:r>
          </w:p>
        </w:tc>
        <w:tc>
          <w:tcPr>
            <w:tcW w:type="dxa" w:w="5141"/>
            <w:vAlign w:val="top"/>
          </w:tcPr>
          <w:p>
            <w:r>
              <w:t>Client persists a request_nonce before first submission and reuses the same Idempotency-Key for retries of the same intent; server binds it to workspace + operation + request hash. INSERT-first unique constraint decides the winner atomically.</w:t>
            </w:r>
          </w:p>
        </w:tc>
      </w:tr>
      <w:tr>
        <w:tc>
          <w:tcPr>
            <w:tcW w:type="dxa" w:w="5141"/>
            <w:vAlign w:val="top"/>
          </w:tcPr>
          <w:p>
            <w:r>
              <w:t>Attempt record</w:t>
            </w:r>
          </w:p>
        </w:tc>
        <w:tc>
          <w:tcPr>
            <w:tcW w:type="dxa" w:w="5141"/>
            <w:vAlign w:val="top"/>
          </w:tcPr>
          <w:p>
            <w:r>
              <w:t>Every attempt stores request hash, provider/session/container ID if available, response class/timestamps, reconciliation_status and an append-only reconciliation-attempt history.</w:t>
            </w:r>
          </w:p>
        </w:tc>
      </w:tr>
      <w:tr>
        <w:tc>
          <w:tcPr>
            <w:tcW w:type="dxa" w:w="5141"/>
            <w:vAlign w:val="top"/>
          </w:tcPr>
          <w:p>
            <w:r>
              <w:t>Duplicate prevention</w:t>
            </w:r>
          </w:p>
        </w:tc>
        <w:tc>
          <w:tcPr>
            <w:tcW w:type="dxa" w:w="5141"/>
            <w:vAlign w:val="top"/>
          </w:tcPr>
          <w:p>
            <w:r>
              <w:t>DB unique constraint on idempotency key + worker lock; provider lookup/reconciliation where available.</w:t>
            </w:r>
          </w:p>
        </w:tc>
      </w:tr>
      <w:tr>
        <w:tc>
          <w:tcPr>
            <w:tcW w:type="dxa" w:w="5141"/>
            <w:vAlign w:val="top"/>
          </w:tcPr>
          <w:p>
            <w:r>
              <w:t>Retry</w:t>
            </w:r>
          </w:p>
        </w:tc>
        <w:tc>
          <w:tcPr>
            <w:tcW w:type="dxa" w:w="5141"/>
            <w:vAlign w:val="top"/>
          </w:tcPr>
          <w:p>
            <w:r>
              <w:t>Only retry errors classified retryable; exponential backoff + jitter + maximum attempts/deadline.</w:t>
            </w:r>
          </w:p>
        </w:tc>
      </w:tr>
      <w:tr>
        <w:tc>
          <w:tcPr>
            <w:tcW w:type="dxa" w:w="5141"/>
            <w:vAlign w:val="top"/>
          </w:tcPr>
          <w:p>
            <w:r>
              <w:t>Unknown result</w:t>
            </w:r>
          </w:p>
        </w:tc>
        <w:tc>
          <w:tcPr>
            <w:tcW w:type="dxa" w:w="5141"/>
            <w:vAlign w:val="top"/>
          </w:tcPr>
          <w:p>
            <w:r>
              <w:t>Never blindly retry after ambiguous timeout. Prefer exact provider/session/container reconciliation when an authoritative handle exists; use bounded fuzzy matching only in the narrow cases where no exact handle/result is available. After configurable reconciliation exhaustion, move to NEEDS_USER_ACTION.</w:t>
            </w:r>
          </w:p>
        </w:tc>
      </w:tr>
      <w:tr>
        <w:tc>
          <w:tcPr>
            <w:tcW w:type="dxa" w:w="5141"/>
            <w:vAlign w:val="top"/>
          </w:tcPr>
          <w:p>
            <w:r>
              <w:t>User action</w:t>
            </w:r>
          </w:p>
        </w:tc>
        <w:tc>
          <w:tcPr>
            <w:tcW w:type="dxa" w:w="5141"/>
            <w:vAlign w:val="top"/>
          </w:tcPr>
          <w:p>
            <w:r>
              <w:t>Revoked scope/token/media validation errors create a feed recovery card.</w:t>
            </w:r>
          </w:p>
        </w:tc>
      </w:tr>
      <w:tr>
        <w:tc>
          <w:tcPr>
            <w:tcW w:type="dxa" w:w="5141"/>
            <w:vAlign w:val="top"/>
          </w:tcPr>
          <w:p>
            <w:r>
              <w:t>Confirmation</w:t>
            </w:r>
          </w:p>
        </w:tc>
        <w:tc>
          <w:tcPr>
            <w:tcW w:type="dxa" w:w="5141"/>
            <w:vAlign w:val="top"/>
          </w:tcPr>
          <w:p>
            <w:r>
              <w:t>Provider ID/permalink/status stored only after authoritative response/reconciliation.</w:t>
            </w:r>
          </w:p>
        </w:tc>
      </w:tr>
    </w:tbl>
    <w:p/>
    <w:p>
      <w:pPr>
        <w:pStyle w:val="ListBullet"/>
      </w:pPr>
      <w:r>
        <w:t>Atomic idempotency rule: never SELECT-then-INSERT to decide whether a publication intent exists. The INSERT protected by a unique idempotency constraint is the atomic winner. A concurrent request that loses the constraint race reads and returns the winning intent instead of creating another.</w:t>
      </w:r>
    </w:p>
    <w:p>
      <w:pPr>
        <w:pStyle w:val="ListBullet"/>
      </w:pPr>
      <w:r>
        <w:t>Outbox consumption rule: workers claim events with SELECT ... FOR UPDATE SKIP LOCKED (or a datastore-equivalent atomic lease) inside a transaction. Processing remains idempotent because worker locks prevent concurrent claims but do not replace redelivery-safe consumers.</w:t>
      </w:r>
    </w:p>
    <w:p>
      <w:pPr>
        <w:pStyle w:val="ListBullet"/>
      </w:pPr>
      <w:r>
        <w:t>Provider idempotency limitation: Instagram and YouTube do not provide a client-supplied publication idempotency key that gives Growth OS an exact-once guarantee. Internal idempotency therefore prevents duplicate commands inside Growth OS, while ambiguous provider timeouts require provider-specific reconciliation.</w:t>
      </w:r>
    </w:p>
    <w:p>
      <w:pPr>
        <w:pStyle w:val="ListBullet"/>
      </w:pPr>
      <w:r>
        <w:t>Instagram reconciliation: persist the container/creation identifier before publish. When that durable handle exists, prefer the provider-native container status check. Reviewer-supplied primary-source verification (Meta Content Publishing documentation, 26 Aug 2026) reports /&lt;IG_CONTAINER_ID&gt;?fields=status_code with states EXPIRED/ERROR/FINISHED/IN_PROGRESS/PUBLISHED, recommended polling 1x/min for up to 5 minutes, and container expiry at 24h. Because ChatGPT could not independently fetch the Meta page in this turn (HTTP 429), this remains REVIEWER-SUPPLIED PRIMARY-SOURCE CLAIM until evidence_ref is captured by the implementation team. Fuzzy recent-media matching is only the narrow fallback when the authoritative handle/result is unavailable or insufficient. YouTube reconciliation preserves and queries the resumable-upload session before restart; fuzzy matching is fallback only. Exhausted reconciliation transitions to NEEDS_USER_ACTION.</w:t>
      </w:r>
    </w:p>
    <w:p>
      <w:pPr>
        <w:pStyle w:val="Heading1"/>
      </w:pPr>
      <w:r>
        <w:t>12. Metrics Ingestion</w:t>
      </w:r>
    </w:p>
    <w:p>
      <w:r>
        <w:t>Raw observations are immutable and separate from normalized/derived metrics.</w:t>
      </w:r>
    </w:p>
    <w:tbl>
      <w:tblPr>
        <w:tblStyle w:val="TableGrid"/>
        <w:tblW w:type="auto" w:w="0"/>
        <w:jc w:val="center"/>
        <w:tblLook w:firstColumn="1" w:firstRow="1" w:lastColumn="0" w:lastRow="0" w:noHBand="0" w:noVBand="1" w:val="04A0"/>
      </w:tblPr>
      <w:tblGrid>
        <w:gridCol w:w="5141"/>
        <w:gridCol w:w="5141"/>
      </w:tblGrid>
      <w:tr>
        <w:tc>
          <w:tcPr>
            <w:tcW w:type="dxa" w:w="5141"/>
            <w:vAlign w:val="center"/>
          </w:tcPr>
          <w:p>
            <w:r>
              <w:rPr>
                <w:b/>
              </w:rPr>
              <w:t>Table / stream</w:t>
            </w:r>
          </w:p>
        </w:tc>
        <w:tc>
          <w:tcPr>
            <w:tcW w:type="dxa" w:w="5141"/>
            <w:vAlign w:val="center"/>
          </w:tcPr>
          <w:p>
            <w:r>
              <w:rPr>
                <w:b/>
              </w:rPr>
              <w:t>Key fields</w:t>
            </w:r>
          </w:p>
        </w:tc>
      </w:tr>
      <w:tr>
        <w:tc>
          <w:tcPr>
            <w:tcW w:type="dxa" w:w="5141"/>
            <w:vAlign w:val="top"/>
          </w:tcPr>
          <w:p>
            <w:r>
              <w:t>metric_observation</w:t>
            </w:r>
          </w:p>
        </w:tc>
        <w:tc>
          <w:tcPr>
            <w:tcW w:type="dxa" w:w="5141"/>
            <w:vAlign w:val="top"/>
          </w:tcPr>
          <w:p>
            <w:r>
              <w:t>workspace_id, social_account_id, platform_content_id, metric_name, raw_value, observed_at, provider_effective_at, source, payload_ref, adapter_version, provider_api_version/source_schema_version, collection_method (webhook|polling|backfill).</w:t>
            </w:r>
          </w:p>
        </w:tc>
      </w:tr>
      <w:tr>
        <w:tc>
          <w:tcPr>
            <w:tcW w:type="dxa" w:w="5141"/>
            <w:vAlign w:val="top"/>
          </w:tcPr>
          <w:p>
            <w:r>
              <w:t>metric_normalized</w:t>
            </w:r>
          </w:p>
        </w:tc>
        <w:tc>
          <w:tcPr>
            <w:tcW w:type="dxa" w:w="5141"/>
            <w:vAlign w:val="top"/>
          </w:tcPr>
          <w:p>
            <w:r>
              <w:t>content_id, metric_key, value, unit, window, computed_at, logic_version.</w:t>
            </w:r>
          </w:p>
        </w:tc>
      </w:tr>
      <w:tr>
        <w:tc>
          <w:tcPr>
            <w:tcW w:type="dxa" w:w="5141"/>
            <w:vAlign w:val="top"/>
          </w:tcPr>
          <w:p>
            <w:r>
              <w:t>metric_completeness</w:t>
            </w:r>
          </w:p>
        </w:tc>
        <w:tc>
          <w:tcPr>
            <w:tcW w:type="dxa" w:w="5141"/>
            <w:vAlign w:val="top"/>
          </w:tcPr>
          <w:p>
            <w:r>
              <w:t>content_id, expected_metric, available, last_checked_at, reason_unavailable.</w:t>
            </w:r>
          </w:p>
        </w:tc>
      </w:tr>
      <w:tr>
        <w:tc>
          <w:tcPr>
            <w:tcW w:type="dxa" w:w="5141"/>
            <w:vAlign w:val="top"/>
          </w:tcPr>
          <w:p>
            <w:r>
              <w:t>content_baseline</w:t>
            </w:r>
          </w:p>
        </w:tc>
        <w:tc>
          <w:tcPr>
            <w:tcW w:type="dxa" w:w="5141"/>
            <w:vAlign w:val="top"/>
          </w:tcPr>
          <w:p>
            <w:r>
              <w:t>account/platform/format/market cohort, window, statistic, sample_size, computed_at, logic_version.</w:t>
            </w:r>
          </w:p>
        </w:tc>
      </w:tr>
    </w:tbl>
    <w:p/>
    <w:p>
      <w:pPr>
        <w:pStyle w:val="ListBullet"/>
      </w:pPr>
      <w:r>
        <w:t>Store repeated observations to preserve time series and permit later reprocessing.</w:t>
      </w:r>
    </w:p>
    <w:p>
      <w:pPr>
        <w:pStyle w:val="ListBullet"/>
      </w:pPr>
      <w:r>
        <w:t>Provider-effective dates and local customer time must not be conflated.</w:t>
      </w:r>
    </w:p>
    <w:p>
      <w:pPr>
        <w:pStyle w:val="ListBullet"/>
      </w:pPr>
      <w:r>
        <w:t>YouTube Analytics dates are Pacific-time based according to current official documentation; normalization must preserve source-time semantics rather than silently treating them as customer-local dates.</w:t>
      </w:r>
    </w:p>
    <w:p>
      <w:pPr>
        <w:pStyle w:val="ListBullet"/>
      </w:pPr>
      <w:r>
        <w:t>Late-arriving metrics trigger recomputation of dependent baselines/insights using versioned jobs.</w:t>
      </w:r>
    </w:p>
    <w:p>
      <w:pPr>
        <w:pStyle w:val="ListBullet"/>
      </w:pPr>
      <w:r>
        <w:t>Raw metric schema v0.2 adds provider_api_version/source_schema_version separately from adapter_version, plus collection_method = webhook | polling | backfill | reconciliation. This lets completeness/reprocessing distinguish provider schema evolution from Growth OS code evolution and real-time collection from delayed backfill.</w:t>
      </w:r>
    </w:p>
    <w:p>
      <w:pPr>
        <w:pStyle w:val="ListBullet"/>
      </w:pPr>
      <w:r>
        <w:t>Deletion semantics: active observations remain immutable while retained. A deletion request creates a tombstone/deletion scope that immediately excludes the data from every customer, AI, insight, search/vector and aggregate-learning read. A purge workflow then physically removes scoped tenant raw data and the closed set of derived artifacts: normalized/aggregate rows attributable to the scope, pgvector/embedding rows, AI Gateway provenance/input payloads where retained, cached feed-card payload snapshots containing deleted data, generated exports/reports under our control, media/object-storage objects and provider-payload archives. Legal/security audit records retain only the minimum non-content metadata permitted/required by policy. Backups use a bounded retention window; after restore, a deletion-ledger reconciliation MUST run before restored data can be served, reapplying tombstones/purges that became effective after the backup snapshot. The closed purge surface also includes logs/traces/observability stores containing scoped identifiers/content, CDN edge caches/derived URLs, and read replicas/search replicas. A purge is not complete until applicable CDN invalidation and replica-consistency checks satisfy policy. External AI-provider retention is explicitly outside Growth OS internal purge control and must be represented as a provider-policy limitation/retention window, not promised as immediately purgeable.</w:t>
      </w:r>
    </w:p>
    <w:p>
      <w:pPr>
        <w:pStyle w:val="Heading1"/>
      </w:pPr>
      <w:r>
        <w:t>13. Evidence Model and Insight Taxonomy</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tcPr>
          <w:p>
            <w:r>
              <w:rPr>
                <w:b/>
              </w:rPr>
              <w:t>Insight state</w:t>
            </w:r>
          </w:p>
        </w:tc>
        <w:tc>
          <w:tcPr>
            <w:tcW w:type="dxa" w:w="3427"/>
            <w:vAlign w:val="center"/>
          </w:tcPr>
          <w:p>
            <w:r>
              <w:rPr>
                <w:b/>
              </w:rPr>
              <w:t>Allowed evidence</w:t>
            </w:r>
          </w:p>
        </w:tc>
        <w:tc>
          <w:tcPr>
            <w:tcW w:type="dxa" w:w="3427"/>
            <w:vAlign w:val="center"/>
          </w:tcPr>
          <w:p>
            <w:r>
              <w:rPr>
                <w:b/>
              </w:rPr>
              <w:t>UI semantics</w:t>
            </w:r>
          </w:p>
        </w:tc>
      </w:tr>
      <w:tr>
        <w:tc>
          <w:tcPr>
            <w:tcW w:type="dxa" w:w="3427"/>
            <w:vAlign w:val="top"/>
          </w:tcPr>
          <w:p>
            <w:r>
              <w:t>confirmed_account</w:t>
            </w:r>
          </w:p>
        </w:tc>
        <w:tc>
          <w:tcPr>
            <w:tcW w:type="dxa" w:w="3427"/>
            <w:vAlign w:val="top"/>
          </w:tcPr>
          <w:p>
            <w:r>
              <w:t>Owned-account evidence meeting metric-specific rule and confidence threshold.</w:t>
            </w:r>
          </w:p>
        </w:tc>
        <w:tc>
          <w:tcPr>
            <w:tcW w:type="dxa" w:w="3427"/>
            <w:vAlign w:val="top"/>
          </w:tcPr>
          <w:p>
            <w:r>
              <w:t>Confirmed for your account.</w:t>
            </w:r>
          </w:p>
        </w:tc>
      </w:tr>
      <w:tr>
        <w:tc>
          <w:tcPr>
            <w:tcW w:type="dxa" w:w="3427"/>
            <w:vAlign w:val="top"/>
          </w:tcPr>
          <w:p>
            <w:r>
              <w:t>account_hypothesis</w:t>
            </w:r>
          </w:p>
        </w:tc>
        <w:tc>
          <w:tcPr>
            <w:tcW w:type="dxa" w:w="3427"/>
            <w:vAlign w:val="top"/>
          </w:tcPr>
          <w:p>
            <w:r>
              <w:t>Owned evidence exists but is insufficient/early/confounded.</w:t>
            </w:r>
          </w:p>
        </w:tc>
        <w:tc>
          <w:tcPr>
            <w:tcW w:type="dxa" w:w="3427"/>
            <w:vAlign w:val="top"/>
          </w:tcPr>
          <w:p>
            <w:r>
              <w:t>Learning / hypothesis; recommend next test.</w:t>
            </w:r>
          </w:p>
        </w:tc>
      </w:tr>
      <w:tr>
        <w:tc>
          <w:tcPr>
            <w:tcW w:type="dxa" w:w="3427"/>
            <w:vAlign w:val="top"/>
          </w:tcPr>
          <w:p>
            <w:r>
              <w:t>general_practice</w:t>
            </w:r>
          </w:p>
        </w:tc>
        <w:tc>
          <w:tcPr>
            <w:tcW w:type="dxa" w:w="3427"/>
            <w:vAlign w:val="top"/>
          </w:tcPr>
          <w:p>
            <w:r>
              <w:t>External/open/licensed/general prior; not proven for this account.</w:t>
            </w:r>
          </w:p>
        </w:tc>
        <w:tc>
          <w:tcPr>
            <w:tcW w:type="dxa" w:w="3427"/>
            <w:vAlign w:val="top"/>
          </w:tcPr>
          <w:p>
            <w:r>
              <w:t>General market/sector practice.</w:t>
            </w:r>
          </w:p>
        </w:tc>
      </w:tr>
      <w:tr>
        <w:tc>
          <w:tcPr>
            <w:tcW w:type="dxa" w:w="3427"/>
            <w:vAlign w:val="top"/>
          </w:tcPr>
          <w:p>
            <w:r>
              <w:t>insufficient_signal</w:t>
            </w:r>
          </w:p>
        </w:tc>
        <w:tc>
          <w:tcPr>
            <w:tcW w:type="dxa" w:w="3427"/>
            <w:vAlign w:val="top"/>
          </w:tcPr>
          <w:p>
            <w:r>
              <w:t>Not enough reliable evidence for a useful claim.</w:t>
            </w:r>
          </w:p>
        </w:tc>
        <w:tc>
          <w:tcPr>
            <w:tcW w:type="dxa" w:w="3427"/>
            <w:vAlign w:val="top"/>
          </w:tcPr>
          <w:p>
            <w:r>
              <w:t>Say explicitly that more data is needed.</w:t>
            </w:r>
          </w:p>
        </w:tc>
      </w:tr>
    </w:tbl>
    <w:p/>
    <w:p>
      <w:r>
        <w:t>Every insight record must include:</w:t>
      </w:r>
    </w:p>
    <w:p>
      <w:pPr>
        <w:pStyle w:val="ListBullet"/>
      </w:pPr>
      <w:r>
        <w:t>claim, state, evidence_refs, metric/segment definition, sample_size, confidence representation, logic/model version, valid_from, expires_at/decay policy, created_at.</w:t>
      </w:r>
    </w:p>
    <w:p>
      <w:pPr>
        <w:pStyle w:val="ListBullet"/>
      </w:pPr>
      <w:r>
        <w:t>An evidence trace sufficient for 'View evidence' without exposing another tenant's private data.</w:t>
      </w:r>
    </w:p>
    <w:p>
      <w:pPr>
        <w:pStyle w:val="ListBullet"/>
      </w:pPr>
      <w:r>
        <w:t>State transitions are monotonic only when evidence supports them; a confirmed insight may decay or be demoted after regime change.</w:t>
      </w:r>
    </w:p>
    <w:p>
      <w:r>
        <w:t>Initial technical rule for 'confirmed_account':</w:t>
      </w:r>
    </w:p>
    <w:p>
      <w:pPr>
        <w:pStyle w:val="ListBullet"/>
      </w:pPr>
      <w:r>
        <w:t>Must be based on owned data only.</w:t>
      </w:r>
    </w:p>
    <w:p>
      <w:pPr>
        <w:pStyle w:val="ListBullet"/>
      </w:pPr>
      <w:r>
        <w:t>Must have a predeclared metric and comparison/baseline.</w:t>
      </w:r>
    </w:p>
    <w:p>
      <w:pPr>
        <w:pStyle w:val="ListBullet"/>
      </w:pPr>
      <w:r>
        <w:t>Must pass a minimum sample/coverage gate specific to the metric.</w:t>
      </w:r>
    </w:p>
    <w:p>
      <w:pPr>
        <w:pStyle w:val="ListBullet"/>
      </w:pPr>
      <w:r>
        <w:t>Must exceed a minimum effect/practical-importance gate, not merely statistical significance.</w:t>
      </w:r>
    </w:p>
    <w:p>
      <w:pPr>
        <w:pStyle w:val="ListBullet"/>
      </w:pPr>
      <w:r>
        <w:t>Must not have a known severe confound or incomplete metric window.</w:t>
      </w:r>
    </w:p>
    <w:p>
      <w:pPr>
        <w:pStyle w:val="ListBullet"/>
      </w:pPr>
      <w:r>
        <w:t>Exact numeric thresholds are configuration/versioned policy, not hard-coded constants; Claude is asked to challenge proposed defaults before implementation.</w:t>
      </w:r>
    </w:p>
    <w:p>
      <w:pPr>
        <w:pStyle w:val="ListBullet"/>
      </w:pPr>
      <w:r>
        <w:t>Initial evidence-policy proposal for Claude validation: rate metrics require at least 5 comparable posts, a minimum denominator per post, a practical lift threshold and an interval that clears the account baseline; heavy-tailed count metrics use log-scale/robust comparison, leave-one-out baseline and require a majority of comparable posts to beat baseline plus an absolute-volume floor; retention-curve shape is not confirmed_account in Release 1 - only scalar retention summaries may graduate.</w:t>
      </w:r>
    </w:p>
    <w:p>
      <w:pPr>
        <w:pStyle w:val="ListBullet"/>
      </w:pPr>
      <w:r>
        <w:t>Growth Brain recheck rule: a materially contradictory new episodic event queues immediate re-evaluation of affected confirmed_account insights, but immediate recheck does not imply immediate demotion. Promotion and demotion use symmetric metric-specific sufficiency/effect gates over a qualifying pattern/window; a single contradictory post cannot demote a confirmed insight unless a separately versioned safety/data-integrity rule requires it. Hysteresis/cooldown may be applied to prevent label oscillation, and every transition stores evidence and logic_version.</w:t>
      </w:r>
    </w:p>
    <w:p>
      <w:pPr>
        <w:pStyle w:val="Heading1"/>
      </w:pPr>
      <w:r>
        <w:t>14. Growth Brain v1</w:t>
      </w:r>
    </w:p>
    <w:tbl>
      <w:tblPr>
        <w:tblStyle w:val="TableGrid"/>
        <w:tblW w:type="auto" w:w="0"/>
        <w:jc w:val="center"/>
        <w:tblLook w:firstColumn="1" w:firstRow="1" w:lastColumn="0" w:lastRow="0" w:noHBand="0" w:noVBand="1" w:val="04A0"/>
      </w:tblPr>
      <w:tblGrid>
        <w:gridCol w:w="5141"/>
        <w:gridCol w:w="5141"/>
      </w:tblGrid>
      <w:tr>
        <w:tc>
          <w:tcPr>
            <w:tcW w:type="dxa" w:w="5141"/>
            <w:vAlign w:val="center"/>
          </w:tcPr>
          <w:p>
            <w:r>
              <w:rPr>
                <w:b/>
              </w:rPr>
              <w:t>Store</w:t>
            </w:r>
          </w:p>
        </w:tc>
        <w:tc>
          <w:tcPr>
            <w:tcW w:type="dxa" w:w="5141"/>
            <w:vAlign w:val="center"/>
          </w:tcPr>
          <w:p>
            <w:r>
              <w:rPr>
                <w:b/>
              </w:rPr>
              <w:t>Purpose</w:t>
            </w:r>
          </w:p>
        </w:tc>
      </w:tr>
      <w:tr>
        <w:tc>
          <w:tcPr>
            <w:tcW w:type="dxa" w:w="5141"/>
            <w:vAlign w:val="top"/>
          </w:tcPr>
          <w:p>
            <w:r>
              <w:t>profile_state</w:t>
            </w:r>
          </w:p>
        </w:tc>
        <w:tc>
          <w:tcPr>
            <w:tcW w:type="dxa" w:w="5141"/>
            <w:vAlign w:val="top"/>
          </w:tcPr>
          <w:p>
            <w:r>
              <w:t>Goals, markets, audience, brand voice, constraints.</w:t>
            </w:r>
          </w:p>
        </w:tc>
      </w:tr>
      <w:tr>
        <w:tc>
          <w:tcPr>
            <w:tcW w:type="dxa" w:w="5141"/>
            <w:vAlign w:val="top"/>
          </w:tcPr>
          <w:p>
            <w:r>
              <w:t>episodic_events</w:t>
            </w:r>
          </w:p>
        </w:tc>
        <w:tc>
          <w:tcPr>
            <w:tcW w:type="dxa" w:w="5141"/>
            <w:vAlign w:val="top"/>
          </w:tcPr>
          <w:p>
            <w:r>
              <w:t>Recent content/publication/metric/feedback events.</w:t>
            </w:r>
          </w:p>
        </w:tc>
      </w:tr>
      <w:tr>
        <w:tc>
          <w:tcPr>
            <w:tcW w:type="dxa" w:w="5141"/>
            <w:vAlign w:val="top"/>
          </w:tcPr>
          <w:p>
            <w:r>
              <w:t>structured_insights</w:t>
            </w:r>
          </w:p>
        </w:tc>
        <w:tc>
          <w:tcPr>
            <w:tcW w:type="dxa" w:w="5141"/>
            <w:vAlign w:val="top"/>
          </w:tcPr>
          <w:p>
            <w:r>
              <w:t>Evidence-labeled durable learnings.</w:t>
            </w:r>
          </w:p>
        </w:tc>
      </w:tr>
      <w:tr>
        <w:tc>
          <w:tcPr>
            <w:tcW w:type="dxa" w:w="5141"/>
            <w:vAlign w:val="top"/>
          </w:tcPr>
          <w:p>
            <w:r>
              <w:t>semantic_memory</w:t>
            </w:r>
          </w:p>
        </w:tc>
        <w:tc>
          <w:tcPr>
            <w:tcW w:type="dxa" w:w="5141"/>
            <w:vAlign w:val="top"/>
          </w:tcPr>
          <w:p>
            <w:r>
              <w:t>Embeddings for retrieval of approved content, learnings and brand context.</w:t>
            </w:r>
          </w:p>
        </w:tc>
      </w:tr>
      <w:tr>
        <w:tc>
          <w:tcPr>
            <w:tcW w:type="dxa" w:w="5141"/>
            <w:vAlign w:val="top"/>
          </w:tcPr>
          <w:p>
            <w:r>
              <w:t>priors</w:t>
            </w:r>
          </w:p>
        </w:tc>
        <w:tc>
          <w:tcPr>
            <w:tcW w:type="dxa" w:w="5141"/>
            <w:vAlign w:val="top"/>
          </w:tcPr>
          <w:p>
            <w:r>
              <w:t>General/open/network priors with source class and eligibility.</w:t>
            </w:r>
          </w:p>
        </w:tc>
      </w:tr>
      <w:tr>
        <w:tc>
          <w:tcPr>
            <w:tcW w:type="dxa" w:w="5141"/>
            <w:vAlign w:val="top"/>
          </w:tcPr>
          <w:p>
            <w:r>
              <w:t>memory_policy</w:t>
            </w:r>
          </w:p>
        </w:tc>
        <w:tc>
          <w:tcPr>
            <w:tcW w:type="dxa" w:w="5141"/>
            <w:vAlign w:val="top"/>
          </w:tcPr>
          <w:p>
            <w:r>
              <w:t>recency, decay, sensitivity, retention, allowed use.</w:t>
            </w:r>
          </w:p>
        </w:tc>
      </w:tr>
    </w:tbl>
    <w:p/>
    <w:p>
      <w:r>
        <w:t>Retrieval order for customer decisions: current explicit constraints -&gt; confirmed account evidence -&gt; recent account events -&gt; account hypotheses -&gt; permitted priors/general practice. Private customer evidence must never be replaced by a stronger-looking external prior without explaining the conflict.</w:t>
      </w:r>
    </w:p>
    <w:p>
      <w:pPr>
        <w:pStyle w:val="Heading1"/>
      </w:pPr>
      <w:r>
        <w:t>15. Feed Architecture</w:t>
      </w:r>
    </w:p>
    <w:tbl>
      <w:tblPr>
        <w:tblStyle w:val="TableGrid"/>
        <w:tblW w:type="auto" w:w="0"/>
        <w:jc w:val="center"/>
        <w:tblLook w:firstColumn="1" w:firstRow="1" w:lastColumn="0" w:lastRow="0" w:noHBand="0" w:noVBand="1" w:val="04A0"/>
      </w:tblPr>
      <w:tblGrid>
        <w:gridCol w:w="5141"/>
        <w:gridCol w:w="5141"/>
      </w:tblGrid>
      <w:tr>
        <w:tc>
          <w:tcPr>
            <w:tcW w:type="dxa" w:w="5141"/>
            <w:vAlign w:val="center"/>
          </w:tcPr>
          <w:p>
            <w:r>
              <w:rPr>
                <w:b/>
              </w:rPr>
              <w:t>Card type</w:t>
            </w:r>
          </w:p>
        </w:tc>
        <w:tc>
          <w:tcPr>
            <w:tcW w:type="dxa" w:w="5141"/>
            <w:vAlign w:val="center"/>
          </w:tcPr>
          <w:p>
            <w:r>
              <w:rPr>
                <w:b/>
              </w:rPr>
              <w:t>Core payload / actions</w:t>
            </w:r>
          </w:p>
        </w:tc>
      </w:tr>
      <w:tr>
        <w:tc>
          <w:tcPr>
            <w:tcW w:type="dxa" w:w="5141"/>
            <w:vAlign w:val="top"/>
          </w:tcPr>
          <w:p>
            <w:r>
              <w:t>opportunity</w:t>
            </w:r>
          </w:p>
        </w:tc>
        <w:tc>
          <w:tcPr>
            <w:tcW w:type="dxa" w:w="5141"/>
            <w:vAlign w:val="top"/>
          </w:tcPr>
          <w:p>
            <w:r>
              <w:t>evidence summary, score/confidence, expiry; create / why / ignore.</w:t>
            </w:r>
          </w:p>
        </w:tc>
      </w:tr>
      <w:tr>
        <w:tc>
          <w:tcPr>
            <w:tcW w:type="dxa" w:w="5141"/>
            <w:vAlign w:val="top"/>
          </w:tcPr>
          <w:p>
            <w:r>
              <w:t>content_ready</w:t>
            </w:r>
          </w:p>
        </w:tc>
        <w:tc>
          <w:tcPr>
            <w:tcW w:type="dxa" w:w="5141"/>
            <w:vAlign w:val="top"/>
          </w:tcPr>
          <w:p>
            <w:r>
              <w:t>preview/version/platform; approve / edit / regenerate. Runtime card is a derived projection of authoritative domain state, not an independent source of truth.</w:t>
            </w:r>
          </w:p>
        </w:tc>
      </w:tr>
      <w:tr>
        <w:tc>
          <w:tcPr>
            <w:tcW w:type="dxa" w:w="5141"/>
            <w:vAlign w:val="top"/>
          </w:tcPr>
          <w:p>
            <w:r>
              <w:t>insight</w:t>
            </w:r>
          </w:p>
        </w:tc>
        <w:tc>
          <w:tcPr>
            <w:tcW w:type="dxa" w:w="5141"/>
            <w:vAlign w:val="top"/>
          </w:tcPr>
          <w:p>
            <w:r>
              <w:t>taxonomy state, claim, evidence; view evidence / apply / test.</w:t>
            </w:r>
          </w:p>
        </w:tc>
      </w:tr>
      <w:tr>
        <w:tc>
          <w:tcPr>
            <w:tcW w:type="dxa" w:w="5141"/>
            <w:vAlign w:val="top"/>
          </w:tcPr>
          <w:p>
            <w:r>
              <w:t>multiply</w:t>
            </w:r>
          </w:p>
        </w:tc>
        <w:tc>
          <w:tcPr>
            <w:tcW w:type="dxa" w:w="5141"/>
            <w:vAlign w:val="top"/>
          </w:tcPr>
          <w:p>
            <w:r>
              <w:t>source content, baseline delta, confidence; create variants / wait / explain.</w:t>
            </w:r>
          </w:p>
        </w:tc>
      </w:tr>
      <w:tr>
        <w:tc>
          <w:tcPr>
            <w:tcW w:type="dxa" w:w="5141"/>
            <w:vAlign w:val="top"/>
          </w:tcPr>
          <w:p>
            <w:r>
              <w:t>publish_recovery</w:t>
            </w:r>
          </w:p>
        </w:tc>
        <w:tc>
          <w:tcPr>
            <w:tcW w:type="dxa" w:w="5141"/>
            <w:vAlign w:val="top"/>
          </w:tcPr>
          <w:p>
            <w:r>
              <w:t>platform, failure class, affected content; reconnect / retry / edit. Runtime card is a derived projection of authoritative domain state, not an independent source of truth.</w:t>
            </w:r>
          </w:p>
        </w:tc>
      </w:tr>
      <w:tr>
        <w:tc>
          <w:tcPr>
            <w:tcW w:type="dxa" w:w="5141"/>
            <w:vAlign w:val="top"/>
          </w:tcPr>
          <w:p>
            <w:r>
              <w:t>no_signal</w:t>
            </w:r>
          </w:p>
        </w:tc>
        <w:tc>
          <w:tcPr>
            <w:tcW w:type="dxa" w:w="5141"/>
            <w:vAlign w:val="top"/>
          </w:tcPr>
          <w:p>
            <w:r>
              <w:t>what is missing; create experiment / keep learning.</w:t>
            </w:r>
          </w:p>
        </w:tc>
      </w:tr>
      <w:tr>
        <w:tc>
          <w:tcPr>
            <w:tcW w:type="dxa" w:w="5141"/>
            <w:vAlign w:val="top"/>
          </w:tcPr>
          <w:p>
            <w:r>
              <w:t>weekly_learning</w:t>
            </w:r>
          </w:p>
        </w:tc>
        <w:tc>
          <w:tcPr>
            <w:tcW w:type="dxa" w:w="5141"/>
            <w:vAlign w:val="top"/>
          </w:tcPr>
          <w:p>
            <w:r>
              <w:t>new confirmed/hypothesis/general learnings; inspect / apply.</w:t>
            </w:r>
          </w:p>
        </w:tc>
      </w:tr>
    </w:tbl>
    <w:p/>
    <w:p>
      <w:pPr>
        <w:pStyle w:val="ListBullet"/>
      </w:pPr>
      <w:r>
        <w:t>Cards are materialized server-side with stable card_id and type schema version.</w:t>
      </w:r>
    </w:p>
    <w:p>
      <w:pPr>
        <w:pStyle w:val="ListBullet"/>
      </w:pPr>
      <w:r>
        <w:t>User interactions are events: shown, opened, accepted, ignored, dismissed, action_completed.</w:t>
      </w:r>
    </w:p>
    <w:p>
      <w:pPr>
        <w:pStyle w:val="ListBullet"/>
      </w:pPr>
      <w:r>
        <w:t>Feed ranking may evolve, but critical recovery/security cards outrank growth recommendations.</w:t>
      </w:r>
    </w:p>
    <w:p>
      <w:pPr>
        <w:pStyle w:val="ListBullet"/>
      </w:pPr>
      <w:r>
        <w:t>Release 1 feed is scoped to a workspace with account/platform filters; agency-scale portfolio feed is deferred.</w:t>
      </w:r>
    </w:p>
    <w:p>
      <w:pPr/>
      <w:r>
        <w:t>Feed persistence rule v0.2: opportunity, insight, multiply and weekly_learning are durable assertions/events. content_ready and publish_recovery are derived projections of authoritative content/publication/connection state; they must not become an independently mutable second source of truth.</w:t>
      </w:r>
    </w:p>
    <w:p>
      <w:pPr>
        <w:pStyle w:val="Heading1"/>
      </w:pPr>
      <w:r>
        <w:t>16. Opportunity Engine v1</w:t>
      </w:r>
    </w:p>
    <w:p>
      <w:r>
        <w:t>Release 1 Opportunity Engine is evidence orchestration, not global social surveillance. It can use owned-account signals plus validated open/licensed/platform-specific signals that are actually available.</w:t>
      </w:r>
    </w:p>
    <w:tbl>
      <w:tblPr>
        <w:tblStyle w:val="TableGrid"/>
        <w:tblW w:type="auto" w:w="0"/>
        <w:jc w:val="center"/>
        <w:tblLook w:firstColumn="1" w:firstRow="1" w:lastColumn="0" w:lastRow="0" w:noHBand="0" w:noVBand="1" w:val="04A0"/>
      </w:tblPr>
      <w:tblGrid>
        <w:gridCol w:w="5141"/>
        <w:gridCol w:w="5141"/>
      </w:tblGrid>
      <w:tr>
        <w:tc>
          <w:tcPr>
            <w:tcW w:type="dxa" w:w="5141"/>
            <w:vAlign w:val="center"/>
          </w:tcPr>
          <w:p>
            <w:r>
              <w:rPr>
                <w:b/>
              </w:rPr>
              <w:t>Stage</w:t>
            </w:r>
          </w:p>
        </w:tc>
        <w:tc>
          <w:tcPr>
            <w:tcW w:type="dxa" w:w="5141"/>
            <w:vAlign w:val="center"/>
          </w:tcPr>
          <w:p>
            <w:r>
              <w:rPr>
                <w:b/>
              </w:rPr>
              <w:t>Function</w:t>
            </w:r>
          </w:p>
        </w:tc>
      </w:tr>
      <w:tr>
        <w:tc>
          <w:tcPr>
            <w:tcW w:type="dxa" w:w="5141"/>
            <w:vAlign w:val="top"/>
          </w:tcPr>
          <w:p>
            <w:r>
              <w:t>Candidate generation</w:t>
            </w:r>
          </w:p>
        </w:tc>
        <w:tc>
          <w:tcPr>
            <w:tcW w:type="dxa" w:w="5141"/>
            <w:vAlign w:val="top"/>
          </w:tcPr>
          <w:p>
            <w:r>
              <w:t>Generate opportunity candidates from allowed sources.</w:t>
            </w:r>
          </w:p>
        </w:tc>
      </w:tr>
      <w:tr>
        <w:tc>
          <w:tcPr>
            <w:tcW w:type="dxa" w:w="5141"/>
            <w:vAlign w:val="top"/>
          </w:tcPr>
          <w:p>
            <w:r>
              <w:t>Eligibility</w:t>
            </w:r>
          </w:p>
        </w:tc>
        <w:tc>
          <w:tcPr>
            <w:tcW w:type="dxa" w:w="5141"/>
            <w:vAlign w:val="top"/>
          </w:tcPr>
          <w:p>
            <w:r>
              <w:t>Filter by market, platform capability, brand constraints and freshness.</w:t>
            </w:r>
          </w:p>
        </w:tc>
      </w:tr>
      <w:tr>
        <w:tc>
          <w:tcPr>
            <w:tcW w:type="dxa" w:w="5141"/>
            <w:vAlign w:val="top"/>
          </w:tcPr>
          <w:p>
            <w:r>
              <w:t>Feature extraction</w:t>
            </w:r>
          </w:p>
        </w:tc>
        <w:tc>
          <w:tcPr>
            <w:tcW w:type="dxa" w:w="5141"/>
            <w:vAlign w:val="top"/>
          </w:tcPr>
          <w:p>
            <w:r>
              <w:t>Audience fit, recency, evidence breadth, prior account response, saturation proxy where available.</w:t>
            </w:r>
          </w:p>
        </w:tc>
      </w:tr>
      <w:tr>
        <w:tc>
          <w:tcPr>
            <w:tcW w:type="dxa" w:w="5141"/>
            <w:vAlign w:val="top"/>
          </w:tcPr>
          <w:p>
            <w:r>
              <w:t>Ranking</w:t>
            </w:r>
          </w:p>
        </w:tc>
        <w:tc>
          <w:tcPr>
            <w:tcW w:type="dxa" w:w="5141"/>
            <w:vAlign w:val="top"/>
          </w:tcPr>
          <w:p>
            <w:r>
              <w:t>Versioned heuristic/model; output score only if calibrated enough.</w:t>
            </w:r>
          </w:p>
        </w:tc>
      </w:tr>
      <w:tr>
        <w:tc>
          <w:tcPr>
            <w:tcW w:type="dxa" w:w="5141"/>
            <w:vAlign w:val="top"/>
          </w:tcPr>
          <w:p>
            <w:r>
              <w:t>Confidence</w:t>
            </w:r>
          </w:p>
        </w:tc>
        <w:tc>
          <w:tcPr>
            <w:tcW w:type="dxa" w:w="5141"/>
            <w:vAlign w:val="top"/>
          </w:tcPr>
          <w:p>
            <w:r>
              <w:t>Separate from opportunity score; based on evidence quality/coverage.</w:t>
            </w:r>
          </w:p>
        </w:tc>
      </w:tr>
      <w:tr>
        <w:tc>
          <w:tcPr>
            <w:tcW w:type="dxa" w:w="5141"/>
            <w:vAlign w:val="top"/>
          </w:tcPr>
          <w:p>
            <w:r>
              <w:t>Expiry</w:t>
            </w:r>
          </w:p>
        </w:tc>
        <w:tc>
          <w:tcPr>
            <w:tcW w:type="dxa" w:w="5141"/>
            <w:vAlign w:val="top"/>
          </w:tcPr>
          <w:p>
            <w:r>
              <w:t>Every time-sensitive opportunity has expires_at.</w:t>
            </w:r>
          </w:p>
        </w:tc>
      </w:tr>
      <w:tr>
        <w:tc>
          <w:tcPr>
            <w:tcW w:type="dxa" w:w="5141"/>
            <w:vAlign w:val="top"/>
          </w:tcPr>
          <w:p>
            <w:r>
              <w:t>Feedback</w:t>
            </w:r>
          </w:p>
        </w:tc>
        <w:tc>
          <w:tcPr>
            <w:tcW w:type="dxa" w:w="5141"/>
            <w:vAlign w:val="top"/>
          </w:tcPr>
          <w:p>
            <w:r>
              <w:t>Accept/ignore/publish/outcome events feed future ranking.</w:t>
            </w:r>
          </w:p>
        </w:tc>
      </w:tr>
    </w:tbl>
    <w:p/>
    <w:p>
      <w:pPr>
        <w:pStyle w:val="Heading1"/>
      </w:pPr>
      <w:r>
        <w:t>17. MULTIPLY v1</w:t>
      </w:r>
    </w:p>
    <w:tbl>
      <w:tblPr>
        <w:tblStyle w:val="TableGrid"/>
        <w:tblW w:type="auto" w:w="0"/>
        <w:jc w:val="center"/>
        <w:tblLook w:firstColumn="1" w:firstRow="1" w:lastColumn="0" w:lastRow="0" w:noHBand="0" w:noVBand="1" w:val="04A0"/>
      </w:tblPr>
      <w:tblGrid>
        <w:gridCol w:w="5141"/>
        <w:gridCol w:w="5141"/>
      </w:tblGrid>
      <w:tr>
        <w:tc>
          <w:tcPr>
            <w:tcW w:type="dxa" w:w="5141"/>
            <w:vAlign w:val="center"/>
          </w:tcPr>
          <w:p>
            <w:r>
              <w:rPr>
                <w:b/>
              </w:rPr>
              <w:t>Step</w:t>
            </w:r>
          </w:p>
        </w:tc>
        <w:tc>
          <w:tcPr>
            <w:tcW w:type="dxa" w:w="5141"/>
            <w:vAlign w:val="center"/>
          </w:tcPr>
          <w:p>
            <w:r>
              <w:rPr>
                <w:b/>
              </w:rPr>
              <w:t>Release 1 behavior</w:t>
            </w:r>
          </w:p>
        </w:tc>
      </w:tr>
      <w:tr>
        <w:tc>
          <w:tcPr>
            <w:tcW w:type="dxa" w:w="5141"/>
            <w:vAlign w:val="top"/>
          </w:tcPr>
          <w:p>
            <w:r>
              <w:t>Candidate</w:t>
            </w:r>
          </w:p>
        </w:tc>
        <w:tc>
          <w:tcPr>
            <w:tcW w:type="dxa" w:w="5141"/>
            <w:vAlign w:val="top"/>
          </w:tcPr>
          <w:p>
            <w:r>
              <w:t>Content materially above account baseline or otherwise promising.</w:t>
            </w:r>
          </w:p>
        </w:tc>
      </w:tr>
      <w:tr>
        <w:tc>
          <w:tcPr>
            <w:tcW w:type="dxa" w:w="5141"/>
            <w:vAlign w:val="top"/>
          </w:tcPr>
          <w:p>
            <w:r>
              <w:t>Explain</w:t>
            </w:r>
          </w:p>
        </w:tc>
        <w:tc>
          <w:tcPr>
            <w:tcW w:type="dxa" w:w="5141"/>
            <w:vAlign w:val="top"/>
          </w:tcPr>
          <w:p>
            <w:r>
              <w:t>Show observed delta and why candidate is flagged.</w:t>
            </w:r>
          </w:p>
        </w:tc>
      </w:tr>
      <w:tr>
        <w:tc>
          <w:tcPr>
            <w:tcW w:type="dxa" w:w="5141"/>
            <w:vAlign w:val="top"/>
          </w:tcPr>
          <w:p>
            <w:r>
              <w:t>Generate</w:t>
            </w:r>
          </w:p>
        </w:tc>
        <w:tc>
          <w:tcPr>
            <w:tcW w:type="dxa" w:w="5141"/>
            <w:vAlign w:val="top"/>
          </w:tcPr>
          <w:p>
            <w:r>
              <w:t>Create structurally distinct variants/hypotheses.</w:t>
            </w:r>
          </w:p>
        </w:tc>
      </w:tr>
      <w:tr>
        <w:tc>
          <w:tcPr>
            <w:tcW w:type="dxa" w:w="5141"/>
            <w:vAlign w:val="top"/>
          </w:tcPr>
          <w:p>
            <w:r>
              <w:t>Originality Guard</w:t>
            </w:r>
          </w:p>
        </w:tc>
        <w:tc>
          <w:tcPr>
            <w:tcW w:type="dxa" w:w="5141"/>
            <w:vAlign w:val="top"/>
          </w:tcPr>
          <w:p>
            <w:r>
              <w:t>Semantic + structural/verbatim checks.</w:t>
            </w:r>
          </w:p>
        </w:tc>
      </w:tr>
      <w:tr>
        <w:tc>
          <w:tcPr>
            <w:tcW w:type="dxa" w:w="5141"/>
            <w:vAlign w:val="top"/>
          </w:tcPr>
          <w:p>
            <w:r>
              <w:t>Override</w:t>
            </w:r>
          </w:p>
        </w:tc>
        <w:tc>
          <w:tcPr>
            <w:tcW w:type="dxa" w:w="5141"/>
            <w:vAlign w:val="top"/>
          </w:tcPr>
          <w:p>
            <w:r>
              <w:t>Visible warning and explicit logged override where permitted.</w:t>
            </w:r>
          </w:p>
        </w:tc>
      </w:tr>
      <w:tr>
        <w:tc>
          <w:tcPr>
            <w:tcW w:type="dxa" w:w="5141"/>
            <w:vAlign w:val="top"/>
          </w:tcPr>
          <w:p>
            <w:r>
              <w:t>Lineage</w:t>
            </w:r>
          </w:p>
        </w:tc>
        <w:tc>
          <w:tcPr>
            <w:tcW w:type="dxa" w:w="5141"/>
            <w:vAlign w:val="top"/>
          </w:tcPr>
          <w:p>
            <w:r>
              <w:t>source_content_id, variant_id, hypothesis_id.</w:t>
            </w:r>
          </w:p>
        </w:tc>
      </w:tr>
      <w:tr>
        <w:tc>
          <w:tcPr>
            <w:tcW w:type="dxa" w:w="5141"/>
            <w:vAlign w:val="top"/>
          </w:tcPr>
          <w:p>
            <w:r>
              <w:t>Causal instrumentation</w:t>
            </w:r>
          </w:p>
        </w:tc>
        <w:tc>
          <w:tcPr>
            <w:tcW w:type="dxa" w:w="5141"/>
            <w:vAlign w:val="top"/>
          </w:tcPr>
          <w:p>
            <w:r>
              <w:t>multiplication_eligible_at and multiplication_released_at stored for every candidate.</w:t>
            </w:r>
          </w:p>
        </w:tc>
      </w:tr>
      <w:tr>
        <w:tc>
          <w:tcPr>
            <w:tcW w:type="dxa" w:w="5141"/>
            <w:vAlign w:val="top"/>
          </w:tcPr>
          <w:p>
            <w:r>
              <w:t>Outcome</w:t>
            </w:r>
          </w:p>
        </w:tc>
        <w:tc>
          <w:tcPr>
            <w:tcW w:type="dxa" w:w="5141"/>
            <w:vAlign w:val="top"/>
          </w:tcPr>
          <w:p>
            <w:r>
              <w:t>Report observed performance; do not claim causal lift unless design supports it.</w:t>
            </w:r>
          </w:p>
        </w:tc>
      </w:tr>
    </w:tbl>
    <w:p/>
    <w:p>
      <w:pPr>
        <w:pStyle w:val="ListBullet"/>
      </w:pPr>
      <w:r>
        <w:t>MULTIPLY baseline v0.2: compare a candidate against a leave-one-out baseline of recent comparable posts from the same platform/format; require an absolute-volume floor as well as relative lift so tiny denominators cannot create false winners.</w:t>
      </w:r>
    </w:p>
    <w:p>
      <w:pPr>
        <w:pStyle w:val="ListBullet"/>
      </w:pPr>
      <w:r>
        <w:t>Originality override telemetry: persist guard scores/features, block reason, actor/override reason and the later real outcome of overridden content so false-positive/false-negative calibration can be evaluated.</w:t>
      </w:r>
    </w:p>
    <w:p>
      <w:pPr>
        <w:pStyle w:val="Heading1"/>
      </w:pPr>
      <w:r>
        <w:t>18. Experimentation</w:t>
      </w:r>
    </w:p>
    <w:tbl>
      <w:tblPr>
        <w:tblStyle w:val="TableGrid"/>
        <w:tblW w:type="auto" w:w="0"/>
        <w:jc w:val="center"/>
        <w:tblLook w:firstColumn="1" w:firstRow="1" w:lastColumn="0" w:lastRow="0" w:noHBand="0" w:noVBand="1" w:val="04A0"/>
      </w:tblPr>
      <w:tblGrid>
        <w:gridCol w:w="5141"/>
        <w:gridCol w:w="5141"/>
      </w:tblGrid>
      <w:tr>
        <w:tc>
          <w:tcPr>
            <w:tcW w:type="dxa" w:w="5141"/>
            <w:vAlign w:val="center"/>
          </w:tcPr>
          <w:p>
            <w:r>
              <w:rPr>
                <w:b/>
              </w:rPr>
              <w:t>Entity</w:t>
            </w:r>
          </w:p>
        </w:tc>
        <w:tc>
          <w:tcPr>
            <w:tcW w:type="dxa" w:w="5141"/>
            <w:vAlign w:val="center"/>
          </w:tcPr>
          <w:p>
            <w:r>
              <w:rPr>
                <w:b/>
              </w:rPr>
              <w:t>Fields</w:t>
            </w:r>
          </w:p>
        </w:tc>
      </w:tr>
      <w:tr>
        <w:tc>
          <w:tcPr>
            <w:tcW w:type="dxa" w:w="5141"/>
            <w:vAlign w:val="top"/>
          </w:tcPr>
          <w:p>
            <w:r>
              <w:t>hypothesis</w:t>
            </w:r>
          </w:p>
        </w:tc>
        <w:tc>
          <w:tcPr>
            <w:tcW w:type="dxa" w:w="5141"/>
            <w:vAlign w:val="top"/>
          </w:tcPr>
          <w:p>
            <w:r>
              <w:t>question, expected_direction, primary_metric, practical_effect_threshold.</w:t>
            </w:r>
          </w:p>
        </w:tc>
      </w:tr>
      <w:tr>
        <w:tc>
          <w:tcPr>
            <w:tcW w:type="dxa" w:w="5141"/>
            <w:vAlign w:val="top"/>
          </w:tcPr>
          <w:p>
            <w:r>
              <w:t>experiment</w:t>
            </w:r>
          </w:p>
        </w:tc>
        <w:tc>
          <w:tcPr>
            <w:tcW w:type="dxa" w:w="5141"/>
            <w:vAlign w:val="top"/>
          </w:tcPr>
          <w:p>
            <w:r>
              <w:t>scope, start/end, status, design_type, eligibility rule.</w:t>
            </w:r>
          </w:p>
        </w:tc>
      </w:tr>
      <w:tr>
        <w:tc>
          <w:tcPr>
            <w:tcW w:type="dxa" w:w="5141"/>
            <w:vAlign w:val="top"/>
          </w:tcPr>
          <w:p>
            <w:r>
              <w:t>variant</w:t>
            </w:r>
          </w:p>
        </w:tc>
        <w:tc>
          <w:tcPr>
            <w:tcW w:type="dxa" w:w="5141"/>
            <w:vAlign w:val="top"/>
          </w:tcPr>
          <w:p>
            <w:r>
              <w:t>content/version, assignment/release metadata.</w:t>
            </w:r>
          </w:p>
        </w:tc>
      </w:tr>
      <w:tr>
        <w:tc>
          <w:tcPr>
            <w:tcW w:type="dxa" w:w="5141"/>
            <w:vAlign w:val="top"/>
          </w:tcPr>
          <w:p>
            <w:r>
              <w:t>exposure</w:t>
            </w:r>
          </w:p>
        </w:tc>
        <w:tc>
          <w:tcPr>
            <w:tcW w:type="dxa" w:w="5141"/>
            <w:vAlign w:val="top"/>
          </w:tcPr>
          <w:p>
            <w:r>
              <w:t>eligible_at, assigned_at, released_at, wave_number/rollout_group, platform/content identifiers.</w:t>
            </w:r>
          </w:p>
        </w:tc>
      </w:tr>
      <w:tr>
        <w:tc>
          <w:tcPr>
            <w:tcW w:type="dxa" w:w="5141"/>
            <w:vAlign w:val="top"/>
          </w:tcPr>
          <w:p>
            <w:r>
              <w:t>outcome</w:t>
            </w:r>
          </w:p>
        </w:tc>
        <w:tc>
          <w:tcPr>
            <w:tcW w:type="dxa" w:w="5141"/>
            <w:vAlign w:val="top"/>
          </w:tcPr>
          <w:p>
            <w:r>
              <w:t>metric window, observed values, completeness, analysis_version.</w:t>
            </w:r>
          </w:p>
        </w:tc>
      </w:tr>
      <w:tr>
        <w:tc>
          <w:tcPr>
            <w:tcW w:type="dxa" w:w="5141"/>
            <w:vAlign w:val="top"/>
          </w:tcPr>
          <w:p>
            <w:r>
              <w:t>analysis</w:t>
            </w:r>
          </w:p>
        </w:tc>
        <w:tc>
          <w:tcPr>
            <w:tcW w:type="dxa" w:w="5141"/>
            <w:vAlign w:val="top"/>
          </w:tcPr>
          <w:p>
            <w:r>
              <w:t>estimate, interval/confidence, sample, caveats, decision.</w:t>
            </w:r>
          </w:p>
        </w:tc>
      </w:tr>
    </w:tbl>
    <w:p/>
    <w:p>
      <w:r>
        <w:t>Release 1 supports simple account-level comparisons and explicit hypotheses. Release 1.x may add empirical shrinkage and stepped-wedge analysis. Eligibility timestamps are captured now so later causal analysis is possible.</w:t>
      </w:r>
    </w:p>
    <w:p>
      <w:pPr/>
      <w:r>
        <w:t>Experiment schema v0.2 adds wave_number/rollout_group to exposure. Wave membership is explicit and never inferred solely from timestamps.</w:t>
      </w:r>
    </w:p>
    <w:p>
      <w:pPr>
        <w:pStyle w:val="Heading1"/>
      </w:pPr>
      <w:r>
        <w:t>19. AI Gateway</w:t>
      </w:r>
    </w:p>
    <w:tbl>
      <w:tblPr>
        <w:tblStyle w:val="TableGrid"/>
        <w:tblW w:type="auto" w:w="0"/>
        <w:jc w:val="center"/>
        <w:tblLook w:firstColumn="1" w:firstRow="1" w:lastColumn="0" w:lastRow="0" w:noHBand="0" w:noVBand="1" w:val="04A0"/>
      </w:tblPr>
      <w:tblGrid>
        <w:gridCol w:w="5141"/>
        <w:gridCol w:w="5141"/>
      </w:tblGrid>
      <w:tr>
        <w:tc>
          <w:tcPr>
            <w:tcW w:type="dxa" w:w="5141"/>
            <w:vAlign w:val="center"/>
          </w:tcPr>
          <w:p>
            <w:r>
              <w:rPr>
                <w:b/>
              </w:rPr>
              <w:t>Concern</w:t>
            </w:r>
          </w:p>
        </w:tc>
        <w:tc>
          <w:tcPr>
            <w:tcW w:type="dxa" w:w="5141"/>
            <w:vAlign w:val="center"/>
          </w:tcPr>
          <w:p>
            <w:r>
              <w:rPr>
                <w:b/>
              </w:rPr>
              <w:t>Specification</w:t>
            </w:r>
          </w:p>
        </w:tc>
      </w:tr>
      <w:tr>
        <w:tc>
          <w:tcPr>
            <w:tcW w:type="dxa" w:w="5141"/>
            <w:vAlign w:val="top"/>
          </w:tcPr>
          <w:p>
            <w:r>
              <w:t>Provider neutrality</w:t>
            </w:r>
          </w:p>
        </w:tc>
        <w:tc>
          <w:tcPr>
            <w:tcW w:type="dxa" w:w="5141"/>
            <w:vAlign w:val="top"/>
          </w:tcPr>
          <w:p>
            <w:r>
              <w:t>Common interface for chat/generation/embedding; provider selected by capability/cost/policy.</w:t>
            </w:r>
          </w:p>
        </w:tc>
      </w:tr>
      <w:tr>
        <w:tc>
          <w:tcPr>
            <w:tcW w:type="dxa" w:w="5141"/>
            <w:vAlign w:val="top"/>
          </w:tcPr>
          <w:p>
            <w:r>
              <w:t>Structured outputs</w:t>
            </w:r>
          </w:p>
        </w:tc>
        <w:tc>
          <w:tcPr>
            <w:tcW w:type="dxa" w:w="5141"/>
            <w:vAlign w:val="top"/>
          </w:tcPr>
          <w:p>
            <w:r>
              <w:t>JSON/schema validation; invalid output repaired/retried or rejected.</w:t>
            </w:r>
          </w:p>
        </w:tc>
      </w:tr>
      <w:tr>
        <w:tc>
          <w:tcPr>
            <w:tcW w:type="dxa" w:w="5141"/>
            <w:vAlign w:val="top"/>
          </w:tcPr>
          <w:p>
            <w:r>
              <w:t>Prompt registry</w:t>
            </w:r>
          </w:p>
        </w:tc>
        <w:tc>
          <w:tcPr>
            <w:tcW w:type="dxa" w:w="5141"/>
            <w:vAlign w:val="top"/>
          </w:tcPr>
          <w:p>
            <w:r>
              <w:t>prompt_id + version + model + parameters + release status.</w:t>
            </w:r>
          </w:p>
        </w:tc>
      </w:tr>
      <w:tr>
        <w:tc>
          <w:tcPr>
            <w:tcW w:type="dxa" w:w="5141"/>
            <w:vAlign w:val="top"/>
          </w:tcPr>
          <w:p>
            <w:r>
              <w:t>Provenance</w:t>
            </w:r>
          </w:p>
        </w:tc>
        <w:tc>
          <w:tcPr>
            <w:tcW w:type="dxa" w:w="5141"/>
            <w:vAlign w:val="top"/>
          </w:tcPr>
          <w:p>
            <w:r>
              <w:t>Every generated decision/content links to prompt/model/version/input evidence refs.</w:t>
            </w:r>
          </w:p>
        </w:tc>
      </w:tr>
      <w:tr>
        <w:tc>
          <w:tcPr>
            <w:tcW w:type="dxa" w:w="5141"/>
            <w:vAlign w:val="top"/>
          </w:tcPr>
          <w:p>
            <w:r>
              <w:t>Cost</w:t>
            </w:r>
          </w:p>
        </w:tc>
        <w:tc>
          <w:tcPr>
            <w:tcW w:type="dxa" w:w="5141"/>
            <w:vAlign w:val="top"/>
          </w:tcPr>
          <w:p>
            <w:r>
              <w:t>Token/media cost attributed to workspace, feature and request.</w:t>
            </w:r>
          </w:p>
        </w:tc>
      </w:tr>
      <w:tr>
        <w:tc>
          <w:tcPr>
            <w:tcW w:type="dxa" w:w="5141"/>
            <w:vAlign w:val="top"/>
          </w:tcPr>
          <w:p>
            <w:r>
              <w:t>Privacy</w:t>
            </w:r>
          </w:p>
        </w:tc>
        <w:tc>
          <w:tcPr>
            <w:tcW w:type="dxa" w:w="5141"/>
            <w:vAlign w:val="top"/>
          </w:tcPr>
          <w:p>
            <w:r>
              <w:t>Do not send data unnecessary for the task; provider data-use settings/contracts must be reviewed.</w:t>
            </w:r>
          </w:p>
        </w:tc>
      </w:tr>
      <w:tr>
        <w:tc>
          <w:tcPr>
            <w:tcW w:type="dxa" w:w="5141"/>
            <w:vAlign w:val="top"/>
          </w:tcPr>
          <w:p>
            <w:r>
              <w:t>Reliability</w:t>
            </w:r>
          </w:p>
        </w:tc>
        <w:tc>
          <w:tcPr>
            <w:tcW w:type="dxa" w:w="5141"/>
            <w:vAlign w:val="top"/>
          </w:tcPr>
          <w:p>
            <w:r>
              <w:t>Timeouts, bounded retries, circuit breaker/fallback where safe.</w:t>
            </w:r>
          </w:p>
        </w:tc>
      </w:tr>
      <w:tr>
        <w:tc>
          <w:tcPr>
            <w:tcW w:type="dxa" w:w="5141"/>
            <w:vAlign w:val="top"/>
          </w:tcPr>
          <w:p>
            <w:r>
              <w:t>Evaluation</w:t>
            </w:r>
          </w:p>
        </w:tc>
        <w:tc>
          <w:tcPr>
            <w:tcW w:type="dxa" w:w="5141"/>
            <w:vAlign w:val="top"/>
          </w:tcPr>
          <w:p>
            <w:r>
              <w:t>Golden datasets for classification, insight labeling, content structure and guard behavior.</w:t>
            </w:r>
          </w:p>
        </w:tc>
      </w:tr>
    </w:tbl>
    <w:p/>
    <w:p>
      <w:pPr/>
      <w:r>
        <w:t>AI Provider Data Policy Registry (mandatory before provider use): provider/model, contract/tier, retention period, training/use-of-input setting, regional processing/storage constraints, zero-retention availability, subprocessors where relevant, validation date/evidence and kill switch. A separate explicit allowlist relation maps data_sensitivity_class -&gt; provider/model/tier -&gt; allowed purpose/region. Routing is deny-by-default when no active mapping exists; application code must not infer permission by intersecting two independent lists. Routing authorization is deny-by-default through an explicit allowlist keyed at minimum by sensitivity_class + purpose + region + modality (text/image/video/audio) + provider/model; no routing is inferred from separate parallel lists.</w:t>
      </w:r>
    </w:p>
    <w:p>
      <w:pPr>
        <w:pStyle w:val="Heading1"/>
      </w:pPr>
      <w:r>
        <w:t>20. Data Model - Core Tables</w:t>
      </w:r>
    </w:p>
    <w:tbl>
      <w:tblPr>
        <w:tblStyle w:val="TableGrid"/>
        <w:tblW w:type="auto" w:w="0"/>
        <w:jc w:val="center"/>
        <w:tblLook w:firstColumn="1" w:firstRow="1" w:lastColumn="0" w:lastRow="0" w:noHBand="0" w:noVBand="1" w:val="04A0"/>
      </w:tblPr>
      <w:tblGrid>
        <w:gridCol w:w="5141"/>
        <w:gridCol w:w="5141"/>
      </w:tblGrid>
      <w:tr>
        <w:tc>
          <w:tcPr>
            <w:tcW w:type="dxa" w:w="5141"/>
            <w:vAlign w:val="center"/>
          </w:tcPr>
          <w:p>
            <w:r>
              <w:rPr>
                <w:b/>
              </w:rPr>
              <w:t>Table</w:t>
            </w:r>
          </w:p>
        </w:tc>
        <w:tc>
          <w:tcPr>
            <w:tcW w:type="dxa" w:w="5141"/>
            <w:vAlign w:val="center"/>
          </w:tcPr>
          <w:p>
            <w:r>
              <w:rPr>
                <w:b/>
              </w:rPr>
              <w:t>Purpose</w:t>
            </w:r>
          </w:p>
        </w:tc>
      </w:tr>
      <w:tr>
        <w:tc>
          <w:tcPr>
            <w:tcW w:type="dxa" w:w="5141"/>
            <w:vAlign w:val="top"/>
          </w:tcPr>
          <w:p>
            <w:r>
              <w:t>users / workspaces / memberships</w:t>
            </w:r>
          </w:p>
        </w:tc>
        <w:tc>
          <w:tcPr>
            <w:tcW w:type="dxa" w:w="5141"/>
            <w:vAlign w:val="top"/>
          </w:tcPr>
          <w:p>
            <w:r>
              <w:t>Identity and tenant access.</w:t>
            </w:r>
          </w:p>
        </w:tc>
      </w:tr>
      <w:tr>
        <w:tc>
          <w:tcPr>
            <w:tcW w:type="dxa" w:w="5141"/>
            <w:vAlign w:val="top"/>
          </w:tcPr>
          <w:p>
            <w:r>
              <w:t>managed_accounts</w:t>
            </w:r>
          </w:p>
        </w:tc>
        <w:tc>
          <w:tcPr>
            <w:tcW w:type="dxa" w:w="5141"/>
            <w:vAlign w:val="top"/>
          </w:tcPr>
          <w:p>
            <w:r>
              <w:t>Ownership/authority/contribution chain.</w:t>
            </w:r>
          </w:p>
        </w:tc>
      </w:tr>
      <w:tr>
        <w:tc>
          <w:tcPr>
            <w:tcW w:type="dxa" w:w="5141"/>
            <w:vAlign w:val="top"/>
          </w:tcPr>
          <w:p>
            <w:r>
              <w:t>platform_connections</w:t>
            </w:r>
          </w:p>
        </w:tc>
        <w:tc>
          <w:tcPr>
            <w:tcW w:type="dxa" w:w="5141"/>
            <w:vAlign w:val="top"/>
          </w:tcPr>
          <w:p>
            <w:r>
              <w:t>OAuth credential metadata and health.</w:t>
            </w:r>
          </w:p>
        </w:tc>
      </w:tr>
      <w:tr>
        <w:tc>
          <w:tcPr>
            <w:tcW w:type="dxa" w:w="5141"/>
            <w:vAlign w:val="top"/>
          </w:tcPr>
          <w:p>
            <w:r>
              <w:t>social_accounts</w:t>
            </w:r>
          </w:p>
        </w:tc>
        <w:tc>
          <w:tcPr>
            <w:tcW w:type="dxa" w:w="5141"/>
            <w:vAlign w:val="top"/>
          </w:tcPr>
          <w:p>
            <w:r>
              <w:t>Normalized connected account identity.</w:t>
            </w:r>
          </w:p>
        </w:tc>
      </w:tr>
      <w:tr>
        <w:tc>
          <w:tcPr>
            <w:tcW w:type="dxa" w:w="5141"/>
            <w:vAlign w:val="top"/>
          </w:tcPr>
          <w:p>
            <w:r>
              <w:t>capabilities</w:t>
            </w:r>
          </w:p>
        </w:tc>
        <w:tc>
          <w:tcPr>
            <w:tcW w:type="dxa" w:w="5141"/>
            <w:vAlign w:val="top"/>
          </w:tcPr>
          <w:p>
            <w:r>
              <w:t>Validated capability registry.</w:t>
            </w:r>
          </w:p>
        </w:tc>
      </w:tr>
      <w:tr>
        <w:tc>
          <w:tcPr>
            <w:tcW w:type="dxa" w:w="5141"/>
            <w:vAlign w:val="top"/>
          </w:tcPr>
          <w:p>
            <w:r>
              <w:t>content_items / content_versions / media_assets</w:t>
            </w:r>
          </w:p>
        </w:tc>
        <w:tc>
          <w:tcPr>
            <w:tcW w:type="dxa" w:w="5141"/>
            <w:vAlign w:val="top"/>
          </w:tcPr>
          <w:p>
            <w:r>
              <w:t>Content lifecycle.</w:t>
            </w:r>
          </w:p>
        </w:tc>
      </w:tr>
      <w:tr>
        <w:tc>
          <w:tcPr>
            <w:tcW w:type="dxa" w:w="5141"/>
            <w:vAlign w:val="top"/>
          </w:tcPr>
          <w:p>
            <w:r>
              <w:t>publication_intents / publication_attempts</w:t>
            </w:r>
          </w:p>
        </w:tc>
        <w:tc>
          <w:tcPr>
            <w:tcW w:type="dxa" w:w="5141"/>
            <w:vAlign w:val="top"/>
          </w:tcPr>
          <w:p>
            <w:r>
              <w:t>Durable publishing state and retries.</w:t>
            </w:r>
          </w:p>
        </w:tc>
      </w:tr>
      <w:tr>
        <w:tc>
          <w:tcPr>
            <w:tcW w:type="dxa" w:w="5141"/>
            <w:vAlign w:val="top"/>
          </w:tcPr>
          <w:p>
            <w:r>
              <w:t>metric_observations / metric_normalized</w:t>
            </w:r>
          </w:p>
        </w:tc>
        <w:tc>
          <w:tcPr>
            <w:tcW w:type="dxa" w:w="5141"/>
            <w:vAlign w:val="top"/>
          </w:tcPr>
          <w:p>
            <w:r>
              <w:t>Raw and derived outcomes.</w:t>
            </w:r>
          </w:p>
        </w:tc>
      </w:tr>
      <w:tr>
        <w:tc>
          <w:tcPr>
            <w:tcW w:type="dxa" w:w="5141"/>
            <w:vAlign w:val="top"/>
          </w:tcPr>
          <w:p>
            <w:r>
              <w:t>baselines</w:t>
            </w:r>
          </w:p>
        </w:tc>
        <w:tc>
          <w:tcPr>
            <w:tcW w:type="dxa" w:w="5141"/>
            <w:vAlign w:val="top"/>
          </w:tcPr>
          <w:p>
            <w:r>
              <w:t>Versioned account/cohort baselines.</w:t>
            </w:r>
          </w:p>
        </w:tc>
      </w:tr>
      <w:tr>
        <w:tc>
          <w:tcPr>
            <w:tcW w:type="dxa" w:w="5141"/>
            <w:vAlign w:val="top"/>
          </w:tcPr>
          <w:p>
            <w:r>
              <w:t>insights / insight_evidence</w:t>
            </w:r>
          </w:p>
        </w:tc>
        <w:tc>
          <w:tcPr>
            <w:tcW w:type="dxa" w:w="5141"/>
            <w:vAlign w:val="top"/>
          </w:tcPr>
          <w:p>
            <w:r>
              <w:t>Taxonomy and evidence trace.</w:t>
            </w:r>
          </w:p>
        </w:tc>
      </w:tr>
      <w:tr>
        <w:tc>
          <w:tcPr>
            <w:tcW w:type="dxa" w:w="5141"/>
            <w:vAlign w:val="top"/>
          </w:tcPr>
          <w:p>
            <w:r>
              <w:t>feed_cards / feed_events</w:t>
            </w:r>
          </w:p>
        </w:tc>
        <w:tc>
          <w:tcPr>
            <w:tcW w:type="dxa" w:w="5141"/>
            <w:vAlign w:val="top"/>
          </w:tcPr>
          <w:p>
            <w:r>
              <w:t>Typed feed and interaction learning.</w:t>
            </w:r>
          </w:p>
        </w:tc>
      </w:tr>
      <w:tr>
        <w:tc>
          <w:tcPr>
            <w:tcW w:type="dxa" w:w="5141"/>
            <w:vAlign w:val="top"/>
          </w:tcPr>
          <w:p>
            <w:r>
              <w:t>opportunities / opportunity_evidence</w:t>
            </w:r>
          </w:p>
        </w:tc>
        <w:tc>
          <w:tcPr>
            <w:tcW w:type="dxa" w:w="5141"/>
            <w:vAlign w:val="top"/>
          </w:tcPr>
          <w:p>
            <w:r>
              <w:t>Opportunity lifecycle.</w:t>
            </w:r>
          </w:p>
        </w:tc>
      </w:tr>
      <w:tr>
        <w:tc>
          <w:tcPr>
            <w:tcW w:type="dxa" w:w="5141"/>
            <w:vAlign w:val="top"/>
          </w:tcPr>
          <w:p>
            <w:r>
              <w:t>hypotheses / experiments / variants / exposures / outcomes</w:t>
            </w:r>
          </w:p>
        </w:tc>
        <w:tc>
          <w:tcPr>
            <w:tcW w:type="dxa" w:w="5141"/>
            <w:vAlign w:val="top"/>
          </w:tcPr>
          <w:p>
            <w:r>
              <w:t>Experiment/causal instrumentation.</w:t>
            </w:r>
          </w:p>
        </w:tc>
      </w:tr>
      <w:tr>
        <w:tc>
          <w:tcPr>
            <w:tcW w:type="dxa" w:w="5141"/>
            <w:vAlign w:val="top"/>
          </w:tcPr>
          <w:p>
            <w:r>
              <w:t>memories</w:t>
            </w:r>
          </w:p>
        </w:tc>
        <w:tc>
          <w:tcPr>
            <w:tcW w:type="dxa" w:w="5141"/>
            <w:vAlign w:val="top"/>
          </w:tcPr>
          <w:p>
            <w:r>
              <w:t>Growth Brain structured/semantic memory metadata.</w:t>
            </w:r>
          </w:p>
        </w:tc>
      </w:tr>
      <w:tr>
        <w:tc>
          <w:tcPr>
            <w:tcW w:type="dxa" w:w="5141"/>
            <w:vAlign w:val="top"/>
          </w:tcPr>
          <w:p>
            <w:r>
              <w:t>consent_events</w:t>
            </w:r>
          </w:p>
        </w:tc>
        <w:tc>
          <w:tcPr>
            <w:tcW w:type="dxa" w:w="5141"/>
            <w:vAlign w:val="top"/>
          </w:tcPr>
          <w:p>
            <w:r>
              <w:t>Timestamped contribution/privacy decisions.</w:t>
            </w:r>
          </w:p>
        </w:tc>
      </w:tr>
      <w:tr>
        <w:tc>
          <w:tcPr>
            <w:tcW w:type="dxa" w:w="5141"/>
            <w:vAlign w:val="top"/>
          </w:tcPr>
          <w:p>
            <w:r>
              <w:t>audit_events</w:t>
            </w:r>
          </w:p>
        </w:tc>
        <w:tc>
          <w:tcPr>
            <w:tcW w:type="dxa" w:w="5141"/>
            <w:vAlign w:val="top"/>
          </w:tcPr>
          <w:p>
            <w:r>
              <w:t>Security/business audit.</w:t>
            </w:r>
          </w:p>
        </w:tc>
      </w:tr>
      <w:tr>
        <w:tc>
          <w:tcPr>
            <w:tcW w:type="dxa" w:w="5141"/>
            <w:vAlign w:val="top"/>
          </w:tcPr>
          <w:p>
            <w:r>
              <w:t>provider_usage</w:t>
            </w:r>
          </w:p>
        </w:tc>
        <w:tc>
          <w:tcPr>
            <w:tcW w:type="dxa" w:w="5141"/>
            <w:vAlign w:val="top"/>
          </w:tcPr>
          <w:p>
            <w:r>
              <w:t>AI/API quota and cost.</w:t>
            </w:r>
          </w:p>
        </w:tc>
      </w:tr>
      <w:tr>
        <w:tc>
          <w:tcPr>
            <w:tcW w:type="dxa" w:w="5141"/>
            <w:vAlign w:val="top"/>
          </w:tcPr>
          <w:p>
            <w:r>
              <w:t>jobs / outbox_events</w:t>
            </w:r>
          </w:p>
        </w:tc>
        <w:tc>
          <w:tcPr>
            <w:tcW w:type="dxa" w:w="5141"/>
            <w:vAlign w:val="top"/>
          </w:tcPr>
          <w:p>
            <w:r>
              <w:t>Durable async workflow/outbox.</w:t>
            </w:r>
          </w:p>
        </w:tc>
      </w:tr>
      <w:tr>
        <w:tc>
          <w:tcPr>
            <w:tcW w:type="dxa" w:w="5141"/>
          </w:tcPr>
          <w:p>
            <w:r>
              <w:t>deletion_requests / deletion_artifacts</w:t>
            </w:r>
          </w:p>
        </w:tc>
        <w:tc>
          <w:tcPr>
            <w:tcW w:type="dxa" w:w="5141"/>
          </w:tcPr>
          <w:p>
            <w:r>
              <w:t>Tombstone scope, deletion ledger and per-derived-artifact purge state.</w:t>
            </w:r>
          </w:p>
        </w:tc>
      </w:tr>
      <w:tr>
        <w:tc>
          <w:tcPr>
            <w:tcW w:type="dxa" w:w="5141"/>
          </w:tcPr>
          <w:p>
            <w:r>
              <w:t>ai_provider_policies / ai_data_routing_allowlist</w:t>
            </w:r>
          </w:p>
        </w:tc>
        <w:tc>
          <w:tcPr>
            <w:tcW w:type="dxa" w:w="5141"/>
          </w:tcPr>
          <w:p>
            <w:r>
              <w:t>Versioned provider policy plus explicit sensitivity/purpose/region routing permission.</w:t>
            </w:r>
          </w:p>
        </w:tc>
      </w:tr>
    </w:tbl>
    <w:p/>
    <w:p>
      <w:pPr/>
      <w:r>
        <w:t>Physical-model additions required in v0.2: authority_history; contribution_eligibility_history; deletion_requests/deletion_scopes/purge_jobs; ai_provider_data_policies; metric_observation.provider_api_version; metric_observation.collection_method; exposure.wave_number/rollout_group. Raw-data tables must be partition/key-designed for bounded tenant/account purge.</w:t>
      </w:r>
    </w:p>
    <w:p>
      <w:pPr>
        <w:pStyle w:val="Heading1"/>
      </w:pPr>
      <w:r>
        <w:t>21. Transactional and Event Patterns</w:t>
      </w:r>
    </w:p>
    <w:p>
      <w:pPr>
        <w:pStyle w:val="ListBullet"/>
      </w:pPr>
      <w:r>
        <w:t>Use transactional outbox: commit domain state + outbox event in one DB transaction; worker publishes/processes asynchronously.</w:t>
      </w:r>
    </w:p>
    <w:p>
      <w:pPr>
        <w:pStyle w:val="ListBullet"/>
      </w:pPr>
      <w:r>
        <w:t>Consumers are idempotent using event_id/operation key.</w:t>
      </w:r>
    </w:p>
    <w:p>
      <w:pPr>
        <w:pStyle w:val="ListBullet"/>
      </w:pPr>
      <w:r>
        <w:t>Do not mark external work complete before the external operation is confirmed.</w:t>
      </w:r>
    </w:p>
    <w:p>
      <w:pPr>
        <w:pStyle w:val="ListBullet"/>
      </w:pPr>
      <w:r>
        <w:t>Long workflows persist state; no correctness depends on in-memory timers.</w:t>
      </w:r>
    </w:p>
    <w:p>
      <w:pPr>
        <w:pStyle w:val="ListBullet"/>
      </w:pPr>
      <w:r>
        <w:t>Use optimistic concurrency/version columns on mutable aggregates where conflicting edits are possible.</w:t>
      </w:r>
    </w:p>
    <w:p>
      <w:pPr>
        <w:pStyle w:val="ListBullet"/>
      </w:pPr>
      <w:r>
        <w:t>Background jobs use leases/visibility timeouts and safe redelivery.</w:t>
      </w:r>
    </w:p>
    <w:p>
      <w:pPr>
        <w:pStyle w:val="ListBullet"/>
      </w:pPr>
      <w:r>
        <w:t>Outbox claim pattern: SELECT ... FOR UPDATE SKIP LOCKED (or equivalent atomic leasing), mark lease/attempt in the same transaction, then process outside the claim transaction with idempotent completion. Expired leases are safely redelivered.</w:t>
      </w:r>
    </w:p>
    <w:p>
      <w:pPr>
        <w:pStyle w:val="ListBullet"/>
      </w:pPr>
      <w:r>
        <w:t>Idempotent command creation uses INSERT-first unique constraints; a uniqueness conflict resolves to the already-created command/result. Never use SELECT existence checks as the concurrency guard. API clients create/persist a request_nonce before the first mutation attempt and MUST reuse the same Idempotency-Key on network retry of the same publication intent. The server binds the key to workspace_id + operation + request_hash and rejects key reuse with a materially different payload. publication_intent stores idempotency_key_source and request_nonce for audit/debugging.</w:t>
      </w:r>
    </w:p>
    <w:p>
      <w:pPr>
        <w:pStyle w:val="Heading1"/>
      </w:pPr>
      <w:r>
        <w:t>22. API Surface - Release 1</w:t>
      </w:r>
    </w:p>
    <w:tbl>
      <w:tblPr>
        <w:tblStyle w:val="TableGrid"/>
        <w:tblW w:type="auto" w:w="0"/>
        <w:jc w:val="center"/>
        <w:tblLook w:firstColumn="1" w:firstRow="1" w:lastColumn="0" w:lastRow="0" w:noHBand="0" w:noVBand="1" w:val="04A0"/>
      </w:tblPr>
      <w:tblGrid>
        <w:gridCol w:w="5141"/>
        <w:gridCol w:w="5141"/>
      </w:tblGrid>
      <w:tr>
        <w:tc>
          <w:tcPr>
            <w:tcW w:type="dxa" w:w="5141"/>
            <w:vAlign w:val="center"/>
          </w:tcPr>
          <w:p>
            <w:r>
              <w:rPr>
                <w:b/>
              </w:rPr>
              <w:t>Area</w:t>
            </w:r>
          </w:p>
        </w:tc>
        <w:tc>
          <w:tcPr>
            <w:tcW w:type="dxa" w:w="5141"/>
            <w:vAlign w:val="center"/>
          </w:tcPr>
          <w:p>
            <w:r>
              <w:rPr>
                <w:b/>
              </w:rPr>
              <w:t>Representative endpoints</w:t>
            </w:r>
          </w:p>
        </w:tc>
      </w:tr>
      <w:tr>
        <w:tc>
          <w:tcPr>
            <w:tcW w:type="dxa" w:w="5141"/>
            <w:vAlign w:val="top"/>
          </w:tcPr>
          <w:p>
            <w:r>
              <w:t>Session/workspace</w:t>
            </w:r>
          </w:p>
        </w:tc>
        <w:tc>
          <w:tcPr>
            <w:tcW w:type="dxa" w:w="5141"/>
            <w:vAlign w:val="top"/>
          </w:tcPr>
          <w:p>
            <w:r>
              <w:t>GET /me; GET/POST /workspaces; memberships.</w:t>
            </w:r>
          </w:p>
        </w:tc>
      </w:tr>
      <w:tr>
        <w:tc>
          <w:tcPr>
            <w:tcW w:type="dxa" w:w="5141"/>
            <w:vAlign w:val="top"/>
          </w:tcPr>
          <w:p>
            <w:r>
              <w:t>Connections</w:t>
            </w:r>
          </w:p>
        </w:tc>
        <w:tc>
          <w:tcPr>
            <w:tcW w:type="dxa" w:w="5141"/>
            <w:vAlign w:val="top"/>
          </w:tcPr>
          <w:p>
            <w:r>
              <w:t>POST /connections/{platform}/authorize; callback; GET health; POST reconnect/disconnect.</w:t>
            </w:r>
          </w:p>
        </w:tc>
      </w:tr>
      <w:tr>
        <w:tc>
          <w:tcPr>
            <w:tcW w:type="dxa" w:w="5141"/>
            <w:vAlign w:val="top"/>
          </w:tcPr>
          <w:p>
            <w:r>
              <w:t>Accounts</w:t>
            </w:r>
          </w:p>
        </w:tc>
        <w:tc>
          <w:tcPr>
            <w:tcW w:type="dxa" w:w="5141"/>
            <w:vAlign w:val="top"/>
          </w:tcPr>
          <w:p>
            <w:r>
              <w:t>GET /social-accounts; GET account summary.</w:t>
            </w:r>
          </w:p>
        </w:tc>
      </w:tr>
      <w:tr>
        <w:tc>
          <w:tcPr>
            <w:tcW w:type="dxa" w:w="5141"/>
            <w:vAlign w:val="top"/>
          </w:tcPr>
          <w:p>
            <w:r>
              <w:t>Feed</w:t>
            </w:r>
          </w:p>
        </w:tc>
        <w:tc>
          <w:tcPr>
            <w:tcW w:type="dxa" w:w="5141"/>
            <w:vAlign w:val="top"/>
          </w:tcPr>
          <w:p>
            <w:r>
              <w:t>GET /feed; POST /feed/{card}/actions.</w:t>
            </w:r>
          </w:p>
        </w:tc>
      </w:tr>
      <w:tr>
        <w:tc>
          <w:tcPr>
            <w:tcW w:type="dxa" w:w="5141"/>
            <w:vAlign w:val="top"/>
          </w:tcPr>
          <w:p>
            <w:r>
              <w:t>Content</w:t>
            </w:r>
          </w:p>
        </w:tc>
        <w:tc>
          <w:tcPr>
            <w:tcW w:type="dxa" w:w="5141"/>
            <w:vAlign w:val="top"/>
          </w:tcPr>
          <w:p>
            <w:r>
              <w:t>POST /content; POST /content/{id}/generate; PATCH version; approve.</w:t>
            </w:r>
          </w:p>
        </w:tc>
      </w:tr>
      <w:tr>
        <w:tc>
          <w:tcPr>
            <w:tcW w:type="dxa" w:w="5141"/>
            <w:vAlign w:val="top"/>
          </w:tcPr>
          <w:p>
            <w:r>
              <w:t>Publishing</w:t>
            </w:r>
          </w:p>
        </w:tc>
        <w:tc>
          <w:tcPr>
            <w:tcW w:type="dxa" w:w="5141"/>
            <w:vAlign w:val="top"/>
          </w:tcPr>
          <w:p>
            <w:r>
              <w:t>POST /publications; GET status; POST retry/cancel.</w:t>
            </w:r>
          </w:p>
        </w:tc>
      </w:tr>
      <w:tr>
        <w:tc>
          <w:tcPr>
            <w:tcW w:type="dxa" w:w="5141"/>
            <w:vAlign w:val="top"/>
          </w:tcPr>
          <w:p>
            <w:r>
              <w:t>Metrics</w:t>
            </w:r>
          </w:p>
        </w:tc>
        <w:tc>
          <w:tcPr>
            <w:tcW w:type="dxa" w:w="5141"/>
            <w:vAlign w:val="top"/>
          </w:tcPr>
          <w:p>
            <w:r>
              <w:t>GET /content/{id}/metrics; GET /account/baselines.</w:t>
            </w:r>
          </w:p>
        </w:tc>
      </w:tr>
      <w:tr>
        <w:tc>
          <w:tcPr>
            <w:tcW w:type="dxa" w:w="5141"/>
            <w:vAlign w:val="top"/>
          </w:tcPr>
          <w:p>
            <w:r>
              <w:t>Insights</w:t>
            </w:r>
          </w:p>
        </w:tc>
        <w:tc>
          <w:tcPr>
            <w:tcW w:type="dxa" w:w="5141"/>
            <w:vAlign w:val="top"/>
          </w:tcPr>
          <w:p>
            <w:r>
              <w:t>GET /insights; GET /insights/{id}/evidence.</w:t>
            </w:r>
          </w:p>
        </w:tc>
      </w:tr>
      <w:tr>
        <w:tc>
          <w:tcPr>
            <w:tcW w:type="dxa" w:w="5141"/>
            <w:vAlign w:val="top"/>
          </w:tcPr>
          <w:p>
            <w:r>
              <w:t>Multiply</w:t>
            </w:r>
          </w:p>
        </w:tc>
        <w:tc>
          <w:tcPr>
            <w:tcW w:type="dxa" w:w="5141"/>
            <w:vAlign w:val="top"/>
          </w:tcPr>
          <w:p>
            <w:r>
              <w:t>POST /content/{id}/multiply; approve variants.</w:t>
            </w:r>
          </w:p>
        </w:tc>
      </w:tr>
      <w:tr>
        <w:tc>
          <w:tcPr>
            <w:tcW w:type="dxa" w:w="5141"/>
            <w:vAlign w:val="top"/>
          </w:tcPr>
          <w:p>
            <w:r>
              <w:t>Settings/consent</w:t>
            </w:r>
          </w:p>
        </w:tc>
        <w:tc>
          <w:tcPr>
            <w:tcW w:type="dxa" w:w="5141"/>
            <w:vAlign w:val="top"/>
          </w:tcPr>
          <w:p>
            <w:r>
              <w:t>GET/PATCH workspace settings; POST contribution decision.</w:t>
            </w:r>
          </w:p>
        </w:tc>
      </w:tr>
    </w:tbl>
    <w:p/>
    <w:p>
      <w:r>
        <w:t>All mutation endpoints accept/request an idempotency key where duplicate client submission could create side effects.</w:t>
      </w:r>
    </w:p>
    <w:p>
      <w:pPr>
        <w:pStyle w:val="Heading1"/>
      </w:pPr>
      <w:r>
        <w:t>23. Security Baseline</w:t>
      </w:r>
    </w:p>
    <w:p>
      <w:pPr>
        <w:pStyle w:val="ListBullet"/>
      </w:pPr>
      <w:r>
        <w:t>TLS everywhere; secure cookies/session tokens; CSRF protection where applicable.</w:t>
      </w:r>
    </w:p>
    <w:p>
      <w:pPr>
        <w:pStyle w:val="ListBullet"/>
      </w:pPr>
      <w:r>
        <w:t>OAuth state/PKCE as appropriate; server-side secrets only.</w:t>
      </w:r>
    </w:p>
    <w:p>
      <w:pPr>
        <w:pStyle w:val="ListBullet"/>
      </w:pPr>
      <w:r>
        <w:t>Envelope encryption for platform credentials and sensitive provider secrets.</w:t>
      </w:r>
    </w:p>
    <w:p>
      <w:pPr>
        <w:pStyle w:val="ListBullet"/>
      </w:pPr>
      <w:r>
        <w:t>Least-privilege scopes; scope expansion requires explicit user re-consent.</w:t>
      </w:r>
    </w:p>
    <w:p>
      <w:pPr>
        <w:pStyle w:val="ListBullet"/>
      </w:pPr>
      <w:r>
        <w:t>RBAC, tenant scoping and object-level authorization tests.</w:t>
      </w:r>
    </w:p>
    <w:p>
      <w:pPr>
        <w:pStyle w:val="ListBullet"/>
      </w:pPr>
      <w:r>
        <w:t>Audit login, connection changes, publishing, consent changes, overrides, admin actions and data export/delete.</w:t>
      </w:r>
    </w:p>
    <w:p>
      <w:pPr>
        <w:pStyle w:val="ListBullet"/>
      </w:pPr>
      <w:r>
        <w:t>Rate limiting at edge + per-user/workspace sensitive operations.</w:t>
      </w:r>
    </w:p>
    <w:p>
      <w:pPr>
        <w:pStyle w:val="ListBullet"/>
      </w:pPr>
      <w:r>
        <w:t>Secrets never in source control; rotation procedure tested.</w:t>
      </w:r>
    </w:p>
    <w:p>
      <w:pPr>
        <w:pStyle w:val="ListBullet"/>
      </w:pPr>
      <w:r>
        <w:t>Dependency/SAST/secret scanning in CI; critical findings block release.</w:t>
      </w:r>
    </w:p>
    <w:p>
      <w:pPr>
        <w:pStyle w:val="ListBullet"/>
      </w:pPr>
      <w:r>
        <w:t>Backups encrypted; restore test is part of operational readiness.</w:t>
      </w:r>
    </w:p>
    <w:p>
      <w:pPr>
        <w:pStyle w:val="Heading1"/>
      </w:pPr>
      <w:r>
        <w:t>24. Privacy, Consent and Aggregate Learning</w:t>
      </w:r>
    </w:p>
    <w:p>
      <w:pPr>
        <w:pStyle w:val="ListBullet"/>
      </w:pPr>
      <w:r>
        <w:t>Release 1 may operate fully with Private Intelligence; aggregate contribution is not required for customer value.</w:t>
      </w:r>
    </w:p>
    <w:p>
      <w:pPr>
        <w:pStyle w:val="ListBullet"/>
      </w:pPr>
      <w:r>
        <w:t>Consent/contribution is timestamped, versioned and revocable.</w:t>
      </w:r>
    </w:p>
    <w:p>
      <w:pPr>
        <w:pStyle w:val="ListBullet"/>
      </w:pPr>
      <w:r>
        <w:t>Aggregate materialization verifies every contributing account is eligible at the effective time.</w:t>
      </w:r>
    </w:p>
    <w:p>
      <w:pPr>
        <w:pStyle w:val="ListBullet"/>
      </w:pPr>
      <w:r>
        <w:t>Aggregate tables are separated from tenant-level raw tables and should not expose tenant_id to consumers.</w:t>
      </w:r>
    </w:p>
    <w:p>
      <w:pPr>
        <w:pStyle w:val="ListBullet"/>
      </w:pPr>
      <w:r>
        <w:t>Small/sensitive cohorts are blocked by configurable governance/statistical thresholds.</w:t>
      </w:r>
    </w:p>
    <w:p>
      <w:pPr>
        <w:pStyle w:val="ListBullet"/>
      </w:pPr>
      <w:r>
        <w:t>Audit records capture aggregate job version, eligibility policy and cohort definition.</w:t>
      </w:r>
    </w:p>
    <w:p>
      <w:pPr>
        <w:pStyle w:val="ListBullet"/>
      </w:pPr>
      <w:r>
        <w:t>Deletion/revocation policy must define prospective removal and any legally/technically required treatment of already-trained artifacts before Network Intelligence is activated.</w:t>
      </w:r>
    </w:p>
    <w:p>
      <w:pPr>
        <w:pStyle w:val="ListBullet"/>
      </w:pPr>
      <w:r>
        <w:t>Deletion lifecycle v0.3: REQUESTED -&gt; TOMBSTONED -&gt; PURGING -&gt; PURGED | FAILED_RETRYABLE. Tombstoning immediately excludes scoped data from all reads, including semantic/vector retrieval and cached/materialized product views. Purge workers enumerate a versioned artifact manifest and record per-artifact completion. Backup retention is bounded; a restore is quarantined until the deletion ledger is replayed/reconciled. Partitioning by workspace/time should make bulk tenant purge practical without weakening tenant isolation.</w:t>
      </w:r>
    </w:p>
    <w:p>
      <w:pPr>
        <w:pStyle w:val="ListBullet"/>
      </w:pPr>
      <w:r>
        <w:t>"Immutable raw" means no in-place analytical correction while retained; it does not override applicable deletion obligations. This resolves the append-only vs. deletion tension explicitly.</w:t>
      </w:r>
    </w:p>
    <w:p>
      <w:pPr>
        <w:pStyle w:val="Heading1"/>
      </w:pPr>
      <w:r>
        <w:t>25. Observability and SLOs</w:t>
      </w:r>
    </w:p>
    <w:tbl>
      <w:tblPr>
        <w:tblStyle w:val="TableGrid"/>
        <w:tblW w:type="auto" w:w="0"/>
        <w:jc w:val="center"/>
        <w:tblLook w:firstColumn="1" w:firstRow="1" w:lastColumn="0" w:lastRow="0" w:noHBand="0" w:noVBand="1" w:val="04A0"/>
      </w:tblPr>
      <w:tblGrid>
        <w:gridCol w:w="5141"/>
        <w:gridCol w:w="5141"/>
      </w:tblGrid>
      <w:tr>
        <w:tc>
          <w:tcPr>
            <w:tcW w:type="dxa" w:w="5141"/>
            <w:vAlign w:val="center"/>
          </w:tcPr>
          <w:p>
            <w:r>
              <w:rPr>
                <w:b/>
              </w:rPr>
              <w:t>Signal</w:t>
            </w:r>
          </w:p>
        </w:tc>
        <w:tc>
          <w:tcPr>
            <w:tcW w:type="dxa" w:w="5141"/>
            <w:vAlign w:val="center"/>
          </w:tcPr>
          <w:p>
            <w:r>
              <w:rPr>
                <w:b/>
              </w:rPr>
              <w:t>Initial target / alert</w:t>
            </w:r>
          </w:p>
        </w:tc>
      </w:tr>
      <w:tr>
        <w:tc>
          <w:tcPr>
            <w:tcW w:type="dxa" w:w="5141"/>
            <w:vAlign w:val="top"/>
          </w:tcPr>
          <w:p>
            <w:r>
              <w:t>API availability</w:t>
            </w:r>
          </w:p>
        </w:tc>
        <w:tc>
          <w:tcPr>
            <w:tcW w:type="dxa" w:w="5141"/>
            <w:vAlign w:val="top"/>
          </w:tcPr>
          <w:p>
            <w:r>
              <w:t>Observational during first 100 paying customers with error-budget tracking; tighten to a formal &gt;=99.9% SLO after operating baseline is established.</w:t>
            </w:r>
          </w:p>
        </w:tc>
      </w:tr>
      <w:tr>
        <w:tc>
          <w:tcPr>
            <w:tcW w:type="dxa" w:w="5141"/>
            <w:vAlign w:val="top"/>
          </w:tcPr>
          <w:p>
            <w:r>
              <w:t>Publish command acceptance</w:t>
            </w:r>
          </w:p>
        </w:tc>
        <w:tc>
          <w:tcPr>
            <w:tcW w:type="dxa" w:w="5141"/>
            <w:vAlign w:val="top"/>
          </w:tcPr>
          <w:p>
            <w:r>
              <w:t>p95 internal acceptance &lt;2s excluding provider completion.</w:t>
            </w:r>
          </w:p>
        </w:tc>
      </w:tr>
      <w:tr>
        <w:tc>
          <w:tcPr>
            <w:tcW w:type="dxa" w:w="5141"/>
            <w:vAlign w:val="top"/>
          </w:tcPr>
          <w:p>
            <w:r>
              <w:t>Publication completion</w:t>
            </w:r>
          </w:p>
        </w:tc>
        <w:tc>
          <w:tcPr>
            <w:tcW w:type="dxa" w:w="5141"/>
            <w:vAlign w:val="top"/>
          </w:tcPr>
          <w:p>
            <w:r>
              <w:t>Platform-dependent; alert on abnormal queue age/failure rate rather than one universal latency.</w:t>
            </w:r>
          </w:p>
        </w:tc>
      </w:tr>
      <w:tr>
        <w:tc>
          <w:tcPr>
            <w:tcW w:type="dxa" w:w="5141"/>
            <w:vAlign w:val="top"/>
          </w:tcPr>
          <w:p>
            <w:r>
              <w:t>Metric ingestion freshness</w:t>
            </w:r>
          </w:p>
        </w:tc>
        <w:tc>
          <w:tcPr>
            <w:tcW w:type="dxa" w:w="5141"/>
            <w:vAlign w:val="top"/>
          </w:tcPr>
          <w:p>
            <w:r>
              <w:t>Per-platform expected window; alert when content exceeds window without completeness reason.</w:t>
            </w:r>
          </w:p>
        </w:tc>
      </w:tr>
      <w:tr>
        <w:tc>
          <w:tcPr>
            <w:tcW w:type="dxa" w:w="5141"/>
            <w:vAlign w:val="top"/>
          </w:tcPr>
          <w:p>
            <w:r>
              <w:t>OAuth health</w:t>
            </w:r>
          </w:p>
        </w:tc>
        <w:tc>
          <w:tcPr>
            <w:tcW w:type="dxa" w:w="5141"/>
            <w:vAlign w:val="top"/>
          </w:tcPr>
          <w:p>
            <w:r>
              <w:t>Proactive expiry/revocation checks; alert on sudden platform-wide failure spike.</w:t>
            </w:r>
          </w:p>
        </w:tc>
      </w:tr>
      <w:tr>
        <w:tc>
          <w:tcPr>
            <w:tcW w:type="dxa" w:w="5141"/>
            <w:vAlign w:val="top"/>
          </w:tcPr>
          <w:p>
            <w:r>
              <w:t>Queue age</w:t>
            </w:r>
          </w:p>
        </w:tc>
        <w:tc>
          <w:tcPr>
            <w:tcW w:type="dxa" w:w="5141"/>
            <w:vAlign w:val="top"/>
          </w:tcPr>
          <w:p>
            <w:r>
              <w:t>Alert before jobs violate product promise windows.</w:t>
            </w:r>
          </w:p>
        </w:tc>
      </w:tr>
      <w:tr>
        <w:tc>
          <w:tcPr>
            <w:tcW w:type="dxa" w:w="5141"/>
            <w:vAlign w:val="top"/>
          </w:tcPr>
          <w:p>
            <w:r>
              <w:t>Duplicate publication</w:t>
            </w:r>
          </w:p>
        </w:tc>
        <w:tc>
          <w:tcPr>
            <w:tcW w:type="dxa" w:w="5141"/>
            <w:vAlign w:val="top"/>
          </w:tcPr>
          <w:p>
            <w:r>
              <w:t>Target zero; any confirmed duplicate is severity-high incident.</w:t>
            </w:r>
          </w:p>
        </w:tc>
      </w:tr>
      <w:tr>
        <w:tc>
          <w:tcPr>
            <w:tcW w:type="dxa" w:w="5141"/>
            <w:vAlign w:val="top"/>
          </w:tcPr>
          <w:p>
            <w:r>
              <w:t>AI structured-output failure</w:t>
            </w:r>
          </w:p>
        </w:tc>
        <w:tc>
          <w:tcPr>
            <w:tcW w:type="dxa" w:w="5141"/>
            <w:vAlign w:val="top"/>
          </w:tcPr>
          <w:p>
            <w:r>
              <w:t>Track by prompt/model/version; threshold triggers rollback/fallback.</w:t>
            </w:r>
          </w:p>
        </w:tc>
      </w:tr>
      <w:tr>
        <w:tc>
          <w:tcPr>
            <w:tcW w:type="dxa" w:w="5141"/>
            <w:vAlign w:val="top"/>
          </w:tcPr>
          <w:p>
            <w:r>
              <w:t>Cost/quota</w:t>
            </w:r>
          </w:p>
        </w:tc>
        <w:tc>
          <w:tcPr>
            <w:tcW w:type="dxa" w:w="5141"/>
            <w:vAlign w:val="top"/>
          </w:tcPr>
          <w:p>
            <w:r>
              <w:t>Per-tenant and global budgets; early-warning thresholds before hard provider limit.</w:t>
            </w:r>
          </w:p>
        </w:tc>
      </w:tr>
    </w:tbl>
    <w:p/>
    <w:p>
      <w:r>
        <w:t>Every request/job carries correlation_id; external calls additionally carry provider_request_id when available.</w:t>
      </w:r>
    </w:p>
    <w:p>
      <w:pPr>
        <w:pStyle w:val="Heading1"/>
      </w:pPr>
      <w:r>
        <w:t>26. Failure Taxonomy</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tcPr>
          <w:p>
            <w:r>
              <w:rPr>
                <w:b/>
              </w:rPr>
              <w:t>Class</w:t>
            </w:r>
          </w:p>
        </w:tc>
        <w:tc>
          <w:tcPr>
            <w:tcW w:type="dxa" w:w="3427"/>
            <w:vAlign w:val="center"/>
          </w:tcPr>
          <w:p>
            <w:r>
              <w:rPr>
                <w:b/>
              </w:rPr>
              <w:t>Examples</w:t>
            </w:r>
          </w:p>
        </w:tc>
        <w:tc>
          <w:tcPr>
            <w:tcW w:type="dxa" w:w="3427"/>
            <w:vAlign w:val="center"/>
          </w:tcPr>
          <w:p>
            <w:r>
              <w:rPr>
                <w:b/>
              </w:rPr>
              <w:t>Behavior</w:t>
            </w:r>
          </w:p>
        </w:tc>
      </w:tr>
      <w:tr>
        <w:tc>
          <w:tcPr>
            <w:tcW w:type="dxa" w:w="3427"/>
            <w:vAlign w:val="top"/>
          </w:tcPr>
          <w:p>
            <w:r>
              <w:t>AUTH</w:t>
            </w:r>
          </w:p>
        </w:tc>
        <w:tc>
          <w:tcPr>
            <w:tcW w:type="dxa" w:w="3427"/>
            <w:vAlign w:val="top"/>
          </w:tcPr>
          <w:p>
            <w:r>
              <w:t>expired/revoked token, missing scope</w:t>
            </w:r>
          </w:p>
        </w:tc>
        <w:tc>
          <w:tcPr>
            <w:tcW w:type="dxa" w:w="3427"/>
            <w:vAlign w:val="top"/>
          </w:tcPr>
          <w:p>
            <w:r>
              <w:t>No blind retry; create reconnect/permission card.</w:t>
            </w:r>
          </w:p>
        </w:tc>
      </w:tr>
      <w:tr>
        <w:tc>
          <w:tcPr>
            <w:tcW w:type="dxa" w:w="3427"/>
            <w:vAlign w:val="top"/>
          </w:tcPr>
          <w:p>
            <w:r>
              <w:t>RATE_LIMIT</w:t>
            </w:r>
          </w:p>
        </w:tc>
        <w:tc>
          <w:tcPr>
            <w:tcW w:type="dxa" w:w="3427"/>
            <w:vAlign w:val="top"/>
          </w:tcPr>
          <w:p>
            <w:r>
              <w:t>429/quota exhausted</w:t>
            </w:r>
          </w:p>
        </w:tc>
        <w:tc>
          <w:tcPr>
            <w:tcW w:type="dxa" w:w="3427"/>
            <w:vAlign w:val="top"/>
          </w:tcPr>
          <w:p>
            <w:r>
              <w:t>Respect retry-after, global/tenant budgets, degrade capability.</w:t>
            </w:r>
          </w:p>
        </w:tc>
      </w:tr>
      <w:tr>
        <w:tc>
          <w:tcPr>
            <w:tcW w:type="dxa" w:w="3427"/>
            <w:vAlign w:val="top"/>
          </w:tcPr>
          <w:p>
            <w:r>
              <w:t>TRANSIENT</w:t>
            </w:r>
          </w:p>
        </w:tc>
        <w:tc>
          <w:tcPr>
            <w:tcW w:type="dxa" w:w="3427"/>
            <w:vAlign w:val="top"/>
          </w:tcPr>
          <w:p>
            <w:r>
              <w:t>5xx/network timeout</w:t>
            </w:r>
          </w:p>
        </w:tc>
        <w:tc>
          <w:tcPr>
            <w:tcW w:type="dxa" w:w="3427"/>
            <w:vAlign w:val="top"/>
          </w:tcPr>
          <w:p>
            <w:r>
              <w:t>Bounded retry; reconcile ambiguous writes.</w:t>
            </w:r>
          </w:p>
        </w:tc>
      </w:tr>
      <w:tr>
        <w:tc>
          <w:tcPr>
            <w:tcW w:type="dxa" w:w="3427"/>
            <w:vAlign w:val="top"/>
          </w:tcPr>
          <w:p>
            <w:r>
              <w:t>VALIDATION</w:t>
            </w:r>
          </w:p>
        </w:tc>
        <w:tc>
          <w:tcPr>
            <w:tcW w:type="dxa" w:w="3427"/>
            <w:vAlign w:val="top"/>
          </w:tcPr>
          <w:p>
            <w:r>
              <w:t>media size/type/content constraint</w:t>
            </w:r>
          </w:p>
        </w:tc>
        <w:tc>
          <w:tcPr>
            <w:tcW w:type="dxa" w:w="3427"/>
            <w:vAlign w:val="top"/>
          </w:tcPr>
          <w:p>
            <w:r>
              <w:t>No retry until corrected; actionable message.</w:t>
            </w:r>
          </w:p>
        </w:tc>
      </w:tr>
      <w:tr>
        <w:tc>
          <w:tcPr>
            <w:tcW w:type="dxa" w:w="3427"/>
            <w:vAlign w:val="top"/>
          </w:tcPr>
          <w:p>
            <w:r>
              <w:t>DUPLICATE_RISK</w:t>
            </w:r>
          </w:p>
        </w:tc>
        <w:tc>
          <w:tcPr>
            <w:tcW w:type="dxa" w:w="3427"/>
            <w:vAlign w:val="top"/>
          </w:tcPr>
          <w:p>
            <w:r>
              <w:t>timeout after write/worker replay</w:t>
            </w:r>
          </w:p>
        </w:tc>
        <w:tc>
          <w:tcPr>
            <w:tcW w:type="dxa" w:w="3427"/>
            <w:vAlign w:val="top"/>
          </w:tcPr>
          <w:p>
            <w:r>
              <w:t>Reconcile using idempotency/provider ID before retry.</w:t>
            </w:r>
          </w:p>
        </w:tc>
      </w:tr>
      <w:tr>
        <w:tc>
          <w:tcPr>
            <w:tcW w:type="dxa" w:w="3427"/>
            <w:vAlign w:val="top"/>
          </w:tcPr>
          <w:p>
            <w:r>
              <w:t>PROVIDER_CHANGE</w:t>
            </w:r>
          </w:p>
        </w:tc>
        <w:tc>
          <w:tcPr>
            <w:tcW w:type="dxa" w:w="3427"/>
            <w:vAlign w:val="top"/>
          </w:tcPr>
          <w:p>
            <w:r>
              <w:t>API field/capability removed</w:t>
            </w:r>
          </w:p>
        </w:tc>
        <w:tc>
          <w:tcPr>
            <w:tcW w:type="dxa" w:w="3427"/>
            <w:vAlign w:val="top"/>
          </w:tcPr>
          <w:p>
            <w:r>
              <w:t>Kill switch + registry degraded + alert.</w:t>
            </w:r>
          </w:p>
        </w:tc>
      </w:tr>
      <w:tr>
        <w:tc>
          <w:tcPr>
            <w:tcW w:type="dxa" w:w="3427"/>
            <w:vAlign w:val="top"/>
          </w:tcPr>
          <w:p>
            <w:r>
              <w:t>AI_INVALID</w:t>
            </w:r>
          </w:p>
        </w:tc>
        <w:tc>
          <w:tcPr>
            <w:tcW w:type="dxa" w:w="3427"/>
            <w:vAlign w:val="top"/>
          </w:tcPr>
          <w:p>
            <w:r>
              <w:t>schema/safety/empty output</w:t>
            </w:r>
          </w:p>
        </w:tc>
        <w:tc>
          <w:tcPr>
            <w:tcW w:type="dxa" w:w="3427"/>
            <w:vAlign w:val="top"/>
          </w:tcPr>
          <w:p>
            <w:r>
              <w:t>Repair/fallback; never persist malformed decision.</w:t>
            </w:r>
          </w:p>
        </w:tc>
      </w:tr>
      <w:tr>
        <w:tc>
          <w:tcPr>
            <w:tcW w:type="dxa" w:w="3427"/>
            <w:vAlign w:val="top"/>
          </w:tcPr>
          <w:p>
            <w:r>
              <w:t>DATA_LATE</w:t>
            </w:r>
          </w:p>
        </w:tc>
        <w:tc>
          <w:tcPr>
            <w:tcW w:type="dxa" w:w="3427"/>
            <w:vAlign w:val="top"/>
          </w:tcPr>
          <w:p>
            <w:r>
              <w:t>metrics unavailable</w:t>
            </w:r>
          </w:p>
        </w:tc>
        <w:tc>
          <w:tcPr>
            <w:tcW w:type="dxa" w:w="3427"/>
            <w:vAlign w:val="top"/>
          </w:tcPr>
          <w:p>
            <w:r>
              <w:t>Mark incomplete; reschedule; do not infer zero.</w:t>
            </w:r>
          </w:p>
        </w:tc>
      </w:tr>
    </w:tbl>
    <w:p/>
    <w:p>
      <w:pPr>
        <w:pStyle w:val="Heading1"/>
      </w:pPr>
      <w:r>
        <w:t>27. Platform Adapter Contracts</w:t>
      </w:r>
    </w:p>
    <w:p>
      <w:pPr>
        <w:ind w:left="360"/>
      </w:pPr>
      <w:r>
        <w:rPr>
          <w:rFonts w:ascii="Consolas" w:hAnsi="Consolas"/>
          <w:sz w:val="17"/>
        </w:rPr>
        <w:t>interface SocialPlatformAdapter {</w:t>
        <w:br/>
        <w:t xml:space="preserve">  authorize(); refresh(); discoverAccounts(); getConnectionHealth();</w:t>
        <w:br/>
        <w:t xml:space="preserve">  validateMedia(); publish(); reconcilePublication();</w:t>
        <w:br/>
        <w:t xml:space="preserve">  fetchOwnedContent(); fetchOwnedMetrics();</w:t>
        <w:br/>
        <w:t xml:space="preserve">  getCapabilitySnapshot(); normalizeError();</w:t>
        <w:br/>
        <w:t>}</w:t>
      </w:r>
    </w:p>
    <w:p>
      <w:pPr>
        <w:pStyle w:val="ListBullet"/>
      </w:pPr>
      <w:r>
        <w:t>Adapter methods return normalized domain results plus raw provider reference/payload pointer.</w:t>
      </w:r>
    </w:p>
    <w:p>
      <w:pPr>
        <w:pStyle w:val="ListBullet"/>
      </w:pPr>
      <w:r>
        <w:t>Unsupported methods return explicit CapabilityUnavailable, never empty success.</w:t>
      </w:r>
    </w:p>
    <w:p>
      <w:pPr>
        <w:pStyle w:val="ListBullet"/>
      </w:pPr>
      <w:r>
        <w:t>Contract tests run against mocks plus real sandbox/test accounts where provider permits.</w:t>
      </w:r>
    </w:p>
    <w:p>
      <w:pPr>
        <w:pStyle w:val="ListBullet"/>
      </w:pPr>
      <w:r>
        <w:t>Provider-specific rate/quota semantics remain inside adapter/gateway.</w:t>
      </w:r>
    </w:p>
    <w:p>
      <w:pPr/>
      <w:r>
        <w:t>Adapter contract v0.2 must expose provider-specific ambiguous-write reconciliation and resumable-operation state. The core domain may request reconcilePublication(), but the adapter defines whether truth comes from container status, resumable upload session, authoritative provider ID, or bounded recent-content fingerprint matching.</w:t>
      </w:r>
    </w:p>
    <w:p>
      <w:pPr>
        <w:pStyle w:val="Heading1"/>
      </w:pPr>
      <w:r>
        <w:t>28. Launch Platform Validation Notes</w:t>
      </w:r>
    </w:p>
    <w:p>
      <w:r>
        <w:t>YouTube official-source validation v0.2: the revision history records a 4 December 2025 reduction in video-upload quota cost from approximately 1,600 to approximately 100 units. A separate 1 June 2026 change introduced granular quota buckets for videos.insert and search.list; current documentation shows default daily allocations of 100 videos.insert calls, 100 search.list calls, and 10,000 units/day for other endpoints. These are distinct changes and must not be conflated. Current videos.insert documentation also states that uploads from certain unverified projects are restricted to private viewing until the API project passes a compliance audit.</w:t>
      </w:r>
    </w:p>
    <w:p>
      <w:r>
        <w:t>Instagram remains a working Release 1 platform, but no capability is hard-coded until official Meta documentation/app-review requirements are validated. Operational planning must start Business Verification/App Review/Advanced Access work early if required for publishing to client accounts. Claude reports a typical 2-4 week submission cycle; treat that duration as a planning assumption to validate, not an API guarantee. The Release 1 schedule must carry this review dependency on its critical path and re-evaluate it whenever requested scopes change.</w:t>
      </w:r>
    </w:p>
    <w:p>
      <w:pPr>
        <w:pStyle w:val="Heading1"/>
      </w:pPr>
      <w:r>
        <w:t>29. Production Truth Gate v0.3</w:t>
      </w:r>
    </w:p>
    <w:p>
      <w:r>
        <w:t>Release 1 cannot be declared production-ready until an automated, evidence-producing E2E run proves:</w:t>
      </w:r>
    </w:p>
    <w:p>
      <w:pPr>
        <w:pStyle w:val="ListNumber"/>
      </w:pPr>
      <w:r>
        <w:t>Public production URL resolves and exposes build/version/SHA identity.</w:t>
      </w:r>
    </w:p>
    <w:p>
      <w:pPr>
        <w:pStyle w:val="ListNumber"/>
      </w:pPr>
      <w:r>
        <w:t>Real user authentication succeeds and tenant/workspace isolation is verified.</w:t>
      </w:r>
    </w:p>
    <w:p>
      <w:pPr>
        <w:pStyle w:val="ListNumber"/>
      </w:pPr>
      <w:r>
        <w:t>Real launch-platform test account connects with expected scopes; connection health is visible.</w:t>
      </w:r>
    </w:p>
    <w:p>
      <w:pPr>
        <w:pStyle w:val="ListNumber"/>
      </w:pPr>
      <w:r>
        <w:t>Real content is created and an immutable approved version is selected.</w:t>
      </w:r>
    </w:p>
    <w:p>
      <w:pPr>
        <w:pStyle w:val="ListNumber"/>
      </w:pPr>
      <w:r>
        <w:t>Real publication is attempted through the production adapter and authoritative platform ID/status is captured.</w:t>
      </w:r>
    </w:p>
    <w:p>
      <w:pPr>
        <w:pStyle w:val="ListNumber"/>
      </w:pPr>
      <w:r>
        <w:t>A deliberate revoked-token or equivalent auth failure produces NEEDS_USER_ACTION, then reconnect + safe retry succeeds.</w:t>
      </w:r>
    </w:p>
    <w:p>
      <w:pPr>
        <w:pStyle w:val="ListNumber"/>
      </w:pPr>
      <w:r>
        <w:t>A deliberate concurrent/replayed publication command proves both request idempotency and logical-resource exclusivity: two different sessions/devices submitting different nonces for the same content_version_id cannot create two active/completed publication intents for the same target platform/account unless an explicit republish/new-version action is used.</w:t>
      </w:r>
    </w:p>
    <w:p>
      <w:pPr>
        <w:pStyle w:val="ListNumber"/>
      </w:pPr>
      <w:r>
        <w:t>Real platform metrics are ingested as raw observations within the platform's expected availability window.</w:t>
      </w:r>
    </w:p>
    <w:p>
      <w:pPr>
        <w:pStyle w:val="ListNumber"/>
      </w:pPr>
      <w:r>
        <w:t>A visible insight/feed card is generated from the ingested evidence with the correct taxonomy state and View Evidence trace.</w:t>
      </w:r>
    </w:p>
    <w:p>
      <w:pPr>
        <w:pStyle w:val="ListNumber"/>
      </w:pPr>
      <w:r>
        <w:t>Audit trail links user action -&gt; publication intent -&gt; provider attempt -&gt; metric observation -&gt; insight.</w:t>
      </w:r>
    </w:p>
    <w:p>
      <w:pPr>
        <w:pStyle w:val="ListNumber"/>
      </w:pPr>
      <w:r>
        <w:t>Monitoring shows no unresolved critical alert and the exact tested build is the one serving the public URL.</w:t>
      </w:r>
    </w:p>
    <w:p>
      <w:pPr>
        <w:pStyle w:val="ListNumber"/>
      </w:pPr>
      <w:r>
        <w:t>Multi-tenant concurrency: run simultaneous publication/job flows for multiple workspaces and prove tenant scoping, fair claiming and absence of cross-tenant duplicate/state leakage.</w:t>
      </w:r>
    </w:p>
    <w:p>
      <w:pPr>
        <w:pStyle w:val="ListNumber"/>
      </w:pPr>
      <w:r>
        <w:t>Ambiguous network timeout: inject silence after a provider write may have succeeded and prove bounded reconciliation/fingerprint/session logic prevents blind duplicate retry and escalates safely when truth cannot be established.</w:t>
      </w:r>
    </w:p>
    <w:p>
      <w:pPr>
        <w:pStyle w:val="ListNumber"/>
      </w:pPr>
      <w:r>
        <w:t>External deletion: delete a published item directly on the social platform and prove Growth OS detects missing content, marks metric completeness appropriately and does not fail ingestion silently.</w:t>
      </w:r>
    </w:p>
    <w:p>
      <w:pPr>
        <w:pStyle w:val="ListNumber"/>
      </w:pPr>
      <w:r>
        <w:t>AI Gateway outage: make the AI provider unavailable during the gate and prove the product exposes a degraded/retry state without corrupting publication/metric state or hanging the workflow.</w:t>
      </w:r>
    </w:p>
    <w:p>
      <w:pPr>
        <w:pStyle w:val="Heading1"/>
      </w:pPr>
      <w:r>
        <w:t>30. Test Strategy</w:t>
      </w:r>
    </w:p>
    <w:tbl>
      <w:tblPr>
        <w:tblStyle w:val="TableGrid"/>
        <w:tblW w:type="auto" w:w="0"/>
        <w:jc w:val="center"/>
        <w:tblLook w:firstColumn="1" w:firstRow="1" w:lastColumn="0" w:lastRow="0" w:noHBand="0" w:noVBand="1" w:val="04A0"/>
      </w:tblPr>
      <w:tblGrid>
        <w:gridCol w:w="5141"/>
        <w:gridCol w:w="5141"/>
      </w:tblGrid>
      <w:tr>
        <w:tc>
          <w:tcPr>
            <w:tcW w:type="dxa" w:w="5141"/>
            <w:vAlign w:val="center"/>
          </w:tcPr>
          <w:p>
            <w:r>
              <w:rPr>
                <w:b/>
              </w:rPr>
              <w:t>Layer</w:t>
            </w:r>
          </w:p>
        </w:tc>
        <w:tc>
          <w:tcPr>
            <w:tcW w:type="dxa" w:w="5141"/>
            <w:vAlign w:val="center"/>
          </w:tcPr>
          <w:p>
            <w:r>
              <w:rPr>
                <w:b/>
              </w:rPr>
              <w:t>Required coverage</w:t>
            </w:r>
          </w:p>
        </w:tc>
      </w:tr>
      <w:tr>
        <w:tc>
          <w:tcPr>
            <w:tcW w:type="dxa" w:w="5141"/>
            <w:vAlign w:val="top"/>
          </w:tcPr>
          <w:p>
            <w:r>
              <w:t>Unit</w:t>
            </w:r>
          </w:p>
        </w:tc>
        <w:tc>
          <w:tcPr>
            <w:tcW w:type="dxa" w:w="5141"/>
            <w:vAlign w:val="top"/>
          </w:tcPr>
          <w:p>
            <w:r>
              <w:t>State machines, evidence rules, normalization, guards, permission decisions.</w:t>
            </w:r>
          </w:p>
        </w:tc>
      </w:tr>
      <w:tr>
        <w:tc>
          <w:tcPr>
            <w:tcW w:type="dxa" w:w="5141"/>
            <w:vAlign w:val="top"/>
          </w:tcPr>
          <w:p>
            <w:r>
              <w:t>Property/invariant</w:t>
            </w:r>
          </w:p>
        </w:tc>
        <w:tc>
          <w:tcPr>
            <w:tcW w:type="dxa" w:w="5141"/>
            <w:vAlign w:val="top"/>
          </w:tcPr>
          <w:p>
            <w:r>
              <w:t>Idempotency, tenant isolation invariants, state transition legality.</w:t>
            </w:r>
          </w:p>
        </w:tc>
      </w:tr>
      <w:tr>
        <w:tc>
          <w:tcPr>
            <w:tcW w:type="dxa" w:w="5141"/>
            <w:vAlign w:val="top"/>
          </w:tcPr>
          <w:p>
            <w:r>
              <w:t>Contract</w:t>
            </w:r>
          </w:p>
        </w:tc>
        <w:tc>
          <w:tcPr>
            <w:tcW w:type="dxa" w:w="5141"/>
            <w:vAlign w:val="top"/>
          </w:tcPr>
          <w:p>
            <w:r>
              <w:t>Adapter request/response/error normalization; AI structured schemas.</w:t>
            </w:r>
          </w:p>
        </w:tc>
      </w:tr>
      <w:tr>
        <w:tc>
          <w:tcPr>
            <w:tcW w:type="dxa" w:w="5141"/>
            <w:vAlign w:val="top"/>
          </w:tcPr>
          <w:p>
            <w:r>
              <w:t>Integration</w:t>
            </w:r>
          </w:p>
        </w:tc>
        <w:tc>
          <w:tcPr>
            <w:tcW w:type="dxa" w:w="5141"/>
            <w:vAlign w:val="top"/>
          </w:tcPr>
          <w:p>
            <w:r>
              <w:t>DB + queue/outbox + workers + storage + mocked provider.</w:t>
            </w:r>
          </w:p>
        </w:tc>
      </w:tr>
      <w:tr>
        <w:tc>
          <w:tcPr>
            <w:tcW w:type="dxa" w:w="5141"/>
            <w:vAlign w:val="top"/>
          </w:tcPr>
          <w:p>
            <w:r>
              <w:t>Provider test account</w:t>
            </w:r>
          </w:p>
        </w:tc>
        <w:tc>
          <w:tcPr>
            <w:tcW w:type="dxa" w:w="5141"/>
            <w:vAlign w:val="top"/>
          </w:tcPr>
          <w:p>
            <w:r>
              <w:t>OAuth, publish, metrics, revocation/reconnect, quota/error behavior.</w:t>
            </w:r>
          </w:p>
        </w:tc>
      </w:tr>
      <w:tr>
        <w:tc>
          <w:tcPr>
            <w:tcW w:type="dxa" w:w="5141"/>
            <w:vAlign w:val="top"/>
          </w:tcPr>
          <w:p>
            <w:r>
              <w:t>E2E</w:t>
            </w:r>
          </w:p>
        </w:tc>
        <w:tc>
          <w:tcPr>
            <w:tcW w:type="dxa" w:w="5141"/>
            <w:vAlign w:val="top"/>
          </w:tcPr>
          <w:p>
            <w:r>
              <w:t>Customer journeys in production-like environment.</w:t>
            </w:r>
          </w:p>
        </w:tc>
      </w:tr>
      <w:tr>
        <w:tc>
          <w:tcPr>
            <w:tcW w:type="dxa" w:w="5141"/>
            <w:vAlign w:val="top"/>
          </w:tcPr>
          <w:p>
            <w:r>
              <w:t>Security</w:t>
            </w:r>
          </w:p>
        </w:tc>
        <w:tc>
          <w:tcPr>
            <w:tcW w:type="dxa" w:w="5141"/>
            <w:vAlign w:val="top"/>
          </w:tcPr>
          <w:p>
            <w:r>
              <w:t>AuthZ/tenant breakout, secret/token leakage, CSRF, dependency/secret scanning.</w:t>
            </w:r>
          </w:p>
        </w:tc>
      </w:tr>
      <w:tr>
        <w:tc>
          <w:tcPr>
            <w:tcW w:type="dxa" w:w="5141"/>
            <w:vAlign w:val="top"/>
          </w:tcPr>
          <w:p>
            <w:r>
              <w:t>Resilience</w:t>
            </w:r>
          </w:p>
        </w:tc>
        <w:tc>
          <w:tcPr>
            <w:tcW w:type="dxa" w:w="5141"/>
            <w:vAlign w:val="top"/>
          </w:tcPr>
          <w:p>
            <w:r>
              <w:t>Worker crash/replay, DB reconnect, provider timeout, rate limit, queue delay.</w:t>
            </w:r>
          </w:p>
        </w:tc>
      </w:tr>
      <w:tr>
        <w:tc>
          <w:tcPr>
            <w:tcW w:type="dxa" w:w="5141"/>
            <w:vAlign w:val="top"/>
          </w:tcPr>
          <w:p>
            <w:r>
              <w:t>Data quality</w:t>
            </w:r>
          </w:p>
        </w:tc>
        <w:tc>
          <w:tcPr>
            <w:tcW w:type="dxa" w:w="5141"/>
            <w:vAlign w:val="top"/>
          </w:tcPr>
          <w:p>
            <w:r>
              <w:t>Late metrics, missing metrics, duplicate observations, timezone boundaries.</w:t>
            </w:r>
          </w:p>
        </w:tc>
      </w:tr>
      <w:tr>
        <w:tc>
          <w:tcPr>
            <w:tcW w:type="dxa" w:w="5141"/>
            <w:vAlign w:val="top"/>
          </w:tcPr>
          <w:p>
            <w:r>
              <w:t>AI eval</w:t>
            </w:r>
          </w:p>
        </w:tc>
        <w:tc>
          <w:tcPr>
            <w:tcW w:type="dxa" w:w="5141"/>
            <w:vAlign w:val="top"/>
          </w:tcPr>
          <w:p>
            <w:r>
              <w:t>Insight state labeling, hallucination/provenance, content structure, originality false +/-.</w:t>
            </w:r>
          </w:p>
        </w:tc>
      </w:tr>
      <w:tr>
        <w:tc>
          <w:tcPr>
            <w:tcW w:type="dxa" w:w="5141"/>
            <w:vAlign w:val="top"/>
          </w:tcPr>
          <w:p>
            <w:r>
              <w:t>Production Truth Gate</w:t>
            </w:r>
          </w:p>
        </w:tc>
        <w:tc>
          <w:tcPr>
            <w:tcW w:type="dxa" w:w="5141"/>
            <w:vAlign w:val="top"/>
          </w:tcPr>
          <w:p>
            <w:r>
              <w:t>Automated real-system chain before production-ready declaration.</w:t>
            </w:r>
          </w:p>
        </w:tc>
      </w:tr>
    </w:tbl>
    <w:p/>
    <w:p>
      <w:pPr>
        <w:pStyle w:val="Heading1"/>
      </w:pPr>
      <w:r>
        <w:t>31. Release 1 Backlog Order</w:t>
      </w:r>
    </w:p>
    <w:p>
      <w:pPr>
        <w:pStyle w:val="ListNumber"/>
      </w:pPr>
      <w:r>
        <w:t>Repository/CI/CD, environments, version/SHA exposure, secrets and observability skeleton.</w:t>
      </w:r>
    </w:p>
    <w:p>
      <w:pPr>
        <w:pStyle w:val="ListNumber"/>
      </w:pPr>
      <w:r>
        <w:t>Identity, workspace, RBAC, tenant isolation, audit foundation and deletion/tombstone primitives.</w:t>
      </w:r>
    </w:p>
    <w:p>
      <w:pPr>
        <w:pStyle w:val="ListNumber"/>
      </w:pPr>
      <w:r>
        <w:t>Official Instagram/YouTube capability research: auth, publishing flow, metrics, quotas, app review/audit, media constraints and ambiguous-write behavior.</w:t>
      </w:r>
    </w:p>
    <w:p>
      <w:pPr>
        <w:pStyle w:val="ListNumber"/>
      </w:pPr>
      <w:r>
        <w:t>Capability Registry schema + adapter interfaces derived from the validated provider behavior; start Meta Business Verification/App Review/Advanced Access work on the critical path where required.</w:t>
      </w:r>
    </w:p>
    <w:p>
      <w:pPr>
        <w:pStyle w:val="ListNumber"/>
      </w:pPr>
      <w:r>
        <w:t>OAuth connection lifecycle + health/reconnect.</w:t>
      </w:r>
    </w:p>
    <w:p>
      <w:pPr>
        <w:pStyle w:val="ListNumber"/>
      </w:pPr>
      <w:r>
        <w:t>Content model, media storage and AI Gateway; implement AI Provider Data Policy Registry and basic cost/usage telemetry at the same time.</w:t>
      </w:r>
    </w:p>
    <w:p>
      <w:pPr>
        <w:pStyle w:val="ListNumber"/>
      </w:pPr>
      <w:r>
        <w:t>Publishing state machine, INSERT-first idempotency, transactional outbox/SKIP LOCKED workers, provider-specific reconciliation and recovery.</w:t>
      </w:r>
    </w:p>
    <w:p>
      <w:pPr>
        <w:pStyle w:val="ListNumber"/>
      </w:pPr>
      <w:r>
        <w:t>Raw metric ingestion + normalization + completeness + provider_api_version + collection_method + purge-aware storage design.</w:t>
      </w:r>
    </w:p>
    <w:p>
      <w:pPr>
        <w:pStyle w:val="ListNumber"/>
      </w:pPr>
      <w:r>
        <w:t>Growth Brain v1 + evidence model + immediate contradiction recheck.</w:t>
      </w:r>
    </w:p>
    <w:p>
      <w:pPr>
        <w:pStyle w:val="ListNumber"/>
      </w:pPr>
      <w:r>
        <w:t>Typed feed + first-session/zero-history/no-signal/recovery projections.</w:t>
      </w:r>
    </w:p>
    <w:p>
      <w:pPr>
        <w:pStyle w:val="ListNumber"/>
      </w:pPr>
      <w:r>
        <w:t>Baselines + Opportunity v1.</w:t>
      </w:r>
    </w:p>
    <w:p>
      <w:pPr>
        <w:pStyle w:val="ListNumber"/>
      </w:pPr>
      <w:r>
        <w:t>MULTIPLY v1 + leave-one-out baseline + lineage + originality guard/override outcome telemetry.</w:t>
      </w:r>
    </w:p>
    <w:p>
      <w:pPr>
        <w:pStyle w:val="ListNumber"/>
      </w:pPr>
      <w:r>
        <w:t>Experiment/eligibility instrumentation including wave_number/rollout_group.</w:t>
      </w:r>
    </w:p>
    <w:p>
      <w:pPr>
        <w:pStyle w:val="ListNumber"/>
      </w:pPr>
      <w:r>
        <w:t>Full FinOps/quota enforcement and provider budget alerts.</w:t>
      </w:r>
    </w:p>
    <w:p>
      <w:pPr>
        <w:pStyle w:val="ListNumber"/>
      </w:pPr>
      <w:r>
        <w:t>Expanded Production Truth Gate automation + load/resilience/security/deletion hardening.</w:t>
      </w:r>
    </w:p>
    <w:p>
      <w:pPr>
        <w:pStyle w:val="ListNumber"/>
      </w:pPr>
      <w:r>
        <w:t>Release candidate validation in US/BR configuration and completion of required platform review/audit gates.</w:t>
      </w:r>
    </w:p>
    <w:p>
      <w:pPr>
        <w:pStyle w:val="Heading1"/>
      </w:pPr>
      <w:r>
        <w:t>32. Explicit Non-Goals for Release 1</w:t>
      </w:r>
    </w:p>
    <w:p>
      <w:pPr>
        <w:pStyle w:val="ListBullet"/>
      </w:pPr>
      <w:r>
        <w:t>Full agency portfolio operations.</w:t>
      </w:r>
    </w:p>
    <w:p>
      <w:pPr>
        <w:pStyle w:val="ListBullet"/>
      </w:pPr>
      <w:r>
        <w:t>Autonomous publishing without configured approval gates.</w:t>
      </w:r>
    </w:p>
    <w:p>
      <w:pPr>
        <w:pStyle w:val="ListBullet"/>
      </w:pPr>
      <w:r>
        <w:t>Global competitor surveillance.</w:t>
      </w:r>
    </w:p>
    <w:p>
      <w:pPr>
        <w:pStyle w:val="ListBullet"/>
      </w:pPr>
      <w:r>
        <w:t>Universal trend migration coverage.</w:t>
      </w:r>
    </w:p>
    <w:p>
      <w:pPr>
        <w:pStyle w:val="ListBullet"/>
      </w:pPr>
      <w:r>
        <w:t>Training a general-purpose foundation model.</w:t>
      </w:r>
    </w:p>
    <w:p>
      <w:pPr>
        <w:pStyle w:val="ListBullet"/>
      </w:pPr>
      <w:r>
        <w:t>Complex MCMC/hierarchical research stack before data justifies it.</w:t>
      </w:r>
    </w:p>
    <w:p>
      <w:pPr>
        <w:pStyle w:val="ListBullet"/>
      </w:pPr>
      <w:r>
        <w:t>Guaranteeing virality, views or causal lift.</w:t>
      </w:r>
    </w:p>
    <w:p>
      <w:pPr>
        <w:pStyle w:val="ListBullet"/>
      </w:pPr>
      <w:r>
        <w:t>Supporting a platform capability not validated through official/contractual access.</w:t>
      </w:r>
    </w:p>
    <w:p>
      <w:pPr>
        <w:pStyle w:val="Heading1"/>
      </w:pPr>
      <w:r>
        <w:t>33. Open Decisions for Technical Review</w:t>
      </w:r>
    </w:p>
    <w:tbl>
      <w:tblPr>
        <w:tblStyle w:val="TableGrid"/>
        <w:tblW w:type="auto" w:w="0"/>
        <w:jc w:val="center"/>
        <w:tblLook w:firstColumn="1" w:firstRow="1" w:lastColumn="0" w:lastRow="0" w:noHBand="0" w:noVBand="1" w:val="04A0"/>
      </w:tblPr>
      <w:tblGrid>
        <w:gridCol w:w="5141"/>
        <w:gridCol w:w="5141"/>
      </w:tblGrid>
      <w:tr>
        <w:tc>
          <w:tcPr>
            <w:tcW w:type="dxa" w:w="5141"/>
            <w:vAlign w:val="center"/>
          </w:tcPr>
          <w:p>
            <w:r>
              <w:rPr>
                <w:b/>
              </w:rPr>
              <w:t>Decision</w:t>
            </w:r>
          </w:p>
        </w:tc>
        <w:tc>
          <w:tcPr>
            <w:tcW w:type="dxa" w:w="5141"/>
            <w:vAlign w:val="center"/>
          </w:tcPr>
          <w:p>
            <w:r>
              <w:rPr>
                <w:b/>
              </w:rPr>
              <w:t>Current proposal</w:t>
            </w:r>
          </w:p>
        </w:tc>
      </w:tr>
      <w:tr>
        <w:tc>
          <w:tcPr>
            <w:tcW w:type="dxa" w:w="5141"/>
            <w:vAlign w:val="top"/>
          </w:tcPr>
          <w:p>
            <w:r>
              <w:t>Backend implementation stack</w:t>
            </w:r>
          </w:p>
        </w:tc>
        <w:tc>
          <w:tcPr>
            <w:tcW w:type="dxa" w:w="5141"/>
            <w:vAlign w:val="top"/>
          </w:tcPr>
          <w:p>
            <w:r>
              <w:t>TypeScript/Node.js modular monolith + workers; PostgreSQL; managed object storage; managed queue/Redis as needed. Claude should challenge if another stack materially reduces risk.</w:t>
            </w:r>
          </w:p>
        </w:tc>
      </w:tr>
      <w:tr>
        <w:tc>
          <w:tcPr>
            <w:tcW w:type="dxa" w:w="5141"/>
            <w:vAlign w:val="top"/>
          </w:tcPr>
          <w:p>
            <w:r>
              <w:t>Frontend</w:t>
            </w:r>
          </w:p>
        </w:tc>
        <w:tc>
          <w:tcPr>
            <w:tcW w:type="dxa" w:w="5141"/>
            <w:vAlign w:val="top"/>
          </w:tcPr>
          <w:p>
            <w:r>
              <w:t>React/Next.js responsive web first; mobile-native deferred unless UX evidence requires it.</w:t>
            </w:r>
          </w:p>
        </w:tc>
      </w:tr>
      <w:tr>
        <w:tc>
          <w:tcPr>
            <w:tcW w:type="dxa" w:w="5141"/>
            <w:vAlign w:val="top"/>
          </w:tcPr>
          <w:p>
            <w:r>
              <w:t>Cloud/deployment</w:t>
            </w:r>
          </w:p>
        </w:tc>
        <w:tc>
          <w:tcPr>
            <w:tcW w:type="dxa" w:w="5141"/>
            <w:vAlign w:val="top"/>
          </w:tcPr>
          <w:p>
            <w:r>
              <w:t>Provider-neutral containers; choose managed deployment with PostgreSQL/object storage/queue and observability. Avoid architecture tied to one social/AI provider.</w:t>
            </w:r>
          </w:p>
        </w:tc>
      </w:tr>
      <w:tr>
        <w:tc>
          <w:tcPr>
            <w:tcW w:type="dxa" w:w="5141"/>
            <w:vAlign w:val="top"/>
          </w:tcPr>
          <w:p>
            <w:r>
              <w:t>Workflow engine</w:t>
            </w:r>
          </w:p>
        </w:tc>
        <w:tc>
          <w:tcPr>
            <w:tcW w:type="dxa" w:w="5141"/>
            <w:vAlign w:val="top"/>
          </w:tcPr>
          <w:p>
            <w:r>
              <w:t>Start DB/outbox + durable jobs; adopt Temporal-equivalent only if workflows/retries become too complex.</w:t>
            </w:r>
          </w:p>
        </w:tc>
      </w:tr>
      <w:tr>
        <w:tc>
          <w:tcPr>
            <w:tcW w:type="dxa" w:w="5141"/>
            <w:vAlign w:val="top"/>
          </w:tcPr>
          <w:p>
            <w:r>
              <w:t>Vector store</w:t>
            </w:r>
          </w:p>
        </w:tc>
        <w:tc>
          <w:tcPr>
            <w:tcW w:type="dxa" w:w="5141"/>
            <w:vAlign w:val="top"/>
          </w:tcPr>
          <w:p>
            <w:r>
              <w:t>Prefer pgvector initially to avoid a separate system; extract only if scale/latency proves necessary.</w:t>
            </w:r>
          </w:p>
        </w:tc>
      </w:tr>
      <w:tr>
        <w:tc>
          <w:tcPr>
            <w:tcW w:type="dxa" w:w="5141"/>
            <w:vAlign w:val="top"/>
          </w:tcPr>
          <w:p>
            <w:r>
              <w:t>AI providers</w:t>
            </w:r>
          </w:p>
        </w:tc>
        <w:tc>
          <w:tcPr>
            <w:tcW w:type="dxa" w:w="5141"/>
            <w:vAlign w:val="top"/>
          </w:tcPr>
          <w:p>
            <w:r>
              <w:t>Multi-provider gateway; no single-provider domain coupling.</w:t>
            </w:r>
          </w:p>
        </w:tc>
      </w:tr>
      <w:tr>
        <w:tc>
          <w:tcPr>
            <w:tcW w:type="dxa" w:w="5141"/>
            <w:vAlign w:val="top"/>
          </w:tcPr>
          <w:p>
            <w:r>
              <w:t>Analytics computation</w:t>
            </w:r>
          </w:p>
        </w:tc>
        <w:tc>
          <w:tcPr>
            <w:tcW w:type="dxa" w:w="5141"/>
            <w:vAlign w:val="top"/>
          </w:tcPr>
          <w:p>
            <w:r>
              <w:t>SQL/materialized jobs first; streaming/warehouse only when volume requires it.</w:t>
            </w:r>
          </w:p>
        </w:tc>
      </w:tr>
    </w:tbl>
    <w:p/>
    <w:p>
      <w:pPr>
        <w:pStyle w:val="Heading1"/>
      </w:pPr>
      <w:r>
        <w:t>34. Questions for Claude - v0.2 Closure Review</w:t>
      </w:r>
    </w:p>
    <w:p>
      <w:pPr>
        <w:pStyle w:val="ListNumber"/>
      </w:pPr>
      <w:r>
        <w:t>Confirm whether v0.2 correctly resolves the append-only versus deletion conflict: immutable-while-retained + immediate tombstone from reads + asynchronous physical purge + purge-oriented partition/key design. What exact backup/derived-artifact caveat is still missing?</w:t>
      </w:r>
    </w:p>
    <w:p>
      <w:pPr>
        <w:pStyle w:val="ListNumber"/>
      </w:pPr>
      <w:r>
        <w:t>Attack the INSERT-first idempotency and SKIP LOCKED outbox rules. Is there any remaining race that can create a duplicate publication before provider reconciliation begins?</w:t>
      </w:r>
    </w:p>
    <w:p>
      <w:pPr>
        <w:pStyle w:val="ListNumber"/>
      </w:pPr>
      <w:r>
        <w:t>Validate the provider-specific ambiguous-write strategy. For Instagram containers and YouTube resumable uploads, what exact identifiers/status calls should the adapter persist/use, and where is fuzzy recent-content matching still unavoidable?</w:t>
      </w:r>
    </w:p>
    <w:p>
      <w:pPr>
        <w:pStyle w:val="ListNumber"/>
      </w:pPr>
      <w:r>
        <w:t>Define a safe default reconciliation limit (attempt count/time window) before NEEDS_USER_ACTION for each launch platform.</w:t>
      </w:r>
    </w:p>
    <w:p>
      <w:pPr>
        <w:pStyle w:val="ListNumber"/>
      </w:pPr>
      <w:r>
        <w:t>Confirm provider_api_version/source_schema_version and collection_method are sufficient additions to raw metrics. List any other irreversible day-1 fields still missing.</w:t>
      </w:r>
    </w:p>
    <w:p>
      <w:pPr>
        <w:pStyle w:val="ListNumber"/>
      </w:pPr>
      <w:r>
        <w:t>Review the AI Provider Data Policy Registry. Which policy fields are mandatory to prevent accidental routing of sensitive/private data to an incompatible provider?</w:t>
      </w:r>
    </w:p>
    <w:p>
      <w:pPr>
        <w:pStyle w:val="ListNumber"/>
      </w:pPr>
      <w:r>
        <w:t>Review the revised Capability Registry fields and critical-path platform review/audit dependency. What must be represented as a hard release gate versus a warning?</w:t>
      </w:r>
    </w:p>
    <w:p>
      <w:pPr>
        <w:pStyle w:val="ListNumber"/>
      </w:pPr>
      <w:r>
        <w:t>Revalidate the YouTube facts in section 28/35: Dec 4 2025 upload-cost reduction versus June 1 2026 granular quota buckets, current default buckets, and audit/private-upload restrictions.</w:t>
      </w:r>
    </w:p>
    <w:p>
      <w:pPr>
        <w:pStyle w:val="ListNumber"/>
      </w:pPr>
      <w:r>
        <w:t>Revalidate the Instagram Release 1 publication/access assumptions using current official Meta documentation. Distinguish official requirements from the planning estimate of 2-4 weeks.</w:t>
      </w:r>
    </w:p>
    <w:p>
      <w:pPr>
        <w:pStyle w:val="ListNumber"/>
      </w:pPr>
      <w:r>
        <w:t>Attack the expanded Production Truth Gate. Can multi-tenant concurrency, ambiguous timeout, external deletion or AI outage still pass while leaving a material production failure untested?</w:t>
      </w:r>
    </w:p>
    <w:p>
      <w:pPr>
        <w:pStyle w:val="ListNumber"/>
      </w:pPr>
      <w:r>
        <w:t>Review the initial confirmed_account evidence rules. Which defaults are too weak/strong for Release 1, and which should remain configurable policy rather than schema?</w:t>
      </w:r>
    </w:p>
    <w:p>
      <w:pPr>
        <w:pStyle w:val="ListNumber"/>
      </w:pPr>
      <w:r>
        <w:t>Confirm the immediate Growth Brain contradiction recheck is sufficient to prevent stale confirmed insights; specify loop/oscillation safeguards.</w:t>
      </w:r>
    </w:p>
    <w:p>
      <w:pPr>
        <w:pStyle w:val="ListNumber"/>
      </w:pPr>
      <w:r>
        <w:t>Confirm content_ready/publish_recovery as derived projections avoids duplicated truth without making feed history unauditable.</w:t>
      </w:r>
    </w:p>
    <w:p>
      <w:pPr>
        <w:pStyle w:val="ListNumber"/>
      </w:pPr>
      <w:r>
        <w:t>Review the revised implementation order, especially platform validation before adapter contracts and early AI cost telemetry.</w:t>
      </w:r>
    </w:p>
    <w:p>
      <w:pPr>
        <w:pStyle w:val="ListNumber"/>
      </w:pPr>
      <w:r>
        <w:t>Final verdict: TECH SPEC READY TO FREEZE / READY WITH CONDITIONS / NOT READY. List only unresolved MUST CHANGE BEFORE BUILD items; do not reopen frozen concept choices without contradictory evidence.</w:t>
      </w:r>
    </w:p>
    <w:p>
      <w:pPr>
        <w:pStyle w:val="ListNumber"/>
      </w:pPr>
      <w:r/>
    </w:p>
    <w:p>
      <w:pPr>
        <w:pStyle w:val="ListNumber"/>
      </w:pPr>
      <w:r/>
    </w:p>
    <w:p>
      <w:pPr>
        <w:pStyle w:val="ListNumber"/>
      </w:pPr>
      <w:r/>
    </w:p>
    <w:p>
      <w:pPr>
        <w:pStyle w:val="ListNumber"/>
      </w:pPr>
      <w:r/>
    </w:p>
    <w:p>
      <w:pPr>
        <w:pStyle w:val="ListNumber"/>
      </w:pPr>
      <w:r/>
    </w:p>
    <w:p>
      <w:pPr>
        <w:pStyle w:val="ListNumber"/>
      </w:pPr>
      <w:r/>
    </w:p>
    <w:p>
      <w:pPr>
        <w:pStyle w:val="ListNumber"/>
      </w:pPr>
      <w:r/>
    </w:p>
    <w:p>
      <w:pPr>
        <w:pStyle w:val="ListNumber"/>
      </w:pPr>
      <w:r/>
    </w:p>
    <w:p>
      <w:pPr>
        <w:pStyle w:val="ListNumber"/>
      </w:pPr>
      <w:r/>
    </w:p>
    <w:p>
      <w:pPr>
        <w:pStyle w:val="ListNumber"/>
      </w:pPr>
      <w:r/>
    </w:p>
    <w:p>
      <w:pPr>
        <w:pStyle w:val="ListNumber"/>
      </w:pPr>
      <w:r/>
    </w:p>
    <w:p>
      <w:pPr>
        <w:pStyle w:val="Heading1"/>
      </w:pPr>
      <w:r>
        <w:t>35. Source Validation &amp; Adversarial Review Notes</w:t>
      </w:r>
    </w:p>
    <w:p>
      <w:r>
        <w:t>This specification is primarily derived from the frozen Growth OS Concept v1.4.1. Current public official documentation was additionally checked for selected YouTube implementation assumptions. Platform capabilities are volatile; Capability Registry validation is therefore a release control, not a one-time research exercise.</w:t>
      </w:r>
    </w:p>
    <w:tbl>
      <w:tblPr>
        <w:tblStyle w:val="TableGrid"/>
        <w:tblW w:type="auto" w:w="0"/>
        <w:jc w:val="center"/>
        <w:tblLook w:firstColumn="1" w:firstRow="1" w:lastColumn="0" w:lastRow="0" w:noHBand="0" w:noVBand="1" w:val="04A0"/>
      </w:tblPr>
      <w:tblGrid>
        <w:gridCol w:w="5141"/>
        <w:gridCol w:w="5141"/>
      </w:tblGrid>
      <w:tr>
        <w:tc>
          <w:tcPr>
            <w:tcW w:type="dxa" w:w="5141"/>
            <w:vAlign w:val="center"/>
          </w:tcPr>
          <w:p>
            <w:r>
              <w:rPr>
                <w:b/>
              </w:rPr>
              <w:t>Source</w:t>
            </w:r>
          </w:p>
        </w:tc>
        <w:tc>
          <w:tcPr>
            <w:tcW w:type="dxa" w:w="5141"/>
            <w:vAlign w:val="center"/>
          </w:tcPr>
          <w:p>
            <w:r>
              <w:rPr>
                <w:b/>
              </w:rPr>
              <w:t>Use in this draft</w:t>
            </w:r>
          </w:p>
        </w:tc>
      </w:tr>
      <w:tr>
        <w:tc>
          <w:tcPr>
            <w:tcW w:type="dxa" w:w="5141"/>
            <w:vAlign w:val="top"/>
          </w:tcPr>
          <w:p>
            <w:r>
              <w:t>Google Developers - YouTube Analytics dimensions (current Aug 2026)</w:t>
            </w:r>
          </w:p>
        </w:tc>
        <w:tc>
          <w:tcPr>
            <w:tcW w:type="dxa" w:w="5141"/>
            <w:vAlign w:val="top"/>
          </w:tcPr>
          <w:p>
            <w:r>
              <w:t>Confirms Analytics dimensions such as day/country/video and Pacific-time date semantics.</w:t>
            </w:r>
          </w:p>
        </w:tc>
      </w:tr>
      <w:tr>
        <w:tc>
          <w:tcPr>
            <w:tcW w:type="dxa" w:w="5141"/>
            <w:vAlign w:val="top"/>
          </w:tcPr>
          <w:p>
            <w:r>
              <w:t>Google Developers - YouTube Analytics/Reporting OAuth 2.0 authorization (current Aug 2026)</w:t>
            </w:r>
          </w:p>
        </w:tc>
        <w:tc>
          <w:tcPr>
            <w:tcW w:type="dxa" w:w="5141"/>
            <w:vAlign w:val="top"/>
          </w:tcPr>
          <w:p>
            <w:r>
              <w:t>Confirms OAuth 2.0/private-data authorization and analytics scopes; public apps may require verification.</w:t>
            </w:r>
          </w:p>
        </w:tc>
      </w:tr>
      <w:tr>
        <w:tc>
          <w:tcPr>
            <w:tcW w:type="dxa" w:w="5141"/>
            <w:vAlign w:val="top"/>
          </w:tcPr>
          <w:p>
            <w:r>
              <w:t>Google Developers - OAuth 2.0 scopes for YouTube Data API</w:t>
            </w:r>
          </w:p>
        </w:tc>
        <w:tc>
          <w:tcPr>
            <w:tcW w:type="dxa" w:w="5141"/>
            <w:vAlign w:val="top"/>
          </w:tcPr>
          <w:p>
            <w:r>
              <w:t>Confirms youtube.upload / youtube.readonly and analytics scopes.</w:t>
            </w:r>
          </w:p>
        </w:tc>
      </w:tr>
      <w:tr>
        <w:tc>
          <w:tcPr>
            <w:tcW w:type="dxa" w:w="5141"/>
            <w:vAlign w:val="top"/>
          </w:tcPr>
          <w:p>
            <w:r>
              <w:t>Google Developers - YouTube Data API revision history (June 2026)</w:t>
            </w:r>
          </w:p>
        </w:tc>
        <w:tc>
          <w:tcPr>
            <w:tcW w:type="dxa" w:w="5141"/>
            <w:vAlign w:val="top"/>
          </w:tcPr>
          <w:p>
            <w:r>
              <w:t>v0.2 distinguishes Dec 4 2025 upload-cost reduction from June 1 2026 granular quota-bucket transition; current docs revalidated.</w:t>
            </w:r>
          </w:p>
        </w:tc>
      </w:tr>
      <w:tr>
        <w:tc>
          <w:tcPr>
            <w:tcW w:type="dxa" w:w="5141"/>
          </w:tcPr>
          <w:p>
            <w:r>
              <w:t>Claude adversarial review of Technical Specification v0.1 (26 Aug 2026)</w:t>
            </w:r>
          </w:p>
        </w:tc>
        <w:tc>
          <w:tcPr>
            <w:tcW w:type="dxa" w:w="5141"/>
          </w:tcPr>
          <w:p>
            <w:r>
              <w:t>Source of implementation corrections: idempotency ordering, outbox lock, fuzzy reconciliation, raw-metric fields, AI provider policy registry, expanded truth gate, deletion design, backlog order and Meta review planning.</w:t>
            </w:r>
          </w:p>
        </w:tc>
      </w:tr>
    </w:tbl>
    <w:p/>
    <w:p>
      <w:pPr>
        <w:pStyle w:val="Heading1"/>
      </w:pPr>
      <w:r>
        <w:t>36. Handoff, Freeze Criteria and Version Record</w:t>
      </w:r>
    </w:p>
    <w:p>
      <w:r>
        <w:t>v0.2 incorporates the v0.1 adversarial review without reopening Concept v1.4.1. If Claude now returns TECH SPEC READY TO FREEZE or only non-structural conditions, accepted corrections will produce the frozen technical baseline, after which UX flows, physical DDL, adapter/API contracts and executable test plan proceed against it. Material implementation contradictions remain version-controlled changes, never silent workarounds.</w:t>
      </w:r>
    </w:p>
    <w:p>
      <w:pPr>
        <w:pStyle w:val="Heading1"/>
      </w:pPr>
      <w:r>
        <w:t>37. v0.2 Change Record</w:t>
      </w:r>
    </w:p>
    <w:p>
      <w:pPr>
        <w:pStyle w:val="ListBullet"/>
      </w:pPr>
      <w:r>
        <w:t>Resolved immutable raw data vs deletion using tombstone + purge semantics and purge-oriented storage design.</w:t>
      </w:r>
    </w:p>
    <w:p>
      <w:pPr>
        <w:pStyle w:val="ListBullet"/>
      </w:pPr>
      <w:r>
        <w:t>Specified INSERT-first idempotency and SKIP LOCKED/equivalent outbox claiming.</w:t>
      </w:r>
    </w:p>
    <w:p>
      <w:pPr>
        <w:pStyle w:val="ListBullet"/>
      </w:pPr>
      <w:r>
        <w:t>Made Instagram/YouTube ambiguous publication reconciliation explicitly provider-specific and fuzzy/bounded where exact truth is unavailable.</w:t>
      </w:r>
    </w:p>
    <w:p>
      <w:pPr>
        <w:pStyle w:val="ListBullet"/>
      </w:pPr>
      <w:r>
        <w:t>Added provider_api_version/source_schema_version and collection_method to raw metrics.</w:t>
      </w:r>
    </w:p>
    <w:p>
      <w:pPr>
        <w:pStyle w:val="ListBullet"/>
      </w:pPr>
      <w:r>
        <w:t>Added effective-dated agency authority/contribution history.</w:t>
      </w:r>
    </w:p>
    <w:p>
      <w:pPr>
        <w:pStyle w:val="ListBullet"/>
      </w:pPr>
      <w:r>
        <w:t>Added immediate Growth Brain contradiction recheck.</w:t>
      </w:r>
    </w:p>
    <w:p>
      <w:pPr>
        <w:pStyle w:val="ListBullet"/>
      </w:pPr>
      <w:r>
        <w:t>Made content_ready/publish_recovery derived projections.</w:t>
      </w:r>
    </w:p>
    <w:p>
      <w:pPr>
        <w:pStyle w:val="ListBullet"/>
      </w:pPr>
      <w:r>
        <w:t>Added leave-one-out MULTIPLY baseline, absolute floor and override outcome telemetry.</w:t>
      </w:r>
    </w:p>
    <w:p>
      <w:pPr>
        <w:pStyle w:val="ListBullet"/>
      </w:pPr>
      <w:r>
        <w:t>Added wave_number/rollout_group.</w:t>
      </w:r>
    </w:p>
    <w:p>
      <w:pPr>
        <w:pStyle w:val="ListBullet"/>
      </w:pPr>
      <w:r>
        <w:t>Added AI Provider Data Policy Registry.</w:t>
      </w:r>
    </w:p>
    <w:p>
      <w:pPr>
        <w:pStyle w:val="ListBullet"/>
      </w:pPr>
      <w:r>
        <w:t>Expanded Capability Registry fields and moved Meta review/access work to Release 1 critical path.</w:t>
      </w:r>
    </w:p>
    <w:p>
      <w:pPr>
        <w:pStyle w:val="ListBullet"/>
      </w:pPr>
      <w:r>
        <w:t>Expanded Production Truth Gate with multi-tenant concurrency, ambiguous timeout, external deletion and AI Gateway outage.</w:t>
      </w:r>
    </w:p>
    <w:p>
      <w:pPr>
        <w:pStyle w:val="ListBullet"/>
      </w:pPr>
      <w:r>
        <w:t>Reordered implementation backlog and moved AI cost telemetry earlier.</w:t>
      </w:r>
    </w:p>
    <w:p>
      <w:pPr>
        <w:pStyle w:val="ListBullet"/>
      </w:pPr>
      <w:r>
        <w:t>Corrected YouTube quota chronology: Dec 4 2025 upload-cost reduction; June 1 2026 granular quota buckets.</w:t>
      </w:r>
    </w:p>
    <w:p>
      <w:pPr>
        <w:pStyle w:val="Heading1"/>
      </w:pPr>
      <w:r>
        <w:t>37. v0.3 Adversarial Review Corrections - Normative Addendum</w:t>
      </w:r>
    </w:p>
    <w:p>
      <w:pPr>
        <w:pStyle w:val="Heading2"/>
      </w:pPr>
      <w:r>
        <w:t>37.1 Exact vs. fuzzy provider reconciliation</w:t>
      </w:r>
    </w:p>
    <w:p>
      <w:r>
        <w:t>Reconciliation MUST prefer provider-native exact state whenever a durable provider handle exists. For YouTube resumable uploads, the official YouTube Data API guide confirms that the saved resumable upload URL can be queried with an empty PUT and Content-Range: bytes */CONTENT_LENGTH; an in-progress upload returns HTTP 308 with Range indicating received bytes. Fuzzy matching is therefore not the primary YouTube recovery path when the session URI was captured. For Instagram, Claude reports fresh primary-source validation of container status via the Meta Instagram Content Publishing documentation; ChatGPT could not independently retrieve that Meta page through its web index in this turn. Consequently, the exact Instagram status names/polling interval remain capability evidence that MUST be independently captured in the Capability Registry/adapter contract before implementation freeze. Fuzzy recent-media matching is reserved for ambiguous cases where the authoritative container/session/result handle is unavailable or insufficient.</w:t>
      </w:r>
    </w:p>
    <w:p>
      <w:r>
        <w:t>Reconciliation limits are per-platform configuration with provenance. No unverified engineering estimate may be presented as an official platform limit. When the configured exact/fuzzy reconciliation budget is exhausted, transition to NEEDS_USER_ACTION rather than retry indefinitely.</w:t>
      </w:r>
    </w:p>
    <w:p>
      <w:pPr>
        <w:pStyle w:val="Heading2"/>
      </w:pPr>
      <w:r>
        <w:t>37.2 Feed audit without duplicate truth</w:t>
      </w:r>
    </w:p>
    <w:p>
      <w:r>
        <w:t>content_ready and publish_recovery are derived projections of authoritative content/connection/publication state. feed_events MUST nevertheless store a rendered_card_snapshot (schema_version, card_type, visible claim/text/action set, evidence references or redacted hashes as appropriate) at shown/opened/action time so audit can reconstruct what the customer actually saw without making the feed row a competing source of current truth.</w:t>
      </w:r>
    </w:p>
    <w:p>
      <w:pPr>
        <w:pStyle w:val="Heading2"/>
      </w:pPr>
      <w:r>
        <w:t>37.3 Production Truth Gate additions</w:t>
      </w:r>
    </w:p>
    <w:p>
      <w:r>
        <w:t>Add a destructive worker-crash scenario at the highest duplicate-risk point: terminate the worker after the provider has returned success for the external publish, but before that success is durably committed to PostgreSQL. After lease expiry/redelivery, the next worker MUST reconcile external state before any repeat side effect and prove no duplicate publication and no lost intent. Combined-failure scenarios remain post-Release-1 resilience tests unless evidence elevates them.</w:t>
      </w:r>
    </w:p>
    <w:p>
      <w:pPr>
        <w:pStyle w:val="Heading2"/>
      </w:pPr>
      <w:r>
        <w:t>37.4 Backup/deletion invariant</w:t>
      </w:r>
    </w:p>
    <w:p>
      <w:r>
        <w:t>A backup restore is not production-readable immediately after restore. It enters RESTORED_QUARANTINED, replays the deletion ledger/tombstones that became effective after the snapshot, validates purge exclusions and only then transitions to RESTORED_SERVABLE. Restore drills MUST test this invariant.</w:t>
      </w:r>
    </w:p>
    <w:p>
      <w:pPr>
        <w:pStyle w:val="Heading2"/>
      </w:pPr>
      <w:r>
        <w:t>37.5 Adversarial Review Gate - permanent process rule</w:t>
      </w:r>
    </w:p>
    <w:p>
      <w:r>
        <w:t>For any volatile or implementation-specific claim (API endpoint/field/status/header, quota, app-review requirement, legal/regulatory obligation, provider retention policy, security guarantee), the reviewer must label the claim as one of: PRIMARY-SOURCE VERIFIED THIS ROUND; REVIEWER-SUPPLIED PRIMARY-SOURCE CLAIM NOT YET INDEPENDENTLY REPRODUCED; ENGINEERING ESTIMATE; INFERENCE; or UNVERIFIED. Agreement between reviewers is not evidence. Failed verification attempts are recorded rather than silently converted into confidence. A material claim cannot become a frozen adapter/compliance contract until its primary-source evidence_ref is captured or the design explicitly treats it as an estimate/unknown.</w:t>
      </w:r>
    </w:p>
    <w:p>
      <w:pPr>
        <w:pStyle w:val="Heading1"/>
      </w:pPr>
      <w:r>
        <w:t>38. v0.3 Closure Questions for Claude</w:t>
      </w:r>
    </w:p>
    <w:p>
      <w:pPr>
        <w:pStyle w:val="ListNumber"/>
      </w:pPr>
      <w:r>
        <w:t>Confirm whether the closed deletion-artifact manifest is complete enough for Release 1: relational raw/derived rows, pgvector/embeddings, AI Gateway retained provenance/input payloads, cached feed snapshots, exports/reports, object-storage media and provider-payload archives. Name any missing class that would make a deletion request incomplete.</w:t>
      </w:r>
    </w:p>
    <w:p>
      <w:pPr>
        <w:pStyle w:val="ListNumber"/>
      </w:pPr>
      <w:r>
        <w:t>Attack the backup rule RESTORED_QUARANTINED -&gt; deletion-ledger replay -&gt; RESTORED_SERVABLE. Can deleted customer data become visible through any restore/cache/search/vector path before reconciliation completes?</w:t>
      </w:r>
    </w:p>
    <w:p>
      <w:pPr>
        <w:pStyle w:val="ListNumber"/>
      </w:pPr>
      <w:r>
        <w:t>Attack the client idempotency contract: persisted request_nonce + reused Idempotency-Key + server binding to workspace/operation/request_hash. Identify any retry/offline/mobile/browser-refresh case that can still generate a second legitimate-looking intent.</w:t>
      </w:r>
    </w:p>
    <w:p>
      <w:pPr>
        <w:pStyle w:val="ListNumber"/>
      </w:pPr>
      <w:r>
        <w:t>Confirm the exact-vs-fuzzy reconciliation wording. For each Instagram and YouTube publish phase, identify the authoritative handle, exact status check, and the narrow point where fuzzy matching is unavoidable. Cite current primary documentation for every protocol detail.</w:t>
      </w:r>
    </w:p>
    <w:p>
      <w:pPr>
        <w:pStyle w:val="ListNumber"/>
      </w:pPr>
      <w:r>
        <w:t>Revalidate the Meta-specific status names and polling guidance against current official Meta documentation and include the exact source URL/date. If not reproducible, mark it unverified rather than relying on the previous review.</w:t>
      </w:r>
    </w:p>
    <w:p>
      <w:pPr>
        <w:pStyle w:val="ListNumber"/>
      </w:pPr>
      <w:r>
        <w:t>Confirm the YouTube resumable status request format against the current official YouTube guide, including Content-Range and 308/Range semantics.</w:t>
      </w:r>
    </w:p>
    <w:p>
      <w:pPr>
        <w:pStyle w:val="ListNumber"/>
      </w:pPr>
      <w:r>
        <w:t>Attack the symmetric evidence gate for insight promotion/demotion. Propose the simplest hysteresis/cooldown policy that prevents oscillation without keeping stale advice alive too long.</w:t>
      </w:r>
    </w:p>
    <w:p>
      <w:pPr>
        <w:pStyle w:val="ListNumber"/>
      </w:pPr>
      <w:r>
        <w:t>Confirm the worker-crash Production Truth Gate is sufficient to exercise lease expiry/redelivery plus external-side-effect reconciliation. Specify the kill point that creates the highest duplicate risk.</w:t>
      </w:r>
    </w:p>
    <w:p>
      <w:pPr>
        <w:pStyle w:val="ListNumber"/>
      </w:pPr>
      <w:r>
        <w:t>Attack the AI sensitivity-to-provider allowlist. Which dimensions besides sensitivity, purpose and region are required to make routing deny-by-default and auditable?</w:t>
      </w:r>
    </w:p>
    <w:p>
      <w:pPr>
        <w:pStyle w:val="ListNumber"/>
      </w:pPr>
      <w:r>
        <w:t>Confirm that derived content_ready/publish_recovery cards plus immutable rendered_card_snapshot in feed_events preserve both single source of truth and historical auditability.</w:t>
      </w:r>
    </w:p>
    <w:p>
      <w:pPr>
        <w:pStyle w:val="ListNumber"/>
      </w:pPr>
      <w:r>
        <w:t>List every remaining statement in v0.3 that sounds like a platform/API fact but is not primary-source verified in this review. Do not infer or fill gaps.</w:t>
      </w:r>
    </w:p>
    <w:p>
      <w:pPr>
        <w:pStyle w:val="ListNumber"/>
      </w:pPr>
      <w:r>
        <w:t>Final verdict: TECH SPEC READY TO FREEZE / READY WITH CONDITIONS / NOT READY. If conditions remain, list only items that can change implementation correctness, security, privacy, API feasibility or production reliability; do not reopen frozen product strategy.</w:t>
      </w:r>
    </w:p>
    <w:p>
      <w:pPr>
        <w:pStyle w:val="Heading1"/>
      </w:pPr>
      <w:r>
        <w:t>39. v0.3 Version Record</w:t>
      </w:r>
    </w:p>
    <w:p>
      <w:pPr>
        <w:pStyle w:val="ListBullet"/>
      </w:pPr>
      <w:r>
        <w:t>Incorporated all four MUST CHANGE BEFORE BUILD findings from the v0.2 closing review.</w:t>
      </w:r>
    </w:p>
    <w:p>
      <w:pPr>
        <w:pStyle w:val="ListBullet"/>
      </w:pPr>
      <w:r>
        <w:t>Enumerated the deletion purge surface and added backup restore quarantine + deletion-ledger reconciliation.</w:t>
      </w:r>
    </w:p>
    <w:p>
      <w:pPr>
        <w:pStyle w:val="ListBullet"/>
      </w:pPr>
      <w:r>
        <w:t>Defined client-side idempotency-key persistence/reuse and server payload binding; added request_nonce/idempotency_key_source audit fields.</w:t>
      </w:r>
    </w:p>
    <w:p>
      <w:pPr>
        <w:pStyle w:val="ListBullet"/>
      </w:pPr>
      <w:r>
        <w:t>Made insight promotion/demotion evidence gates symmetric to reduce oscillation.</w:t>
      </w:r>
    </w:p>
    <w:p>
      <w:pPr>
        <w:pStyle w:val="ListBullet"/>
      </w:pPr>
      <w:r>
        <w:t>Added worker-crash/lease-redelivery to Production Truth Gate.</w:t>
      </w:r>
    </w:p>
    <w:p>
      <w:pPr>
        <w:pStyle w:val="ListBullet"/>
      </w:pPr>
      <w:r>
        <w:t>Added reviewer-recommended SHOULD changes: exact-vs-fuzzy reconciliation clarification, AI sensitivity routing allowlist, feed rendered-card snapshots, reconciliation history, wave_number and Capability Registry operational fields.</w:t>
      </w:r>
    </w:p>
    <w:p>
      <w:pPr>
        <w:pStyle w:val="ListBullet"/>
      </w:pPr>
      <w:r>
        <w:t>Applied the Adversarial Review Gate to the document itself: primary-source verified facts, reviewer-supplied claims, estimates and unverified statements are no longer intentionally presented with the same certainty.</w:t>
      </w:r>
    </w:p>
    <w:p>
      <w:pPr>
        <w:pStyle w:val="ListBullet"/>
      </w:pPr>
      <w:r>
        <w:t>Independent check in this turn confirmed the current official YouTube resumable-upload status request uses Content-Range: bytes */CONTENT_LENGTH and 308/Range semantics. Independent Meta retrieval was not successful in this turn; Meta-specific protocol details remain subject to captured official evidence before adapter freeze.</w:t>
      </w:r>
    </w:p>
    <w:p>
      <w:pPr>
        <w:pStyle w:val="Heading1"/>
      </w:pPr>
      <w:r>
        <w:t>40. v0.4 Freeze-Candidate Patch - Normative Addendum</w:t>
      </w:r>
    </w:p>
    <w:p>
      <w:pPr>
        <w:pStyle w:val="Heading2"/>
      </w:pPr>
      <w:r>
        <w:t>40.1 Logical publication exclusivity by content version</w:t>
      </w:r>
    </w:p>
    <w:p>
      <w:r>
        <w:t>Idempotency-Key protects retry of the same client command; it does not by itself protect two independent commands from two sessions. For each (workspace_id, social_account_id, platform, content_version_id), at most one publication intent may be in an active or completed-success state unless the user performs an explicit republish operation or creates/approves a new content version. Enforce this with a database-level partial unique constraint or equivalent atomic resource lock over statuses QUEUED/SENDING/RETRYING/CONFIRMED (and any semantically equivalent active/success states). A losing concurrent command returns the existing intent rather than publishing again.</w:t>
      </w:r>
    </w:p>
    <w:p>
      <w:r>
        <w:t>Client UX persists request_nonce/Idempotency-Key in durable browser/app storage keyed to the publication draft/content_version and disables duplicate submit while an intent is unresolved. Refresh/reconnect must recover the existing intent before offering a new publish command.</w:t>
      </w:r>
    </w:p>
    <w:p>
      <w:pPr>
        <w:pStyle w:val="Heading2"/>
      </w:pPr>
      <w:r>
        <w:t>40.2 Deletion/purge surface completion</w:t>
      </w:r>
    </w:p>
    <w:p>
      <w:r>
        <w:t>The versioned deletion-artifact manifest MUST enumerate: primary relational rows; normalized/derived rows; vectors/embeddings; AI Gateway retained inputs/provenance under Growth OS control; feed snapshots/caches; exports/reports; object-storage media/provider payload archives; logs/traces/observability systems; CDN caches/edge derivatives; read/search/vector replicas; and any future warehouse/lake copy. Each class has a purge/invalidation mechanism, completion evidence and retention owner.</w:t>
      </w:r>
    </w:p>
    <w:p>
      <w:r>
        <w:t>Read paths that decide whether deleted data may be served MUST observe the tombstone from the authoritative primary or an equivalently strong consistency mechanism. A lagging read replica may not be used to override a deletion tombstone. CDN invalidation is part of purge completion for externally reachable media/derivatives.</w:t>
      </w:r>
    </w:p>
    <w:p>
      <w:r>
        <w:t>External AI-provider retention is a documented limitation. Growth OS can stop future routing and purge its own copies, but cannot promise immediate deletion of copies a provider is contractually permitted/required to retain. The AI Provider Data Policy Registry records provider/model/modality retention and deletion controls; customer-facing policy must reflect the actual contract.</w:t>
      </w:r>
    </w:p>
    <w:p>
      <w:pPr>
        <w:pStyle w:val="Heading2"/>
      </w:pPr>
      <w:r>
        <w:t>40.3 AI routing allowlist</w:t>
      </w:r>
    </w:p>
    <w:p>
      <w:r>
        <w:t>AI routing is deny-by-default using an explicit relation keyed by sensitivity_class, purpose, region, modality and provider/model (plus contract/tier/version where needed). If no active allowlist row matches, the request is rejected or routed to a locally/contractually approved alternative; application code may not reconstruct permission from independent provider and sensitivity lists.</w:t>
      </w:r>
    </w:p>
    <w:p>
      <w:pPr>
        <w:pStyle w:val="Heading2"/>
      </w:pPr>
      <w:r>
        <w:t>40.4 Instagram capability evidence status</w:t>
      </w:r>
    </w:p>
    <w:p>
      <w:r>
        <w:t>Claude reports PRIMARY-SOURCE VERIFIED THIS ROUND on 26 Aug 2026 from Meta Content Publishing documentation: container creation/publish/status endpoints, the status set EXPIRED/ERROR/FINISHED/IN_PROGRESS/PUBLISHED, polling guidance of once per minute for up to 5 minutes, container expiry at 24h, and a current API publishing limit of 100 posts per rolling 24h. ChatGPT independently attempted to fetch the same official page in this turn but received HTTP 429, so it does not claim independent reproduction. Implementation freeze requires capturing the Meta URL/date/snapshot or equivalent evidence_ref in the Capability Registry. The 100/24h value is capability metadata, not a hard-coded product constant.</w:t>
      </w:r>
    </w:p>
    <w:p>
      <w:pPr>
        <w:pStyle w:val="Heading2"/>
      </w:pPr>
      <w:r>
        <w:t>40.5 Production Truth Gate precision</w:t>
      </w:r>
    </w:p>
    <w:p>
      <w:r>
        <w:t>The worker-crash gate MUST kill after provider success but before durable local commit, then demonstrate lease expiry/redelivery, reconciliation-before-repeat, and zero duplicate external publications. A separate multi-session test submits two distinct idempotency keys for the same content_version_id and proves the logical publication-exclusivity constraint prevents a duplicate.</w:t>
      </w:r>
    </w:p>
    <w:p>
      <w:pPr>
        <w:pStyle w:val="Heading1"/>
      </w:pPr>
      <w:r>
        <w:t>41. Direct Confirmation Requested from Claude</w:t>
      </w:r>
    </w:p>
    <w:p>
      <w:r>
        <w:t>This is not a new broad adversarial review. Confirm only whether each patch below correctly closes the corresponding v0.3 finding. If any answer is NO, provide the exact implementation defect and primary-source evidence where the issue is platform-specific.</w:t>
      </w:r>
    </w:p>
    <w:p>
      <w:pPr>
        <w:pStyle w:val="ListNumber"/>
      </w:pPr>
      <w:r>
        <w:t>1. Does the database-level exclusivity rule for (workspace, account, platform, content_version_id), separate from Idempotency-Key, close the two-device/two-session duplicate-publication race without preventing an explicit republish/new-version flow?</w:t>
      </w:r>
    </w:p>
    <w:p>
      <w:pPr>
        <w:pStyle w:val="ListNumber"/>
      </w:pPr>
      <w:r>
        <w:t>2. Does the deletion manifest now explicitly cover observability/logs, CDN invalidation and read/search/vector replicas, with strong-consistency treatment for tombstones and external AI retention documented as a limitation?</w:t>
      </w:r>
    </w:p>
    <w:p>
      <w:pPr>
        <w:pStyle w:val="ListNumber"/>
      </w:pPr>
      <w:r>
        <w:t>3. Does durable client nonce storage plus unresolved-intent recovery close browser refresh/manual resend as far as the client can reasonably control?</w:t>
      </w:r>
    </w:p>
    <w:p>
      <w:pPr>
        <w:pStyle w:val="ListNumber"/>
      </w:pPr>
      <w:r>
        <w:t>4. Is the worker-crash Production Truth Gate now killed at the correct highest-risk point: provider success after external side effect, before durable PostgreSQL commit?</w:t>
      </w:r>
    </w:p>
    <w:p>
      <w:pPr>
        <w:pStyle w:val="ListNumber"/>
      </w:pPr>
      <w:r>
        <w:t>5. Is modality correctly included in the deny-by-default AI sensitivity-to-provider allowlist?</w:t>
      </w:r>
    </w:p>
    <w:p>
      <w:pPr>
        <w:pStyle w:val="ListNumber"/>
      </w:pPr>
      <w:r>
        <w:t>6. Confirm the Meta evidence status wording: reviewer primary-source verified, ChatGPT fetch attempt failed with 429, evidence_ref still mandatory in Capability Registry; 100 posts/rolling 24h treated as registry metadata rather than hard-coded behavior.</w:t>
      </w:r>
    </w:p>
    <w:p>
      <w:pPr>
        <w:pStyle w:val="ListNumber"/>
      </w:pPr>
      <w:r>
        <w:t>7. Final answer only: TECH SPEC v0.4 READY TO FREEZE or NOT READY. If NOT READY, list only defects introduced by or left unresolved in these patches.</w:t>
      </w:r>
    </w:p>
    <w:p>
      <w:pPr>
        <w:pStyle w:val="Heading1"/>
      </w:pPr>
      <w:r>
        <w:t>42. v0.4 Version Record</w:t>
      </w:r>
    </w:p>
    <w:p>
      <w:pPr>
        <w:pStyle w:val="ListBullet"/>
      </w:pPr>
      <w:r>
        <w:t>Added logical publication exclusivity per content_version_id in addition to request idempotency.</w:t>
      </w:r>
    </w:p>
    <w:p>
      <w:pPr>
        <w:pStyle w:val="ListBullet"/>
      </w:pPr>
      <w:r>
        <w:t>Extended deletion/purge manifest to logs/traces/observability, CDN caches and replicas; documented external AI-provider retention limitation.</w:t>
      </w:r>
    </w:p>
    <w:p>
      <w:pPr>
        <w:pStyle w:val="ListBullet"/>
      </w:pPr>
      <w:r>
        <w:t>Added durable client nonce recovery/UI duplicate-submit protection.</w:t>
      </w:r>
    </w:p>
    <w:p>
      <w:pPr>
        <w:pStyle w:val="ListBullet"/>
      </w:pPr>
      <w:r>
        <w:t>Precised worker-crash gate at provider-success/pre-durable-commit point.</w:t>
      </w:r>
    </w:p>
    <w:p>
      <w:pPr>
        <w:pStyle w:val="ListBullet"/>
      </w:pPr>
      <w:r>
        <w:t>Added modality to AI provider routing allowlist.</w:t>
      </w:r>
    </w:p>
    <w:p>
      <w:pPr>
        <w:pStyle w:val="ListBullet"/>
      </w:pPr>
      <w:r>
        <w:t>Recorded Claude Meta primary-source verification and ChatGPT independent fetch failure (HTTP 429) without converting the un-reproduced claim into independent verification.</w:t>
      </w:r>
    </w:p>
    <w:p>
      <w:pPr>
        <w:pStyle w:val="ListBullet"/>
      </w:pPr>
      <w:r>
        <w:t>Converted the next Claude step from broad review to direct closure confirmation.</w:t>
      </w:r>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Derived from frozen Concept v1.4.1 | Adversarial-review candidate | 26 Aug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GROWTH OS | TECHNICAL SPECIFICATION v0.4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