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GROWTH OS</w:t>
      </w:r>
    </w:p>
    <w:p>
      <w:pPr>
        <w:jc w:val="center"/>
      </w:pPr>
      <w:r>
        <w:rPr>
          <w:i/>
          <w:sz w:val="34"/>
        </w:rPr>
        <w:t>Global Organic Growth Intelligence Platform</w:t>
      </w:r>
    </w:p>
    <w:p>
      <w:pPr>
        <w:jc w:val="center"/>
      </w:pPr>
      <w:r>
        <w:t>Project Concept v1.4.1 - Concept Freeze &amp; Editorial Consistency Patch</w:t>
      </w:r>
    </w:p>
    <w:p/>
    <w:p>
      <w:pPr>
        <w:jc w:val="center"/>
      </w:pPr>
      <w:r>
        <w:rPr>
          <w:b/>
          <w:sz w:val="28"/>
        </w:rPr>
        <w:t>ONE INTELLIGENT FEED -&gt; DISCOVER -&gt; CREATE -&gt; MULTIPLY x</w:t>
      </w:r>
    </w:p>
    <w:p>
      <w:pPr>
        <w:jc w:val="center"/>
      </w:pPr>
      <w:r>
        <w:rPr>
          <w:i/>
        </w:rPr>
        <w:t>Global architecture from inception. Phased operational rollout.</w:t>
      </w:r>
    </w:p>
    <w:p>
      <w:r>
        <w:br w:type="page"/>
      </w:r>
    </w:p>
    <w:p>
      <w:pPr>
        <w:pStyle w:val="Heading1"/>
      </w:pPr>
      <w:r>
        <w:t>1. Executive Summary</w:t>
      </w:r>
    </w:p>
    <w:p>
      <w:r>
        <w:t>Version 1.4 freezes the complete Growth OS conceptual architecture after the final v1.3 review and integrates the remaining launch/specification conditions. This revision focuses on first-customer reliability, honest evidence labeling, explicit launch scope, raw-data instrumentation, agency ownership states, publication recovery and objective Production Truth Gates.</w:t>
      </w:r>
    </w:p>
    <w:p>
      <w:r>
        <w:t>Growth OS remains a simple, interactive, global AI growth teammate. The customer should experience one prioritized feed of actions and insights, while complex data, statistical, compliance and provider systems remain behind the interface.</w:t>
      </w:r>
    </w:p>
    <w:p>
      <w:pPr>
        <w:pStyle w:val="Heading1"/>
      </w:pPr>
      <w:r>
        <w:t>2. Non-Negotiable Product Principles</w:t>
      </w:r>
    </w:p>
    <w:p>
      <w:pPr>
        <w:pStyle w:val="ListBullet"/>
      </w:pPr>
      <w:r>
        <w:t>Global architecture from inception; market/platform coverage rolls out in validated phases.</w:t>
      </w:r>
    </w:p>
    <w:p>
      <w:pPr>
        <w:pStyle w:val="ListBullet"/>
      </w:pPr>
      <w:r>
        <w:t>Simple outcome promise and extremely low-friction interactive UX.</w:t>
      </w:r>
    </w:p>
    <w:p>
      <w:pPr>
        <w:pStyle w:val="ListBullet"/>
      </w:pPr>
      <w:r>
        <w:t>One intelligent feed as the default surface; internal modules should not create navigation burden.</w:t>
      </w:r>
    </w:p>
    <w:p>
      <w:pPr>
        <w:pStyle w:val="ListBullet"/>
      </w:pPr>
      <w:r>
        <w:t>Authentic organic growth only.</w:t>
      </w:r>
    </w:p>
    <w:p>
      <w:pPr>
        <w:pStyle w:val="ListBullet"/>
      </w:pPr>
      <w:r>
        <w:t>Connected-account outcomes are the primary proprietary learning foundation.</w:t>
      </w:r>
    </w:p>
    <w:p>
      <w:pPr>
        <w:pStyle w:val="ListBullet"/>
      </w:pPr>
      <w:r>
        <w:t>Open, licensed and contractually permitted sources augment - but do not secretly underpin - the product.</w:t>
      </w:r>
    </w:p>
    <w:p>
      <w:pPr>
        <w:pStyle w:val="ListBullet"/>
      </w:pPr>
      <w:r>
        <w:t>Every recommendation distinguishes evidence from inference and uncertainty when material.</w:t>
      </w:r>
    </w:p>
    <w:p>
      <w:pPr>
        <w:pStyle w:val="ListBullet"/>
      </w:pPr>
      <w:r>
        <w:t>Raw data required for future learning and causal analysis is instrumented from day one.</w:t>
      </w:r>
    </w:p>
    <w:p>
      <w:pPr>
        <w:pStyle w:val="ListBullet"/>
      </w:pPr>
      <w:r>
        <w:t>Provider/platform failure must degrade gracefully and visibly.</w:t>
      </w:r>
    </w:p>
    <w:p>
      <w:pPr>
        <w:pStyle w:val="ListBullet"/>
      </w:pPr>
      <w:r>
        <w:t>Doxa remains a benchmark, not an assumed architecture or cloning target.</w:t>
      </w:r>
    </w:p>
    <w:p>
      <w:pPr>
        <w:pStyle w:val="Heading1"/>
      </w:pPr>
      <w:r>
        <w:t>3. Customer Promise &amp; Mental Model</w:t>
      </w:r>
    </w:p>
    <w:p>
      <w:pPr>
        <w:jc w:val="center"/>
      </w:pPr>
      <w:r>
        <w:rPr>
          <w:b/>
          <w:sz w:val="32"/>
        </w:rPr>
        <w:t>Find what works. Multiply it.</w:t>
      </w:r>
    </w:p>
    <w:p>
      <w:r>
        <w:t>Internally the product uses DISCOVER, CREATE and MULTIPLY. Externally, these should appear as actions inside one continuous intelligent feed rather than three mandatory destinations.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Feed card type</w:t>
            </w:r>
          </w:p>
        </w:tc>
        <w:tc>
          <w:tcPr>
            <w:tcW w:type="dxa" w:w="5083"/>
            <w:vAlign w:val="center"/>
          </w:tcPr>
          <w:p>
            <w:r>
              <w:rPr>
                <w:b/>
              </w:rPr>
              <w:t>Typical customer action</w:t>
            </w:r>
          </w:p>
        </w:tc>
      </w:tr>
      <w:tr>
        <w:tc>
          <w:tcPr>
            <w:tcW w:type="dxa" w:w="5083"/>
            <w:vAlign w:val="top"/>
          </w:tcPr>
          <w:p>
            <w:r>
              <w:t>Opportunity</w:t>
            </w:r>
          </w:p>
        </w:tc>
        <w:tc>
          <w:tcPr>
            <w:tcW w:type="dxa" w:w="5083"/>
            <w:vAlign w:val="top"/>
          </w:tcPr>
          <w:p>
            <w:r>
              <w:t>Create now / Why this? / Ignore</w:t>
            </w:r>
          </w:p>
        </w:tc>
      </w:tr>
      <w:tr>
        <w:tc>
          <w:tcPr>
            <w:tcW w:type="dxa" w:w="5083"/>
            <w:vAlign w:val="top"/>
          </w:tcPr>
          <w:p>
            <w:r>
              <w:t>Content ready</w:t>
            </w:r>
          </w:p>
        </w:tc>
        <w:tc>
          <w:tcPr>
            <w:tcW w:type="dxa" w:w="5083"/>
            <w:vAlign w:val="top"/>
          </w:tcPr>
          <w:p>
            <w:r>
              <w:t>Approve / Edit / Regenerate</w:t>
            </w:r>
          </w:p>
        </w:tc>
      </w:tr>
      <w:tr>
        <w:tc>
          <w:tcPr>
            <w:tcW w:type="dxa" w:w="5083"/>
            <w:vAlign w:val="top"/>
          </w:tcPr>
          <w:p>
            <w:r>
              <w:t>Winner / promising pattern</w:t>
            </w:r>
          </w:p>
        </w:tc>
        <w:tc>
          <w:tcPr>
            <w:tcW w:type="dxa" w:w="5083"/>
            <w:vAlign w:val="top"/>
          </w:tcPr>
          <w:p>
            <w:r>
              <w:t>Multiply / Wait / Explain</w:t>
            </w:r>
          </w:p>
        </w:tc>
      </w:tr>
      <w:tr>
        <w:tc>
          <w:tcPr>
            <w:tcW w:type="dxa" w:w="5083"/>
            <w:vAlign w:val="top"/>
          </w:tcPr>
          <w:p>
            <w:r>
              <w:t>Insight (confirmed / account hypothesis / general market practice)</w:t>
            </w:r>
          </w:p>
        </w:tc>
        <w:tc>
          <w:tcPr>
            <w:tcW w:type="dxa" w:w="5083"/>
            <w:vAlign w:val="top"/>
          </w:tcPr>
          <w:p>
            <w:r>
              <w:t>Apply / Test / Save / View evidence</w:t>
            </w:r>
          </w:p>
        </w:tc>
      </w:tr>
      <w:tr>
        <w:tc>
          <w:tcPr>
            <w:tcW w:type="dxa" w:w="5083"/>
            <w:vAlign w:val="top"/>
          </w:tcPr>
          <w:p>
            <w:r>
              <w:t>Publication issue</w:t>
            </w:r>
          </w:p>
        </w:tc>
        <w:tc>
          <w:tcPr>
            <w:tcW w:type="dxa" w:w="5083"/>
            <w:vAlign w:val="top"/>
          </w:tcPr>
          <w:p>
            <w:r>
              <w:t>Reconnect / Retry / Change time</w:t>
            </w:r>
          </w:p>
        </w:tc>
      </w:tr>
      <w:tr>
        <w:tc>
          <w:tcPr>
            <w:tcW w:type="dxa" w:w="5083"/>
            <w:vAlign w:val="top"/>
          </w:tcPr>
          <w:p>
            <w:r>
              <w:t>No-signal state</w:t>
            </w:r>
          </w:p>
        </w:tc>
        <w:tc>
          <w:tcPr>
            <w:tcW w:type="dxa" w:w="5083"/>
            <w:vAlign w:val="top"/>
          </w:tcPr>
          <w:p>
            <w:r>
              <w:t>Keep learning / Create first experiment</w:t>
            </w:r>
          </w:p>
        </w:tc>
      </w:tr>
      <w:tr>
        <w:tc>
          <w:tcPr>
            <w:tcW w:type="dxa" w:w="5083"/>
            <w:vAlign w:val="top"/>
          </w:tcPr>
          <w:p>
            <w:r>
              <w:t>Market signal</w:t>
            </w:r>
          </w:p>
        </w:tc>
        <w:tc>
          <w:tcPr>
            <w:tcW w:type="dxa" w:w="5083"/>
            <w:vAlign w:val="top"/>
          </w:tcPr>
          <w:p>
            <w:r>
              <w:t>Use it / Watch it / Ignore</w:t>
            </w:r>
          </w:p>
        </w:tc>
      </w:tr>
    </w:tbl>
    <w:p/>
    <w:p>
      <w:pPr>
        <w:pStyle w:val="Heading1"/>
      </w:pPr>
      <w:r>
        <w:t>4. Release 1 Launch Gate - Revised</w:t>
      </w:r>
    </w:p>
    <w:p>
      <w:r>
        <w:t>Release 1 is ready for a first paying customer only when the following launch blockers are satisfied: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Launch blocker</w:t>
            </w:r>
          </w:p>
        </w:tc>
        <w:tc>
          <w:tcPr>
            <w:tcW w:type="dxa" w:w="5083"/>
            <w:vAlign w:val="center"/>
          </w:tcPr>
          <w:p>
            <w:r>
              <w:rPr>
                <w:b/>
              </w:rPr>
              <w:t>Ready-enough criterion</w:t>
            </w:r>
          </w:p>
        </w:tc>
      </w:tr>
      <w:tr>
        <w:tc>
          <w:tcPr>
            <w:tcW w:type="dxa" w:w="5083"/>
            <w:vAlign w:val="top"/>
          </w:tcPr>
          <w:p>
            <w:r>
              <w:t>Secure account connection</w:t>
            </w:r>
          </w:p>
        </w:tc>
        <w:tc>
          <w:tcPr>
            <w:tcW w:type="dxa" w:w="5083"/>
            <w:vAlign w:val="top"/>
          </w:tcPr>
          <w:p>
            <w:r>
              <w:t>Supported launch adapters authenticate, refresh/revoke tokens safely and expose connection health.</w:t>
            </w:r>
          </w:p>
        </w:tc>
      </w:tr>
      <w:tr>
        <w:tc>
          <w:tcPr>
            <w:tcW w:type="dxa" w:w="5083"/>
            <w:vAlign w:val="top"/>
          </w:tcPr>
          <w:p>
            <w:r>
              <w:t>Zero-history path</w:t>
            </w:r>
          </w:p>
        </w:tc>
        <w:tc>
          <w:tcPr>
            <w:tcW w:type="dxa" w:w="5083"/>
            <w:vAlign w:val="top"/>
          </w:tcPr>
          <w:p>
            <w:r>
              <w:t>A brand-new account can onboard and receive a useful experiment/content plan without imported history.</w:t>
            </w:r>
          </w:p>
        </w:tc>
      </w:tr>
      <w:tr>
        <w:tc>
          <w:tcPr>
            <w:tcW w:type="dxa" w:w="5083"/>
            <w:vAlign w:val="top"/>
          </w:tcPr>
          <w:p>
            <w:r>
              <w:t>Historical import when available</w:t>
            </w:r>
          </w:p>
        </w:tc>
        <w:tc>
          <w:tcPr>
            <w:tcW w:type="dxa" w:w="5083"/>
            <w:vAlign w:val="top"/>
          </w:tcPr>
          <w:p>
            <w:r>
              <w:t>Permitted owned history is ingested with provenance and timezone correctness.</w:t>
            </w:r>
          </w:p>
        </w:tc>
      </w:tr>
      <w:tr>
        <w:tc>
          <w:tcPr>
            <w:tcW w:type="dxa" w:w="5083"/>
            <w:vAlign w:val="top"/>
          </w:tcPr>
          <w:p>
            <w:r>
              <w:t>Create + publish reliability</w:t>
            </w:r>
          </w:p>
        </w:tc>
        <w:tc>
          <w:tcPr>
            <w:tcW w:type="dxa" w:w="5083"/>
            <w:vAlign w:val="top"/>
          </w:tcPr>
          <w:p>
            <w:r>
              <w:t>Customer can create/approve/publish; failures are idempotent, visible and recoverable.</w:t>
            </w:r>
          </w:p>
        </w:tc>
      </w:tr>
      <w:tr>
        <w:tc>
          <w:tcPr>
            <w:tcW w:type="dxa" w:w="5083"/>
            <w:vAlign w:val="top"/>
          </w:tcPr>
          <w:p>
            <w:r>
              <w:t>Raw outcome instrumentation</w:t>
            </w:r>
          </w:p>
        </w:tc>
        <w:tc>
          <w:tcPr>
            <w:tcW w:type="dxa" w:w="5083"/>
            <w:vAlign w:val="top"/>
          </w:tcPr>
          <w:p>
            <w:r>
              <w:t>Post-level raw metrics, timestamps and experiment lineage are retained for future reprocessing.</w:t>
            </w:r>
          </w:p>
        </w:tc>
      </w:tr>
      <w:tr>
        <w:tc>
          <w:tcPr>
            <w:tcW w:type="dxa" w:w="5083"/>
            <w:vAlign w:val="top"/>
          </w:tcPr>
          <w:p>
            <w:r>
              <w:t>Consent/disclosure</w:t>
            </w:r>
          </w:p>
        </w:tc>
        <w:tc>
          <w:tcPr>
            <w:tcW w:type="dxa" w:w="5083"/>
            <w:vAlign w:val="top"/>
          </w:tcPr>
          <w:p>
            <w:r>
              <w:t>Data contribution status is explicitly captured and timestamped during onboarding.</w:t>
            </w:r>
          </w:p>
        </w:tc>
      </w:tr>
      <w:tr>
        <w:tc>
          <w:tcPr>
            <w:tcW w:type="dxa" w:w="5083"/>
            <w:vAlign w:val="top"/>
          </w:tcPr>
          <w:p>
            <w:r>
              <w:t>Growth Brain v1</w:t>
            </w:r>
          </w:p>
        </w:tc>
        <w:tc>
          <w:tcPr>
            <w:tcW w:type="dxa" w:w="5083"/>
            <w:vAlign w:val="top"/>
          </w:tcPr>
          <w:p>
            <w:r>
              <w:t>Account-specific memory stores goals, brand/audience context, outcomes and learned insights.</w:t>
            </w:r>
          </w:p>
        </w:tc>
      </w:tr>
      <w:tr>
        <w:tc>
          <w:tcPr>
            <w:tcW w:type="dxa" w:w="5083"/>
            <w:vAlign w:val="top"/>
          </w:tcPr>
          <w:p>
            <w:r>
              <w:t>Opportunity/insight feed</w:t>
            </w:r>
          </w:p>
        </w:tc>
        <w:tc>
          <w:tcPr>
            <w:tcW w:type="dxa" w:w="5083"/>
            <w:vAlign w:val="top"/>
          </w:tcPr>
          <w:p>
            <w:r>
              <w:t>System can surface actionable cards based on available evidence, including 'insufficient signal' states.</w:t>
            </w:r>
          </w:p>
        </w:tc>
      </w:tr>
      <w:tr>
        <w:tc>
          <w:tcPr>
            <w:tcW w:type="dxa" w:w="5083"/>
            <w:vAlign w:val="top"/>
          </w:tcPr>
          <w:p>
            <w:r>
              <w:t>MULTIPLY v1 semi-assisted</w:t>
            </w:r>
          </w:p>
        </w:tc>
        <w:tc>
          <w:tcPr>
            <w:tcW w:type="dxa" w:w="5083"/>
            <w:vAlign w:val="top"/>
          </w:tcPr>
          <w:p>
            <w:r>
              <w:t>Detects promising/winning content, proposes variants and uses a conservative fixed similarity guard.</w:t>
            </w:r>
          </w:p>
        </w:tc>
      </w:tr>
      <w:tr>
        <w:tc>
          <w:tcPr>
            <w:tcW w:type="dxa" w:w="5083"/>
            <w:vAlign w:val="top"/>
          </w:tcPr>
          <w:p>
            <w:r>
              <w:t>Global-ready core</w:t>
            </w:r>
          </w:p>
        </w:tc>
        <w:tc>
          <w:tcPr>
            <w:tcW w:type="dxa" w:w="5083"/>
            <w:vAlign w:val="top"/>
          </w:tcPr>
          <w:p>
            <w:r>
              <w:t>Correct country/market/language/timezone dimensions + i18n skeleton + Capability Registry populated only for the 1-2 actual launch markets/platforms.</w:t>
            </w:r>
          </w:p>
        </w:tc>
      </w:tr>
      <w:tr>
        <w:tc>
          <w:tcPr>
            <w:tcW w:type="dxa" w:w="5083"/>
            <w:vAlign w:val="top"/>
          </w:tcPr>
          <w:p>
            <w:r>
              <w:t>Privacy/security baseline</w:t>
            </w:r>
          </w:p>
        </w:tc>
        <w:tc>
          <w:tcPr>
            <w:tcW w:type="dxa" w:w="5083"/>
            <w:vAlign w:val="top"/>
          </w:tcPr>
          <w:p>
            <w:r>
              <w:t>Tenant isolation, least privilege, auditability and applicable launch-market requirements.</w:t>
            </w:r>
          </w:p>
        </w:tc>
      </w:tr>
      <w:tr>
        <w:tc>
          <w:tcPr>
            <w:tcW w:type="dxa" w:w="5083"/>
            <w:vAlign w:val="top"/>
          </w:tcPr>
          <w:p>
            <w:r>
              <w:t>First-value UX</w:t>
            </w:r>
          </w:p>
        </w:tc>
        <w:tc>
          <w:tcPr>
            <w:tcW w:type="dxa" w:w="5083"/>
            <w:vAlign w:val="top"/>
          </w:tcPr>
          <w:p>
            <w:r>
              <w:t>New customer can reach a useful action/insight without training or a long tutorial.</w:t>
            </w:r>
          </w:p>
        </w:tc>
      </w:tr>
    </w:tbl>
    <w:p/>
    <w:p>
      <w:pPr>
        <w:pStyle w:val="Heading1"/>
      </w:pPr>
      <w:r>
        <w:t>5. What Does NOT Block Release 1</w:t>
      </w:r>
    </w:p>
    <w:p>
      <w:pPr>
        <w:pStyle w:val="ListBullet"/>
      </w:pPr>
      <w:r>
        <w:t>Full causal attribution for MULTIPLY.</w:t>
      </w:r>
    </w:p>
    <w:p>
      <w:pPr>
        <w:pStyle w:val="ListBullet"/>
      </w:pPr>
      <w:r>
        <w:t>Advanced hierarchical Bayesian modeling or MCMC.</w:t>
      </w:r>
    </w:p>
    <w:p>
      <w:pPr>
        <w:pStyle w:val="ListBullet"/>
      </w:pPr>
      <w:r>
        <w:t>Mature Global Growth Graph.</w:t>
      </w:r>
    </w:p>
    <w:p>
      <w:pPr>
        <w:pStyle w:val="ListBullet"/>
      </w:pPr>
      <w:r>
        <w:t>Broad licensed-data coverage.</w:t>
      </w:r>
    </w:p>
    <w:p>
      <w:pPr>
        <w:pStyle w:val="ListBullet"/>
      </w:pPr>
      <w:r>
        <w:t>Global Trend Migration across every market.</w:t>
      </w:r>
    </w:p>
    <w:p>
      <w:pPr>
        <w:pStyle w:val="ListBullet"/>
      </w:pPr>
      <w:r>
        <w:t>Full competitor intelligence on restricted platforms.</w:t>
      </w:r>
    </w:p>
    <w:p>
      <w:pPr>
        <w:pStyle w:val="ListBullet"/>
      </w:pPr>
      <w:r>
        <w:t>Autopilot.</w:t>
      </w:r>
    </w:p>
    <w:p>
      <w:pPr>
        <w:pStyle w:val="ListBullet"/>
      </w:pPr>
      <w:r>
        <w:t>Dynamic per-format similarity thresholds.</w:t>
      </w:r>
    </w:p>
    <w:p>
      <w:pPr>
        <w:pStyle w:val="ListBullet"/>
      </w:pPr>
      <w:r>
        <w:t>Automatic Explore/Consolidate bandit optimization.</w:t>
      </w:r>
    </w:p>
    <w:p>
      <w:pPr>
        <w:pStyle w:val="ListBullet"/>
      </w:pPr>
      <w:r>
        <w:t>Coverage of every target country or social network.</w:t>
      </w:r>
    </w:p>
    <w:p>
      <w:pPr>
        <w:pStyle w:val="Heading1"/>
      </w:pPr>
      <w:r>
        <w:t>6. Zero-History Customer Flow - NEW LAUNCH BLOCKER</w:t>
      </w:r>
    </w:p>
    <w:p>
      <w:r>
        <w:t>The product must explicitly support a customer who connects a brand-new account with no usable posting history.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Step</w:t>
            </w:r>
          </w:p>
        </w:tc>
        <w:tc>
          <w:tcPr>
            <w:tcW w:type="dxa" w:w="5083"/>
            <w:vAlign w:val="center"/>
          </w:tcPr>
          <w:p>
            <w:r>
              <w:rPr>
                <w:b/>
              </w:rPr>
              <w:t>Experience</w:t>
            </w:r>
          </w:p>
        </w:tc>
      </w:tr>
      <w:tr>
        <w:tc>
          <w:tcPr>
            <w:tcW w:type="dxa" w:w="5083"/>
            <w:vAlign w:val="top"/>
          </w:tcPr>
          <w:p>
            <w:r>
              <w:t>1. Connect</w:t>
            </w:r>
          </w:p>
        </w:tc>
        <w:tc>
          <w:tcPr>
            <w:tcW w:type="dxa" w:w="5083"/>
            <w:vAlign w:val="top"/>
          </w:tcPr>
          <w:p>
            <w:r>
              <w:t>System detects insufficient/no historical data and says so plainly.</w:t>
            </w:r>
          </w:p>
        </w:tc>
      </w:tr>
      <w:tr>
        <w:tc>
          <w:tcPr>
            <w:tcW w:type="dxa" w:w="5083"/>
            <w:vAlign w:val="top"/>
          </w:tcPr>
          <w:p>
            <w:r>
              <w:t>2. Understand</w:t>
            </w:r>
          </w:p>
        </w:tc>
        <w:tc>
          <w:tcPr>
            <w:tcW w:type="dxa" w:w="5083"/>
            <w:vAlign w:val="top"/>
          </w:tcPr>
          <w:p>
            <w:r>
              <w:t>Capture objective, audience, market, brand voice, available assets and constraints.</w:t>
            </w:r>
          </w:p>
        </w:tc>
      </w:tr>
      <w:tr>
        <w:tc>
          <w:tcPr>
            <w:tcW w:type="dxa" w:w="5083"/>
            <w:vAlign w:val="top"/>
          </w:tcPr>
          <w:p>
            <w:r>
              <w:t>3. Seed intelligence</w:t>
            </w:r>
          </w:p>
        </w:tc>
        <w:tc>
          <w:tcPr>
            <w:tcW w:type="dxa" w:w="5083"/>
            <w:vAlign w:val="top"/>
          </w:tcPr>
          <w:p>
            <w:r>
              <w:t>Use permitted open context, general priors, customer-provided examples and launch-market intelligence.</w:t>
            </w:r>
          </w:p>
        </w:tc>
      </w:tr>
      <w:tr>
        <w:tc>
          <w:tcPr>
            <w:tcW w:type="dxa" w:w="5083"/>
            <w:vAlign w:val="top"/>
          </w:tcPr>
          <w:p>
            <w:r>
              <w:t>4. Create learning plan</w:t>
            </w:r>
          </w:p>
        </w:tc>
        <w:tc>
          <w:tcPr>
            <w:tcW w:type="dxa" w:w="5083"/>
            <w:vAlign w:val="top"/>
          </w:tcPr>
          <w:p>
            <w:r>
              <w:t>Recommend a small first set of content experiments rather than pretending to know what already works.</w:t>
            </w:r>
          </w:p>
        </w:tc>
      </w:tr>
      <w:tr>
        <w:tc>
          <w:tcPr>
            <w:tcW w:type="dxa" w:w="5083"/>
            <w:vAlign w:val="top"/>
          </w:tcPr>
          <w:p>
            <w:r>
              <w:t>5. Publish &amp; observe</w:t>
            </w:r>
          </w:p>
        </w:tc>
        <w:tc>
          <w:tcPr>
            <w:tcW w:type="dxa" w:w="5083"/>
            <w:vAlign w:val="top"/>
          </w:tcPr>
          <w:p>
            <w:r>
              <w:t>Capture outcomes from the first posts.</w:t>
            </w:r>
          </w:p>
        </w:tc>
      </w:tr>
      <w:tr>
        <w:tc>
          <w:tcPr>
            <w:tcW w:type="dxa" w:w="5083"/>
            <w:vAlign w:val="top"/>
          </w:tcPr>
          <w:p>
            <w:r>
              <w:t>6. Learn</w:t>
            </w:r>
          </w:p>
        </w:tc>
        <w:tc>
          <w:tcPr>
            <w:tcW w:type="dxa" w:w="5083"/>
            <w:vAlign w:val="top"/>
          </w:tcPr>
          <w:p>
            <w:r>
              <w:t>Replace generic priors progressively with account-specific evidence.</w:t>
            </w:r>
          </w:p>
        </w:tc>
      </w:tr>
      <w:tr>
        <w:tc>
          <w:tcPr>
            <w:tcW w:type="dxa" w:w="5083"/>
            <w:vAlign w:val="top"/>
          </w:tcPr>
          <w:p>
            <w:r>
              <w:t>7. Communicate</w:t>
            </w:r>
          </w:p>
        </w:tc>
        <w:tc>
          <w:tcPr>
            <w:tcW w:type="dxa" w:w="5083"/>
            <w:vAlign w:val="top"/>
          </w:tcPr>
          <w:p>
            <w:r>
              <w:t>UI says 'We are learning with you' and shows what evidence has been accumulated.</w:t>
            </w:r>
          </w:p>
        </w:tc>
      </w:tr>
    </w:tbl>
    <w:p/>
    <w:p>
      <w:r>
        <w:t>The system must never fabricate a personalized insight merely to avoid showing that data is insufficient.</w:t>
      </w:r>
    </w:p>
    <w:p>
      <w:pPr>
        <w:pStyle w:val="Heading1"/>
      </w:pPr>
      <w:r>
        <w:t>7. Publication Failure &amp; Token-Recovery Flow - NEW LAUNCH BLOCKER</w:t>
      </w:r>
    </w:p>
    <w:p>
      <w:pPr>
        <w:pStyle w:val="ListBullet"/>
      </w:pPr>
      <w:r>
        <w:t>Every publication request receives an idempotency key and durable status.</w:t>
      </w:r>
    </w:p>
    <w:p>
      <w:pPr>
        <w:pStyle w:val="ListBullet"/>
      </w:pPr>
      <w:r>
        <w:t>Statuses distinguish queued, sent, confirmed, failed, retrying, needs-user-action and cancelled.</w:t>
      </w:r>
    </w:p>
    <w:p>
      <w:pPr>
        <w:pStyle w:val="ListBullet"/>
      </w:pPr>
      <w:r>
        <w:t>Transient provider/rate-limit failures retry safely with bounded backoff.</w:t>
      </w:r>
    </w:p>
    <w:p>
      <w:pPr>
        <w:pStyle w:val="ListBullet"/>
      </w:pPr>
      <w:r>
        <w:t>Expired/revoked permissions produce a visible reconnect card with the affected platform and action.</w:t>
      </w:r>
    </w:p>
    <w:p>
      <w:pPr>
        <w:pStyle w:val="ListBullet"/>
      </w:pPr>
      <w:r>
        <w:t>Never silently mark a failed publication as published.</w:t>
      </w:r>
    </w:p>
    <w:p>
      <w:pPr>
        <w:pStyle w:val="ListBullet"/>
      </w:pPr>
      <w:r>
        <w:t>Customer can retry after reconnect without creating duplicate posts.</w:t>
      </w:r>
    </w:p>
    <w:p>
      <w:pPr>
        <w:pStyle w:val="ListBullet"/>
      </w:pPr>
      <w:r>
        <w:t>Provider outage or degraded capability appears in the feed/status layer rather than as a mysterious failure.</w:t>
      </w:r>
    </w:p>
    <w:p>
      <w:pPr>
        <w:pStyle w:val="ListBullet"/>
      </w:pPr>
      <w:r>
        <w:t>Capability Registry and adapter health determine whether an action is offered at all.</w:t>
      </w:r>
    </w:p>
    <w:p>
      <w:pPr>
        <w:pStyle w:val="Heading1"/>
      </w:pPr>
      <w:r>
        <w:t>8. First Session to Day 7 - Revised Aha Moment</w:t>
      </w:r>
    </w:p>
    <w:p>
      <w:r>
        <w:t>The week-one goal is no longer 'find a winner'. It is:</w:t>
      </w:r>
    </w:p>
    <w:p>
      <w:pPr>
        <w:jc w:val="center"/>
      </w:pPr>
      <w:r>
        <w:t>By Day 7, deliver at least one actionable insight with honest evidence labeling. 'Confirmed for your account' is reserved for owned-account evidence that satisfies a metric-specific evidence rule; external/general evidence is labeled as market/sector practice or hypothesis, never as account-confirmed.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Moment</w:t>
            </w:r>
          </w:p>
        </w:tc>
        <w:tc>
          <w:tcPr>
            <w:tcW w:type="dxa" w:w="5083"/>
            <w:vAlign w:val="center"/>
          </w:tcPr>
          <w:p>
            <w:r>
              <w:rPr>
                <w:b/>
              </w:rPr>
              <w:t>Target experience</w:t>
            </w:r>
          </w:p>
        </w:tc>
      </w:tr>
      <w:tr>
        <w:tc>
          <w:tcPr>
            <w:tcW w:type="dxa" w:w="5083"/>
            <w:vAlign w:val="top"/>
          </w:tcPr>
          <w:p>
            <w:r>
              <w:t>First session</w:t>
            </w:r>
          </w:p>
        </w:tc>
        <w:tc>
          <w:tcPr>
            <w:tcW w:type="dxa" w:w="5083"/>
            <w:vAlign w:val="top"/>
          </w:tcPr>
          <w:p>
            <w:r>
              <w:t>Connect account; analyze available history or activate zero-history path; produce first useful card/action.</w:t>
            </w:r>
          </w:p>
        </w:tc>
      </w:tr>
      <w:tr>
        <w:tc>
          <w:tcPr>
            <w:tcW w:type="dxa" w:w="5083"/>
            <w:vAlign w:val="top"/>
          </w:tcPr>
          <w:p>
            <w:r>
              <w:t>Day 1-2</w:t>
            </w:r>
          </w:p>
        </w:tc>
        <w:tc>
          <w:tcPr>
            <w:tcW w:type="dxa" w:w="5083"/>
            <w:vAlign w:val="top"/>
          </w:tcPr>
          <w:p>
            <w:r>
              <w:t>Create/publish first recommended content or experiment.</w:t>
            </w:r>
          </w:p>
        </w:tc>
      </w:tr>
      <w:tr>
        <w:tc>
          <w:tcPr>
            <w:tcW w:type="dxa" w:w="5083"/>
            <w:vAlign w:val="top"/>
          </w:tcPr>
          <w:p>
            <w:r>
              <w:t>Day 2-5</w:t>
            </w:r>
          </w:p>
        </w:tc>
        <w:tc>
          <w:tcPr>
            <w:tcW w:type="dxa" w:w="5083"/>
            <w:vAlign w:val="top"/>
          </w:tcPr>
          <w:p>
            <w:r>
              <w:t>Measure outcomes and update baseline/memory.</w:t>
            </w:r>
          </w:p>
        </w:tc>
      </w:tr>
      <w:tr>
        <w:tc>
          <w:tcPr>
            <w:tcW w:type="dxa" w:w="5083"/>
            <w:vAlign w:val="top"/>
          </w:tcPr>
          <w:p>
            <w:r>
              <w:t>Day 3-7</w:t>
            </w:r>
          </w:p>
        </w:tc>
        <w:tc>
          <w:tcPr>
            <w:tcW w:type="dxa" w:w="5083"/>
            <w:vAlign w:val="top"/>
          </w:tcPr>
          <w:p>
            <w:r>
              <w:t>Surface at least one actionable insight with one of the three evidence states: Confirmed for your account / Account hypothesis - still learning / General market practice. MULTIPLY only if evidence supports a promising/winning pattern.</w:t>
            </w:r>
          </w:p>
        </w:tc>
      </w:tr>
      <w:tr>
        <w:tc>
          <w:tcPr>
            <w:tcW w:type="dxa" w:w="5083"/>
            <w:vAlign w:val="top"/>
          </w:tcPr>
          <w:p>
            <w:r>
              <w:t>End of week</w:t>
            </w:r>
          </w:p>
        </w:tc>
        <w:tc>
          <w:tcPr>
            <w:tcW w:type="dxa" w:w="5083"/>
            <w:vAlign w:val="top"/>
          </w:tcPr>
          <w:p>
            <w:r>
              <w:t>Show a concise 'What we learned about your audience this week' summary.</w:t>
            </w:r>
          </w:p>
        </w:tc>
      </w:tr>
    </w:tbl>
    <w:p/>
    <w:p>
      <w:r>
        <w:t>A breakout winner is a bonus, not a requirement for week-one success.</w:t>
      </w:r>
    </w:p>
    <w:p>
      <w:pPr>
        <w:pStyle w:val="Heading1"/>
      </w:pPr>
      <w:r>
        <w:t>9. Data Intelligence Layers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Layer</w:t>
            </w:r>
          </w:p>
        </w:tc>
        <w:tc>
          <w:tcPr>
            <w:tcW w:type="dxa" w:w="5083"/>
            <w:vAlign w:val="center"/>
          </w:tcPr>
          <w:p>
            <w:r>
              <w:rPr>
                <w:b/>
              </w:rPr>
              <w:t>Role</w:t>
            </w:r>
          </w:p>
        </w:tc>
      </w:tr>
      <w:tr>
        <w:tc>
          <w:tcPr>
            <w:tcW w:type="dxa" w:w="5083"/>
            <w:vAlign w:val="top"/>
          </w:tcPr>
          <w:p>
            <w:r>
              <w:t>A - Customer Intelligence</w:t>
            </w:r>
          </w:p>
        </w:tc>
        <w:tc>
          <w:tcPr>
            <w:tcW w:type="dxa" w:w="5083"/>
            <w:vAlign w:val="top"/>
          </w:tcPr>
          <w:p>
            <w:r>
              <w:t>Connected-account history, content and outcomes; deepest account-specific source.</w:t>
            </w:r>
          </w:p>
        </w:tc>
      </w:tr>
      <w:tr>
        <w:tc>
          <w:tcPr>
            <w:tcW w:type="dxa" w:w="5083"/>
            <w:vAlign w:val="top"/>
          </w:tcPr>
          <w:p>
            <w:r>
              <w:t>B - Network Intelligence</w:t>
            </w:r>
          </w:p>
        </w:tc>
        <w:tc>
          <w:tcPr>
            <w:tcW w:type="dxa" w:w="5083"/>
            <w:vAlign w:val="top"/>
          </w:tcPr>
          <w:p>
            <w:r>
              <w:t>Governed aggregate learning from contributing customers; only when privacy/contract/statistical gates are met.</w:t>
            </w:r>
          </w:p>
        </w:tc>
      </w:tr>
      <w:tr>
        <w:tc>
          <w:tcPr>
            <w:tcW w:type="dxa" w:w="5083"/>
            <w:vAlign w:val="top"/>
          </w:tcPr>
          <w:p>
            <w:r>
              <w:t>C - Open Intelligence</w:t>
            </w:r>
          </w:p>
        </w:tc>
        <w:tc>
          <w:tcPr>
            <w:tcW w:type="dxa" w:w="5083"/>
            <w:vAlign w:val="top"/>
          </w:tcPr>
          <w:p>
            <w:r>
              <w:t>Permitted public/open sources for context and cold start.</w:t>
            </w:r>
          </w:p>
        </w:tc>
      </w:tr>
      <w:tr>
        <w:tc>
          <w:tcPr>
            <w:tcW w:type="dxa" w:w="5083"/>
            <w:vAlign w:val="top"/>
          </w:tcPr>
          <w:p>
            <w:r>
              <w:t>D - Licensed Intelligence</w:t>
            </w:r>
          </w:p>
        </w:tc>
        <w:tc>
          <w:tcPr>
            <w:tcW w:type="dxa" w:w="5083"/>
            <w:vAlign w:val="top"/>
          </w:tcPr>
          <w:p>
            <w:r>
              <w:t>Commercial sources used selectively when value exceeds cost and rights are explicit.</w:t>
            </w:r>
          </w:p>
        </w:tc>
      </w:tr>
      <w:tr>
        <w:tc>
          <w:tcPr>
            <w:tcW w:type="dxa" w:w="5083"/>
            <w:vAlign w:val="top"/>
          </w:tcPr>
          <w:p>
            <w:r>
              <w:t>E - Platform-Specific Signals</w:t>
            </w:r>
          </w:p>
        </w:tc>
        <w:tc>
          <w:tcPr>
            <w:tcW w:type="dxa" w:w="5083"/>
            <w:vAlign w:val="top"/>
          </w:tcPr>
          <w:p>
            <w:r>
              <w:t>Official/contractually permitted external capabilities; availability varies by platform/region/plan.</w:t>
            </w:r>
          </w:p>
        </w:tc>
      </w:tr>
    </w:tbl>
    <w:p/>
    <w:p>
      <w:r>
        <w:t>No product promise may assume that Layer E offers broad third-party visibility.</w:t>
      </w:r>
    </w:p>
    <w:p>
      <w:pPr>
        <w:pStyle w:val="Heading1"/>
      </w:pPr>
      <w:r>
        <w:t>10. Governance Framework - Private / Aggregated / Global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Class</w:t>
            </w:r>
          </w:p>
        </w:tc>
        <w:tc>
          <w:tcPr>
            <w:tcW w:type="dxa" w:w="5083"/>
            <w:vAlign w:val="center"/>
          </w:tcPr>
          <w:p>
            <w:r>
              <w:rPr>
                <w:b/>
              </w:rPr>
              <w:t>Rule</w:t>
            </w:r>
          </w:p>
        </w:tc>
      </w:tr>
      <w:tr>
        <w:tc>
          <w:tcPr>
            <w:tcW w:type="dxa" w:w="5083"/>
            <w:vAlign w:val="top"/>
          </w:tcPr>
          <w:p>
            <w:r>
              <w:t>Private Intelligence</w:t>
            </w:r>
          </w:p>
        </w:tc>
        <w:tc>
          <w:tcPr>
            <w:tcW w:type="dxa" w:w="5083"/>
            <w:vAlign w:val="top"/>
          </w:tcPr>
          <w:p>
            <w:r>
              <w:t>Tenant/account knowledge used for that customer's benefit.</w:t>
            </w:r>
          </w:p>
        </w:tc>
      </w:tr>
      <w:tr>
        <w:tc>
          <w:tcPr>
            <w:tcW w:type="dxa" w:w="5083"/>
            <w:vAlign w:val="top"/>
          </w:tcPr>
          <w:p>
            <w:r>
              <w:t>Aggregated Intelligence</w:t>
            </w:r>
          </w:p>
        </w:tc>
        <w:tc>
          <w:tcPr>
            <w:tcW w:type="dxa" w:w="5083"/>
            <w:vAlign w:val="top"/>
          </w:tcPr>
          <w:p>
            <w:r>
              <w:t>Materialized cohort statistics only after contribution, legal, privacy and statistical gates.</w:t>
            </w:r>
          </w:p>
        </w:tc>
      </w:tr>
      <w:tr>
        <w:tc>
          <w:tcPr>
            <w:tcW w:type="dxa" w:w="5083"/>
            <w:vAlign w:val="top"/>
          </w:tcPr>
          <w:p>
            <w:r>
              <w:t>Global Intelligence</w:t>
            </w:r>
          </w:p>
        </w:tc>
        <w:tc>
          <w:tcPr>
            <w:tcW w:type="dxa" w:w="5083"/>
            <w:vAlign w:val="top"/>
          </w:tcPr>
          <w:p>
            <w:r>
              <w:t>Broad priors/benchmarks from sufficiently governed aggregate/open/licensed evidence.</w:t>
            </w:r>
          </w:p>
        </w:tc>
      </w:tr>
    </w:tbl>
    <w:p/>
    <w:p>
      <w:pPr>
        <w:pStyle w:val="ListBullet"/>
      </w:pPr>
      <w:r>
        <w:t>Contribution choice is captured explicitly per tenant/workspace and is revisit-able.</w:t>
      </w:r>
    </w:p>
    <w:p>
      <w:pPr>
        <w:pStyle w:val="ListBullet"/>
      </w:pPr>
      <w:r>
        <w:t>Initial default should be conservative/off unless launch-region legal/product review supports another approach.</w:t>
      </w:r>
    </w:p>
    <w:p>
      <w:pPr>
        <w:pStyle w:val="ListBullet"/>
      </w:pPr>
      <w:r>
        <w:t>Aggregation runs in controlled batch jobs rather than ad-hoc cross-tenant queries.</w:t>
      </w:r>
    </w:p>
    <w:p>
      <w:pPr>
        <w:pStyle w:val="ListBullet"/>
      </w:pPr>
      <w:r>
        <w:t>Aggregate storage should be structurally separated; schema should not require tenant_id for materialized cohort statistics.</w:t>
      </w:r>
    </w:p>
    <w:p>
      <w:pPr>
        <w:pStyle w:val="ListBullet"/>
      </w:pPr>
      <w:r>
        <w:t>Aggregate reads are auditable.</w:t>
      </w:r>
    </w:p>
    <w:p>
      <w:pPr>
        <w:pStyle w:val="ListBullet"/>
      </w:pPr>
      <w:r>
        <w:t>Cohort threshold, retention, recency half-life, sensitive dimensions and statistical-noise policy are configurable.</w:t>
      </w:r>
    </w:p>
    <w:p>
      <w:pPr>
        <w:pStyle w:val="ListBullet"/>
      </w:pPr>
      <w:r>
        <w:t>Sensitive verticals may require stricter thresholds or exclusion.</w:t>
      </w:r>
    </w:p>
    <w:p>
      <w:pPr>
        <w:pStyle w:val="Heading1"/>
      </w:pPr>
      <w:r>
        <w:t>11. Agency / Enterprise Consent Chain - NEW</w:t>
      </w:r>
    </w:p>
    <w:p>
      <w:r>
        <w:t>For agency-managed accounts, workspace control by the agency does not automatically establish rights to contribute the end client's data to network learning.</w:t>
      </w:r>
    </w:p>
    <w:p>
      <w:pPr>
        <w:pStyle w:val="ListBullet"/>
      </w:pPr>
      <w:r>
        <w:t>Agency contract must disclose Growth OS data processing/contribution rules.</w:t>
      </w:r>
    </w:p>
    <w:p>
      <w:pPr>
        <w:pStyle w:val="ListBullet"/>
      </w:pPr>
      <w:r>
        <w:t>Agency must warrant or establish the necessary authority/coverage for each end-client account it connects.</w:t>
      </w:r>
    </w:p>
    <w:p>
      <w:pPr>
        <w:pStyle w:val="ListBullet"/>
      </w:pPr>
      <w:r>
        <w:t>Contribution eligibility is tracked at the underlying managed-account level when required, not merely workspace level.</w:t>
      </w:r>
    </w:p>
    <w:p>
      <w:pPr>
        <w:pStyle w:val="ListBullet"/>
      </w:pPr>
      <w:r>
        <w:t>Accounts lacking the required contractual chain remain Private Intelligence only.</w:t>
      </w:r>
    </w:p>
    <w:p>
      <w:pPr>
        <w:pStyle w:val="ListBullet"/>
      </w:pPr>
      <w:r>
        <w:t>Before mature Network Intelligence / Release 2, legal review must validate the second-order consent/authority mechanism for each launch region.</w:t>
      </w:r>
    </w:p>
    <w:p>
      <w:pPr>
        <w:pStyle w:val="Heading1"/>
      </w:pPr>
      <w:r>
        <w:t>12. Raw Data Instrumentation - DAY-1 REQUIREMENT</w:t>
      </w:r>
    </w:p>
    <w:p>
      <w:r>
        <w:t>The following must be stored from day one because reconstructing it later may be impossible or expensive:</w:t>
      </w:r>
    </w:p>
    <w:p>
      <w:pPr>
        <w:pStyle w:val="ListBullet"/>
      </w:pPr>
      <w:r>
        <w:t>Exact publication timestamp and timezone.</w:t>
      </w:r>
    </w:p>
    <w:p>
      <w:pPr>
        <w:pStyle w:val="ListBullet"/>
      </w:pPr>
      <w:r>
        <w:t>Raw post-level metric observations with observation timestamp, not only precomputed aggregates.</w:t>
      </w:r>
    </w:p>
    <w:p>
      <w:pPr>
        <w:pStyle w:val="ListBullet"/>
      </w:pPr>
      <w:r>
        <w:t>Platform/account/content identifiers and adapter/provider provenance.</w:t>
      </w:r>
    </w:p>
    <w:p>
      <w:pPr>
        <w:pStyle w:val="ListBullet"/>
      </w:pPr>
      <w:r>
        <w:t>Original content -&gt; multiplied variant lineage, including multiplication_eligible_at and multiplication_released_at for every candidate variant, including candidates never released.</w:t>
      </w:r>
    </w:p>
    <w:p>
      <w:pPr>
        <w:pStyle w:val="ListBullet"/>
      </w:pPr>
      <w:r>
        <w:t>Experiment/hypothesis identifier when applicable.</w:t>
      </w:r>
    </w:p>
    <w:p>
      <w:pPr>
        <w:pStyle w:val="ListBullet"/>
      </w:pPr>
      <w:r>
        <w:t>Explore/Consolidate state or exploration weight at publication time.</w:t>
      </w:r>
    </w:p>
    <w:p>
      <w:pPr>
        <w:pStyle w:val="ListBullet"/>
      </w:pPr>
      <w:r>
        <w:t>Opportunities/cards shown, accepted, ignored or dismissed.</w:t>
      </w:r>
    </w:p>
    <w:p>
      <w:pPr>
        <w:pStyle w:val="ListBullet"/>
      </w:pPr>
      <w:r>
        <w:t>Recommendation/model/version used for the decision where feasible.</w:t>
      </w:r>
    </w:p>
    <w:p>
      <w:pPr>
        <w:pStyle w:val="ListBullet"/>
      </w:pPr>
      <w:r>
        <w:t>Consent/contribution status with effective timestamps.</w:t>
      </w:r>
    </w:p>
    <w:p>
      <w:pPr>
        <w:pStyle w:val="ListBullet"/>
      </w:pPr>
      <w:r>
        <w:t>Publication attempts, provider responses and recovery events.</w:t>
      </w:r>
    </w:p>
    <w:p>
      <w:pPr>
        <w:pStyle w:val="ListBullet"/>
      </w:pPr>
      <w:r>
        <w:t>Signals that could later support platform regime-shift detection.</w:t>
      </w:r>
    </w:p>
    <w:p>
      <w:pPr>
        <w:pStyle w:val="Heading1"/>
      </w:pPr>
      <w:r>
        <w:t>13. Cohort Graduation - Revised</w:t>
      </w:r>
    </w:p>
    <w:p>
      <w:r>
        <w:t>30 accounts / 90 days remains an initial safety floor, not the universal graduation rule. A cohort becomes usable for a given metric only when both minimum governance floors and metric-specific precision requirements are satisfied.</w:t>
      </w:r>
    </w:p>
    <w:p>
      <w:pPr>
        <w:pStyle w:val="ListBullet"/>
      </w:pPr>
      <w:r>
        <w:t>Minimum distinct contributing accounts floor remains configurable.</w:t>
      </w:r>
    </w:p>
    <w:p>
      <w:pPr>
        <w:pStyle w:val="ListBullet"/>
      </w:pPr>
      <w:r>
        <w:t>Minimum observation period remains configurable.</w:t>
      </w:r>
    </w:p>
    <w:p>
      <w:pPr>
        <w:pStyle w:val="ListBullet"/>
      </w:pPr>
      <w:r>
        <w:t>Primary statistical gate: target uncertainty/standard-error or interval-width requirement for the metric.</w:t>
      </w:r>
    </w:p>
    <w:p>
      <w:pPr>
        <w:pStyle w:val="ListBullet"/>
      </w:pPr>
      <w:r>
        <w:t>No cohort insight is displayed when precision is inadequate.</w:t>
      </w:r>
    </w:p>
    <w:p>
      <w:pPr>
        <w:pStyle w:val="ListBullet"/>
      </w:pPr>
      <w:r>
        <w:t>Different metrics may graduate at different times within the same cohort.</w:t>
      </w:r>
    </w:p>
    <w:p>
      <w:pPr>
        <w:pStyle w:val="ListBullet"/>
      </w:pPr>
      <w:r>
        <w:t>Small/sensitive cohorts require stricter thresholds.</w:t>
      </w:r>
    </w:p>
    <w:p>
      <w:pPr>
        <w:pStyle w:val="Heading1"/>
      </w:pPr>
      <w:r>
        <w:t>14. Statistical Learning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Stage</w:t>
            </w:r>
          </w:p>
        </w:tc>
        <w:tc>
          <w:tcPr>
            <w:tcW w:type="dxa" w:w="5083"/>
            <w:vAlign w:val="center"/>
          </w:tcPr>
          <w:p>
            <w:r>
              <w:rPr>
                <w:b/>
              </w:rPr>
              <w:t>Method</w:t>
            </w:r>
          </w:p>
        </w:tc>
      </w:tr>
      <w:tr>
        <w:tc>
          <w:tcPr>
            <w:tcW w:type="dxa" w:w="5083"/>
            <w:vAlign w:val="top"/>
          </w:tcPr>
          <w:p>
            <w:r>
              <w:t>Release 1</w:t>
            </w:r>
          </w:p>
        </w:tc>
        <w:tc>
          <w:tcPr>
            <w:tcW w:type="dxa" w:w="5083"/>
            <w:vAlign w:val="top"/>
          </w:tcPr>
          <w:p>
            <w:r>
              <w:t>Simple account baselines, categorical confidence, minimum-sample gates.</w:t>
            </w:r>
          </w:p>
        </w:tc>
      </w:tr>
      <w:tr>
        <w:tc>
          <w:tcPr>
            <w:tcW w:type="dxa" w:w="5083"/>
            <w:vAlign w:val="top"/>
          </w:tcPr>
          <w:p>
            <w:r>
              <w:t>Release 1.x</w:t>
            </w:r>
          </w:p>
        </w:tc>
        <w:tc>
          <w:tcPr>
            <w:tcW w:type="dxa" w:w="5083"/>
            <w:vAlign w:val="top"/>
          </w:tcPr>
          <w:p>
            <w:r>
              <w:t>Empirical Bayes/shrinkage for suitable rates; Beta-Binomial/Wilson-style intervals where appropriate.</w:t>
            </w:r>
          </w:p>
        </w:tc>
      </w:tr>
      <w:tr>
        <w:tc>
          <w:tcPr>
            <w:tcW w:type="dxa" w:w="5083"/>
            <w:vAlign w:val="top"/>
          </w:tcPr>
          <w:p>
            <w:r>
              <w:t>Release 2+</w:t>
            </w:r>
          </w:p>
        </w:tc>
        <w:tc>
          <w:tcPr>
            <w:tcW w:type="dxa" w:w="5083"/>
            <w:vAlign w:val="top"/>
          </w:tcPr>
          <w:p>
            <w:r>
              <w:t>More advanced hierarchical models only when outcome volume and measurable value justify them.</w:t>
            </w:r>
          </w:p>
        </w:tc>
      </w:tr>
    </w:tbl>
    <w:p/>
    <w:p>
      <w:r>
        <w:t>Shrinkage should pull sparse account estimates toward broader priors and expose 'insufficient data' instead of false precision. No MCMC is required to launch.</w:t>
      </w:r>
    </w:p>
    <w:p>
      <w:pPr>
        <w:pStyle w:val="Heading1"/>
      </w:pPr>
      <w:r>
        <w:t>15. MULTIPLY v1 &amp; Causal Maturity</w:t>
      </w:r>
    </w:p>
    <w:p>
      <w:r>
        <w:t>Release 1 MULTIPLY is deliberately semi-assisted:</w:t>
      </w:r>
    </w:p>
    <w:p>
      <w:pPr>
        <w:pStyle w:val="ListBullet"/>
      </w:pPr>
      <w:r>
        <w:t>Detect content materially above the relevant account baseline or otherwise promising.</w:t>
      </w:r>
    </w:p>
    <w:p>
      <w:pPr>
        <w:pStyle w:val="ListBullet"/>
      </w:pPr>
      <w:r>
        <w:t>Explain why it is being suggested.</w:t>
      </w:r>
    </w:p>
    <w:p>
      <w:pPr>
        <w:pStyle w:val="ListBullet"/>
      </w:pPr>
      <w:r>
        <w:t>Ask whether the customer wants variants.</w:t>
      </w:r>
    </w:p>
    <w:p>
      <w:pPr>
        <w:pStyle w:val="ListBullet"/>
      </w:pPr>
      <w:r>
        <w:t>Generate structurally distinct variants.</w:t>
      </w:r>
    </w:p>
    <w:p>
      <w:pPr>
        <w:pStyle w:val="ListBullet"/>
      </w:pPr>
      <w:r>
        <w:t>Run a conservative Originality/Similarity Guard.</w:t>
      </w:r>
    </w:p>
    <w:p>
      <w:pPr>
        <w:pStyle w:val="ListBullet"/>
      </w:pPr>
      <w:r>
        <w:t>Preserve lineage between source and variants.</w:t>
      </w:r>
    </w:p>
    <w:p>
      <w:pPr>
        <w:pStyle w:val="ListBullet"/>
      </w:pPr>
      <w:r>
        <w:t>Measure outcomes, but label early lift as estimated/correlational when causal evidence is weak.</w:t>
      </w:r>
    </w:p>
    <w:p>
      <w:r>
        <w:t>Causal maturity path:</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Method</w:t>
            </w:r>
          </w:p>
        </w:tc>
        <w:tc>
          <w:tcPr>
            <w:tcW w:type="dxa" w:w="5083"/>
            <w:vAlign w:val="center"/>
          </w:tcPr>
          <w:p>
            <w:r>
              <w:rPr>
                <w:b/>
              </w:rPr>
              <w:t>Use</w:t>
            </w:r>
          </w:p>
        </w:tc>
      </w:tr>
      <w:tr>
        <w:tc>
          <w:tcPr>
            <w:tcW w:type="dxa" w:w="5083"/>
            <w:vAlign w:val="top"/>
          </w:tcPr>
          <w:p>
            <w:r>
              <w:t>Adjusted historical baseline</w:t>
            </w:r>
          </w:p>
        </w:tc>
        <w:tc>
          <w:tcPr>
            <w:tcW w:type="dxa" w:w="5083"/>
            <w:vAlign w:val="top"/>
          </w:tcPr>
          <w:p>
            <w:r>
              <w:t>Initial low-volume estimate; explicitly correlational.</w:t>
            </w:r>
          </w:p>
        </w:tc>
      </w:tr>
      <w:tr>
        <w:tc>
          <w:tcPr>
            <w:tcW w:type="dxa" w:w="5083"/>
            <w:vAlign w:val="top"/>
          </w:tcPr>
          <w:p>
            <w:r>
              <w:t>Synthetic control</w:t>
            </w:r>
          </w:p>
        </w:tc>
        <w:tc>
          <w:tcPr>
            <w:tcW w:type="dxa" w:w="5083"/>
            <w:vAlign w:val="top"/>
          </w:tcPr>
          <w:p>
            <w:r>
              <w:t>When mature comparable cohorts exist and governance permits.</w:t>
            </w:r>
          </w:p>
        </w:tc>
      </w:tr>
      <w:tr>
        <w:tc>
          <w:tcPr>
            <w:tcW w:type="dxa" w:w="5083"/>
            <w:vAlign w:val="top"/>
          </w:tcPr>
          <w:p>
            <w:r>
              <w:t>Stepped-wedge rollout</w:t>
            </w:r>
          </w:p>
        </w:tc>
        <w:tc>
          <w:tcPr>
            <w:tcW w:type="dxa" w:w="5083"/>
            <w:vAlign w:val="top"/>
          </w:tcPr>
          <w:p>
            <w:r>
              <w:t>Preferred early causal design when multiple eligible cases can be rolled out in waves.</w:t>
            </w:r>
          </w:p>
        </w:tc>
      </w:tr>
      <w:tr>
        <w:tc>
          <w:tcPr>
            <w:tcW w:type="dxa" w:w="5083"/>
            <w:vAlign w:val="top"/>
          </w:tcPr>
          <w:p>
            <w:r>
              <w:t>Holdout/A-B</w:t>
            </w:r>
          </w:p>
        </w:tc>
        <w:tc>
          <w:tcPr>
            <w:tcW w:type="dxa" w:w="5083"/>
            <w:vAlign w:val="top"/>
          </w:tcPr>
          <w:p>
            <w:r>
              <w:t>When volume/platform mechanics make it statistically and commercially practical.</w:t>
            </w:r>
          </w:p>
        </w:tc>
      </w:tr>
    </w:tbl>
    <w:p/>
    <w:p>
      <w:pPr>
        <w:pStyle w:val="Heading1"/>
      </w:pPr>
      <w:r>
        <w:t>16. Originality / Similarity Guard</w:t>
      </w:r>
    </w:p>
    <w:p>
      <w:pPr>
        <w:pStyle w:val="ListBullet"/>
      </w:pPr>
      <w:r>
        <w:t>Release 1: conservative fixed semantic threshold plus structural/verbatim checks.</w:t>
      </w:r>
    </w:p>
    <w:p>
      <w:pPr>
        <w:pStyle w:val="ListBullet"/>
      </w:pPr>
      <w:r>
        <w:t>Semantic similarity uses embeddings or equivalent representation.</w:t>
      </w:r>
    </w:p>
    <w:p>
      <w:pPr>
        <w:pStyle w:val="ListBullet"/>
      </w:pPr>
      <w:r>
        <w:t>Structural checks detect repeated hook phrasing, scene order, CTA and other templated repetition.</w:t>
      </w:r>
    </w:p>
    <w:p>
      <w:pPr>
        <w:pStyle w:val="ListBullet"/>
      </w:pPr>
      <w:r>
        <w:t>Maintain a labeled corpus of acceptable vs. too-similar pairs.</w:t>
      </w:r>
    </w:p>
    <w:p>
      <w:pPr>
        <w:pStyle w:val="ListBullet"/>
      </w:pPr>
      <w:r>
        <w:t>Release 1.x+: calibrate thresholds by format/vertical when enough examples exist.</w:t>
      </w:r>
    </w:p>
    <w:p>
      <w:pPr>
        <w:pStyle w:val="ListBullet"/>
      </w:pPr>
      <w:r>
        <w:t>Guard is intended to preserve originality and audience freshness, not merely avoid exact duplication. Any block must be visible to the customer with an explanation and, where policy permits, an explicit logged override.</w:t>
      </w:r>
    </w:p>
    <w:p>
      <w:pPr>
        <w:pStyle w:val="Heading1"/>
      </w:pPr>
      <w:r>
        <w:t>17. Explore &lt;-&gt; Consolidate Strategy</w:t>
      </w:r>
    </w:p>
    <w:p>
      <w:r>
        <w:t>Conceptually the system balances exploration of new hypotheses with consolidation/scaling of patterns that have evidence. Release 1 may use simple rules. Later, this becomes a continuous exploration dial rather than a binary switch.</w:t>
      </w:r>
    </w:p>
    <w:p>
      <w:pPr>
        <w:pStyle w:val="ListBullet"/>
      </w:pPr>
      <w:r>
        <w:t>Increase Consolidate weight when exploratory hit rate and calibrated confidence improve sustainably.</w:t>
      </w:r>
    </w:p>
    <w:p>
      <w:pPr>
        <w:pStyle w:val="ListBullet"/>
      </w:pPr>
      <w:r>
        <w:t>Increase Explore when consolidated patterns decay, audience fatigue appears or a platform regime shift is suspected.</w:t>
      </w:r>
    </w:p>
    <w:p>
      <w:pPr>
        <w:pStyle w:val="ListBullet"/>
      </w:pPr>
      <w:r>
        <w:t>Do not automate the dial until outcome volume supports reliable adjustment.</w:t>
      </w:r>
    </w:p>
    <w:p>
      <w:pPr>
        <w:pStyle w:val="Heading1"/>
      </w:pPr>
      <w:r>
        <w:t>18. Opportunity Score &amp; Confidence</w:t>
      </w:r>
    </w:p>
    <w:p>
      <w:pPr>
        <w:pStyle w:val="ListBullet"/>
      </w:pPr>
      <w:r>
        <w:t>Default customer UI should avoid score proliferation.</w:t>
      </w:r>
    </w:p>
    <w:p>
      <w:pPr>
        <w:pStyle w:val="ListBullet"/>
      </w:pPr>
      <w:r>
        <w:t>Opportunity Score may be numeric when calibrated enough to justify precision.</w:t>
      </w:r>
    </w:p>
    <w:p>
      <w:pPr>
        <w:pStyle w:val="ListBullet"/>
      </w:pPr>
      <w:r>
        <w:t>Confidence should be categorical or interval-based and separately visible.</w:t>
      </w:r>
    </w:p>
    <w:p>
      <w:pPr>
        <w:pStyle w:val="ListBullet"/>
      </w:pPr>
      <w:r>
        <w:t>Low-confidence states should prefer language such as 'high potential / limited evidence' over a falsely precise number.</w:t>
      </w:r>
    </w:p>
    <w:p>
      <w:pPr>
        <w:pStyle w:val="ListBullet"/>
      </w:pPr>
      <w:r>
        <w:t>'Insufficient signal' is a valid and desirable state.</w:t>
      </w:r>
    </w:p>
    <w:p>
      <w:pPr>
        <w:pStyle w:val="Heading1"/>
      </w:pPr>
      <w:r>
        <w:t>19. Opportunity Radar - Capability-Aware</w:t>
      </w:r>
    </w:p>
    <w:p>
      <w:pPr>
        <w:pStyle w:val="ListBullet"/>
      </w:pPr>
      <w:r>
        <w:t>Combines available evidence from Layers A-E.</w:t>
      </w:r>
    </w:p>
    <w:p>
      <w:pPr>
        <w:pStyle w:val="ListBullet"/>
      </w:pPr>
      <w:r>
        <w:t>Never implies complete surveillance of social platforms.</w:t>
      </w:r>
    </w:p>
    <w:p>
      <w:pPr>
        <w:pStyle w:val="ListBullet"/>
      </w:pPr>
      <w:r>
        <w:t>External signals vary by platform, geography, plan and contract.</w:t>
      </w:r>
    </w:p>
    <w:p>
      <w:pPr>
        <w:pStyle w:val="ListBullet"/>
      </w:pPr>
      <w:r>
        <w:t>Observed facts are distinguished from inferred opportunity.</w:t>
      </w:r>
    </w:p>
    <w:p>
      <w:pPr>
        <w:pStyle w:val="ListBullet"/>
      </w:pPr>
      <w:r>
        <w:t>Global Trend Migration is enabled only where evidence coverage supports it.</w:t>
      </w:r>
    </w:p>
    <w:p>
      <w:pPr>
        <w:pStyle w:val="ListBullet"/>
      </w:pPr>
      <w:r>
        <w:t>Competitor analytics never invent private metrics.</w:t>
      </w:r>
    </w:p>
    <w:p>
      <w:pPr>
        <w:pStyle w:val="Heading1"/>
      </w:pPr>
      <w:r>
        <w:t>20. Platform Nuances &amp; Release 1 Launch Pair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Platform</w:t>
            </w:r>
          </w:p>
        </w:tc>
        <w:tc>
          <w:tcPr>
            <w:tcW w:type="dxa" w:w="5083"/>
            <w:vAlign w:val="center"/>
          </w:tcPr>
          <w:p>
            <w:r>
              <w:rPr>
                <w:b/>
              </w:rPr>
              <w:t>Design stance</w:t>
            </w:r>
          </w:p>
        </w:tc>
      </w:tr>
      <w:tr>
        <w:tc>
          <w:tcPr>
            <w:tcW w:type="dxa" w:w="5083"/>
            <w:vAlign w:val="top"/>
          </w:tcPr>
          <w:p>
            <w:r>
              <w:t>Instagram / Facebook</w:t>
            </w:r>
          </w:p>
        </w:tc>
        <w:tc>
          <w:tcPr>
            <w:tcW w:type="dxa" w:w="5083"/>
            <w:vAlign w:val="top"/>
          </w:tcPr>
          <w:p>
            <w:r>
              <w:t>Strong owned-account capabilities; third-party competitor depth is limited by official access.</w:t>
            </w:r>
          </w:p>
        </w:tc>
      </w:tr>
      <w:tr>
        <w:tc>
          <w:tcPr>
            <w:tcW w:type="dxa" w:w="5083"/>
            <w:vAlign w:val="top"/>
          </w:tcPr>
          <w:p>
            <w:r>
              <w:t>YouTube</w:t>
            </w:r>
          </w:p>
        </w:tc>
        <w:tc>
          <w:tcPr>
            <w:tcW w:type="dxa" w:w="5083"/>
            <w:vAlign w:val="top"/>
          </w:tcPr>
          <w:p>
            <w:r>
              <w:t>Comparatively useful public surface metrics (e.g., views/title/description/likes/comments where exposed); deep retention, impressions and thumbnail CTR remain owner analytics.</w:t>
            </w:r>
          </w:p>
        </w:tc>
      </w:tr>
      <w:tr>
        <w:tc>
          <w:tcPr>
            <w:tcW w:type="dxa" w:w="5083"/>
            <w:vAlign w:val="top"/>
          </w:tcPr>
          <w:p>
            <w:r>
              <w:t>TikTok</w:t>
            </w:r>
          </w:p>
        </w:tc>
        <w:tc>
          <w:tcPr>
            <w:tcW w:type="dxa" w:w="5083"/>
            <w:vAlign w:val="top"/>
          </w:tcPr>
          <w:p>
            <w:r>
              <w:t>Commercial external-data capabilities must be validated per permitted product/API; do not assume Research API is commercially usable.</w:t>
            </w:r>
          </w:p>
        </w:tc>
      </w:tr>
      <w:tr>
        <w:tc>
          <w:tcPr>
            <w:tcW w:type="dxa" w:w="5083"/>
            <w:vAlign w:val="top"/>
          </w:tcPr>
          <w:p>
            <w:r>
              <w:t>X</w:t>
            </w:r>
          </w:p>
        </w:tc>
        <w:tc>
          <w:tcPr>
            <w:tcW w:type="dxa" w:w="5083"/>
            <w:vAlign w:val="top"/>
          </w:tcPr>
          <w:p>
            <w:r>
              <w:t>Treat cost and API-policy volatility as architectural risks; enforce spend caps, quotas and graceful degradation.</w:t>
            </w:r>
          </w:p>
        </w:tc>
      </w:tr>
      <w:tr>
        <w:tc>
          <w:tcPr>
            <w:tcW w:type="dxa" w:w="5083"/>
            <w:vAlign w:val="top"/>
          </w:tcPr>
          <w:p>
            <w:r>
              <w:t>LinkedIn</w:t>
            </w:r>
          </w:p>
        </w:tc>
        <w:tc>
          <w:tcPr>
            <w:tcW w:type="dxa" w:w="5083"/>
            <w:vAlign w:val="top"/>
          </w:tcPr>
          <w:p>
            <w:r>
              <w:t>Assume restricted external/competitor access unless a specific approved capability proves otherwise.</w:t>
            </w:r>
          </w:p>
        </w:tc>
      </w:tr>
    </w:tbl>
    <w:p/>
    <w:p>
      <w:pPr>
        <w:pStyle w:val="Heading1"/>
      </w:pPr>
      <w:r>
        <w:t>21. Global Architecture - Clarified</w:t>
      </w:r>
    </w:p>
    <w:p>
      <w:r>
        <w:t>Global remains non-negotiable, but 'global-ready' does not mean launching everywhere.</w:t>
      </w:r>
    </w:p>
    <w:p>
      <w:pPr>
        <w:pStyle w:val="ListBullet"/>
      </w:pPr>
      <w:r>
        <w:t>Core schema includes country, market, language, timezone, platform and account dimensions.</w:t>
      </w:r>
    </w:p>
    <w:p>
      <w:pPr>
        <w:pStyle w:val="ListBullet"/>
      </w:pPr>
      <w:r>
        <w:t>i18n/localization framework exists from inception.</w:t>
      </w:r>
    </w:p>
    <w:p>
      <w:pPr>
        <w:pStyle w:val="ListBullet"/>
      </w:pPr>
      <w:r>
        <w:t>Capability Registry supports per-market/per-platform rules.</w:t>
      </w:r>
    </w:p>
    <w:p>
      <w:pPr>
        <w:pStyle w:val="ListBullet"/>
      </w:pPr>
      <w:r>
        <w:t>Release 1 working operational scope is United States + Brazil, with Instagram + YouTube as the launch-platform pair. These capabilities must be revalidated against current official documentation/contracts before implementation and production release.</w:t>
      </w:r>
    </w:p>
    <w:p>
      <w:pPr>
        <w:pStyle w:val="ListBullet"/>
      </w:pPr>
      <w:r>
        <w:t>New markets are activated only after data-access, compliance, localization and operational readiness gates.</w:t>
      </w:r>
    </w:p>
    <w:p>
      <w:pPr>
        <w:pStyle w:val="ListBullet"/>
      </w:pPr>
      <w:r>
        <w:t>Data-residency strategy is evaluated where required, without prematurely deploying every region.</w:t>
      </w:r>
    </w:p>
    <w:p>
      <w:pPr>
        <w:pStyle w:val="Heading1"/>
      </w:pPr>
      <w:r>
        <w:t>22. Model Ownership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Priority</w:t>
            </w:r>
          </w:p>
        </w:tc>
        <w:tc>
          <w:tcPr>
            <w:tcW w:type="dxa" w:w="5083"/>
            <w:vAlign w:val="center"/>
          </w:tcPr>
          <w:p>
            <w:r>
              <w:rPr>
                <w:b/>
              </w:rPr>
              <w:t>Ownership strategy</w:t>
            </w:r>
          </w:p>
        </w:tc>
      </w:tr>
      <w:tr>
        <w:tc>
          <w:tcPr>
            <w:tcW w:type="dxa" w:w="5083"/>
            <w:vAlign w:val="top"/>
          </w:tcPr>
          <w:p>
            <w:r>
              <w:t>1. Outcome data + labels</w:t>
            </w:r>
          </w:p>
        </w:tc>
        <w:tc>
          <w:tcPr>
            <w:tcW w:type="dxa" w:w="5083"/>
            <w:vAlign w:val="top"/>
          </w:tcPr>
          <w:p>
            <w:r>
              <w:t>Own structurally from day one.</w:t>
            </w:r>
          </w:p>
        </w:tc>
      </w:tr>
      <w:tr>
        <w:tc>
          <w:tcPr>
            <w:tcW w:type="dxa" w:w="5083"/>
            <w:vAlign w:val="top"/>
          </w:tcPr>
          <w:p>
            <w:r>
              <w:t>2. Ranking/calibration layer</w:t>
            </w:r>
          </w:p>
        </w:tc>
        <w:tc>
          <w:tcPr>
            <w:tcW w:type="dxa" w:w="5083"/>
            <w:vAlign w:val="top"/>
          </w:tcPr>
          <w:p>
            <w:r>
              <w:t>Build proprietary progressively; high strategic value.</w:t>
            </w:r>
          </w:p>
        </w:tc>
      </w:tr>
      <w:tr>
        <w:tc>
          <w:tcPr>
            <w:tcW w:type="dxa" w:w="5083"/>
            <w:vAlign w:val="top"/>
          </w:tcPr>
          <w:p>
            <w:r>
              <w:t>3. Growth Graph / cohort priors</w:t>
            </w:r>
          </w:p>
        </w:tc>
        <w:tc>
          <w:tcPr>
            <w:tcW w:type="dxa" w:w="5083"/>
            <w:vAlign w:val="top"/>
          </w:tcPr>
          <w:p>
            <w:r>
              <w:t>Build as governance and volume permit.</w:t>
            </w:r>
          </w:p>
        </w:tc>
      </w:tr>
      <w:tr>
        <w:tc>
          <w:tcPr>
            <w:tcW w:type="dxa" w:w="5083"/>
            <w:vAlign w:val="top"/>
          </w:tcPr>
          <w:p>
            <w:r>
              <w:t>4. Domain-specific representations</w:t>
            </w:r>
          </w:p>
        </w:tc>
        <w:tc>
          <w:tcPr>
            <w:tcW w:type="dxa" w:w="5083"/>
            <w:vAlign w:val="top"/>
          </w:tcPr>
          <w:p>
            <w:r>
              <w:t>Consider only when generic embeddings become a demonstrated bottleneck.</w:t>
            </w:r>
          </w:p>
        </w:tc>
      </w:tr>
      <w:tr>
        <w:tc>
          <w:tcPr>
            <w:tcW w:type="dxa" w:w="5083"/>
            <w:vAlign w:val="top"/>
          </w:tcPr>
          <w:p>
            <w:r>
              <w:t>Foundation models</w:t>
            </w:r>
          </w:p>
        </w:tc>
        <w:tc>
          <w:tcPr>
            <w:tcW w:type="dxa" w:w="5083"/>
            <w:vAlign w:val="top"/>
          </w:tcPr>
          <w:p>
            <w:r>
              <w:t>Use external providers initially; no plan to train a general-purpose foundation model.</w:t>
            </w:r>
          </w:p>
        </w:tc>
      </w:tr>
    </w:tbl>
    <w:p/>
    <w:p>
      <w:pPr>
        <w:pStyle w:val="Heading1"/>
      </w:pPr>
      <w:r>
        <w:t>23. Growth Brain v1</w:t>
      </w:r>
    </w:p>
    <w:p>
      <w:pPr>
        <w:pStyle w:val="ListBullet"/>
      </w:pPr>
      <w:r>
        <w:t>Brand goals, voice and constraints.</w:t>
      </w:r>
    </w:p>
    <w:p>
      <w:pPr>
        <w:pStyle w:val="ListBullet"/>
      </w:pPr>
      <w:r>
        <w:t>Audience/market definition.</w:t>
      </w:r>
    </w:p>
    <w:p>
      <w:pPr>
        <w:pStyle w:val="ListBullet"/>
      </w:pPr>
      <w:r>
        <w:t>Connected-account history and raw outcomes.</w:t>
      </w:r>
    </w:p>
    <w:p>
      <w:pPr>
        <w:pStyle w:val="ListBullet"/>
      </w:pPr>
      <w:r>
        <w:t>Content lineage and experiments.</w:t>
      </w:r>
    </w:p>
    <w:p>
      <w:pPr>
        <w:pStyle w:val="ListBullet"/>
      </w:pPr>
      <w:r>
        <w:t>Confirmed account-specific insights.</w:t>
      </w:r>
    </w:p>
    <w:p>
      <w:pPr>
        <w:pStyle w:val="ListBullet"/>
      </w:pPr>
      <w:r>
        <w:t>Recent events vs. durable lessons.</w:t>
      </w:r>
    </w:p>
    <w:p>
      <w:pPr>
        <w:pStyle w:val="ListBullet"/>
      </w:pPr>
      <w:r>
        <w:t>Evidence recency/decay.</w:t>
      </w:r>
    </w:p>
    <w:p>
      <w:pPr>
        <w:pStyle w:val="ListBullet"/>
      </w:pPr>
      <w:r>
        <w:t>Private vs. eligible aggregate/global priors kept logically distinct.</w:t>
      </w:r>
    </w:p>
    <w:p>
      <w:pPr>
        <w:pStyle w:val="ListBullet"/>
      </w:pPr>
      <w:r>
        <w:t>Every learned insight retains enough provenance to explain why it exists.</w:t>
      </w:r>
    </w:p>
    <w:p>
      <w:pPr>
        <w:pStyle w:val="Heading1"/>
      </w:pPr>
      <w:r>
        <w:t>24. UX Success Criteria</w:t>
      </w:r>
    </w:p>
    <w:p>
      <w:pPr>
        <w:pStyle w:val="ListBullet"/>
      </w:pPr>
      <w:r>
        <w:t>One intelligent feed is the default home.</w:t>
      </w:r>
    </w:p>
    <w:p>
      <w:pPr>
        <w:pStyle w:val="ListBullet"/>
      </w:pPr>
      <w:r>
        <w:t>First useful action/insight without training or a long tutorial.</w:t>
      </w:r>
    </w:p>
    <w:p>
      <w:pPr>
        <w:pStyle w:val="ListBullet"/>
      </w:pPr>
      <w:r>
        <w:t>Zero-history accounts receive an honest learning path, not an empty or fake personalized dashboard.</w:t>
      </w:r>
    </w:p>
    <w:p>
      <w:pPr>
        <w:pStyle w:val="ListBullet"/>
      </w:pPr>
      <w:r>
        <w:t>Publication failures become actionable recovery cards.</w:t>
      </w:r>
    </w:p>
    <w:p>
      <w:pPr>
        <w:pStyle w:val="ListBullet"/>
      </w:pPr>
      <w:r>
        <w:t>Customer can understand why an action is recommended in one interaction.</w:t>
      </w:r>
    </w:p>
    <w:p>
      <w:pPr>
        <w:pStyle w:val="ListBullet"/>
      </w:pPr>
      <w:r>
        <w:t>Advanced analytics remain available but are not required to operate the product.</w:t>
      </w:r>
    </w:p>
    <w:p>
      <w:pPr>
        <w:pStyle w:val="ListBullet"/>
      </w:pPr>
      <w:r>
        <w:t>Mobile interactions support tap/swipe/voice where they genuinely reduce friction.</w:t>
      </w:r>
    </w:p>
    <w:p>
      <w:pPr>
        <w:pStyle w:val="Heading1"/>
      </w:pPr>
      <w:r>
        <w:t>25. Doxa Benchmark - Stable Interpretation</w:t>
      </w:r>
    </w:p>
    <w:p>
      <w:r>
        <w:t>Doxa remains useful as an outcome-oriented benchmark: simple promise, content production/iteration and learning from real publishing outcomes. Growth OS should not assume Doxa's internal data pipeline, nor copy its code, protected content, interface or proprietary methods. The lesson retained is commercial and operational: hide complexity, produce measurable customer value and accumulate outcome data.</w:t>
      </w:r>
    </w:p>
    <w:p>
      <w:pPr>
        <w:pStyle w:val="Heading1"/>
      </w:pPr>
      <w:r>
        <w:t>26. Release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Release</w:t>
            </w:r>
          </w:p>
        </w:tc>
        <w:tc>
          <w:tcPr>
            <w:tcW w:type="dxa" w:w="5083"/>
            <w:vAlign w:val="center"/>
          </w:tcPr>
          <w:p>
            <w:r>
              <w:rPr>
                <w:b/>
              </w:rPr>
              <w:t>Primary objective</w:t>
            </w:r>
          </w:p>
        </w:tc>
      </w:tr>
      <w:tr>
        <w:tc>
          <w:tcPr>
            <w:tcW w:type="dxa" w:w="5083"/>
            <w:vAlign w:val="top"/>
          </w:tcPr>
          <w:p>
            <w:r>
              <w:t>Release 1</w:t>
            </w:r>
          </w:p>
        </w:tc>
        <w:tc>
          <w:tcPr>
            <w:tcW w:type="dxa" w:w="5083"/>
            <w:vAlign w:val="top"/>
          </w:tcPr>
          <w:p>
            <w:r>
              <w:t>Reliable owned-data loop: connect -&gt; understand/seed -&gt; create -&gt; publish -&gt; measure -&gt; learn -&gt; semi-assisted multiply.</w:t>
            </w:r>
          </w:p>
        </w:tc>
      </w:tr>
      <w:tr>
        <w:tc>
          <w:tcPr>
            <w:tcW w:type="dxa" w:w="5083"/>
            <w:vAlign w:val="top"/>
          </w:tcPr>
          <w:p>
            <w:r>
              <w:t>Release 1.x</w:t>
            </w:r>
          </w:p>
        </w:tc>
        <w:tc>
          <w:tcPr>
            <w:tcW w:type="dxa" w:w="5083"/>
            <w:vAlign w:val="top"/>
          </w:tcPr>
          <w:p>
            <w:r>
              <w:t>Cohort graduation, empirical shrinkage, calibrated similarity, stepped-wedge/causal measurement, richer feed intelligence.</w:t>
            </w:r>
          </w:p>
        </w:tc>
      </w:tr>
      <w:tr>
        <w:tc>
          <w:tcPr>
            <w:tcW w:type="dxa" w:w="5083"/>
            <w:vAlign w:val="top"/>
          </w:tcPr>
          <w:p>
            <w:r>
              <w:t>Release 2</w:t>
            </w:r>
          </w:p>
        </w:tc>
        <w:tc>
          <w:tcPr>
            <w:tcW w:type="dxa" w:w="5083"/>
            <w:vAlign w:val="top"/>
          </w:tcPr>
          <w:p>
            <w:r>
              <w:t>Governed Network Intelligence, mature agency consent chain, stronger cohort benchmarks and Global Growth Graph.</w:t>
            </w:r>
          </w:p>
        </w:tc>
      </w:tr>
      <w:tr>
        <w:tc>
          <w:tcPr>
            <w:tcW w:type="dxa" w:w="5083"/>
            <w:vAlign w:val="top"/>
          </w:tcPr>
          <w:p>
            <w:r>
              <w:t>Later expansion</w:t>
            </w:r>
          </w:p>
        </w:tc>
        <w:tc>
          <w:tcPr>
            <w:tcW w:type="dxa" w:w="5083"/>
            <w:vAlign w:val="top"/>
          </w:tcPr>
          <w:p>
            <w:r>
              <w:t>Licensed intelligence, deeper trend migration, advanced competitor coverage where permitted, Autopilot gates and broader global rollout.</w:t>
            </w:r>
          </w:p>
        </w:tc>
      </w:tr>
    </w:tbl>
    <w:p/>
    <w:p>
      <w:pPr>
        <w:pStyle w:val="Heading1"/>
      </w:pPr>
      <w:r>
        <w:t>27. Final Launch-Readiness Classification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Class</w:t>
            </w:r>
          </w:p>
        </w:tc>
        <w:tc>
          <w:tcPr>
            <w:tcW w:type="dxa" w:w="5083"/>
            <w:vAlign w:val="center"/>
          </w:tcPr>
          <w:p>
            <w:r>
              <w:rPr>
                <w:b/>
              </w:rPr>
              <w:t>Items</w:t>
            </w:r>
          </w:p>
        </w:tc>
      </w:tr>
      <w:tr>
        <w:tc>
          <w:tcPr>
            <w:tcW w:type="dxa" w:w="5083"/>
            <w:vAlign w:val="top"/>
          </w:tcPr>
          <w:p>
            <w:r>
              <w:t>LAUNCH BLOCKER</w:t>
            </w:r>
          </w:p>
        </w:tc>
        <w:tc>
          <w:tcPr>
            <w:tcW w:type="dxa" w:w="5083"/>
            <w:vAlign w:val="top"/>
          </w:tcPr>
          <w:p>
            <w:r>
              <w:t>Zero-history flow; publication/token recovery; onboarding disclosure/consent; Day-7 actionable-insight goal; raw-data instrumentation; reliable connect/create/publish/measure; global-ready skeleton for actual launch markets.</w:t>
            </w:r>
          </w:p>
        </w:tc>
      </w:tr>
      <w:tr>
        <w:tc>
          <w:tcPr>
            <w:tcW w:type="dxa" w:w="5083"/>
            <w:vAlign w:val="top"/>
          </w:tcPr>
          <w:p>
            <w:r>
              <w:t>MUST MATURE</w:t>
            </w:r>
          </w:p>
        </w:tc>
        <w:tc>
          <w:tcPr>
            <w:tcW w:type="dxa" w:w="5083"/>
            <w:vAlign w:val="top"/>
          </w:tcPr>
          <w:p>
            <w:r>
              <w:t>Cohort precision gates; agency second-order consent before mature aggregation; calibrated similarity by format/vertical; causal MULTIPLY measurement; empirical shrinkage.</w:t>
            </w:r>
          </w:p>
        </w:tc>
      </w:tr>
      <w:tr>
        <w:tc>
          <w:tcPr>
            <w:tcW w:type="dxa" w:w="5083"/>
            <w:vAlign w:val="top"/>
          </w:tcPr>
          <w:p>
            <w:r>
              <w:t>SHOULD ADD</w:t>
            </w:r>
          </w:p>
        </w:tc>
        <w:tc>
          <w:tcPr>
            <w:tcW w:type="dxa" w:w="5083"/>
            <w:vAlign w:val="top"/>
          </w:tcPr>
          <w:p>
            <w:r>
              <w:t>Single typed feed; X cost/volatility controls; stepped-wedge causal rollout; weekly learning summary.</w:t>
            </w:r>
          </w:p>
        </w:tc>
      </w:tr>
      <w:tr>
        <w:tc>
          <w:tcPr>
            <w:tcW w:type="dxa" w:w="5083"/>
            <w:vAlign w:val="top"/>
          </w:tcPr>
          <w:p>
            <w:r>
              <w:t>OPTIONAL / LATER</w:t>
            </w:r>
          </w:p>
        </w:tc>
        <w:tc>
          <w:tcPr>
            <w:tcW w:type="dxa" w:w="5083"/>
            <w:vAlign w:val="top"/>
          </w:tcPr>
          <w:p>
            <w:r>
              <w:t>Automated Explore/Consolidate dial; advanced models; broad licensed-data footprint; Autopilot; wide market coverage.</w:t>
            </w:r>
          </w:p>
        </w:tc>
      </w:tr>
    </w:tbl>
    <w:p/>
    <w:p>
      <w:pPr>
        <w:pStyle w:val="Heading1"/>
      </w:pPr>
      <w:r>
        <w:t>28. Concept Freeze Decision &amp; Resolved Conditions</w:t>
      </w:r>
    </w:p>
    <w:p>
      <w:r>
        <w:t>Claude's final v1.3 review returned GO WITH CONDITIONS and explicitly concluded that the conceptual architecture can be frozen. The remaining seven items are now adopted as specification decisions/backlog requirements below; they are not grounds for another conceptual redesign.</w:t>
      </w:r>
    </w:p>
    <w:p>
      <w:pPr>
        <w:pStyle w:val="ListNumber"/>
      </w:pPr>
      <w:r>
        <w:t>CONCEPT STATUS — FROZEN. No structural flaw blocks detailed technical specification or implementation.</w:t>
      </w:r>
    </w:p>
    <w:p>
      <w:pPr>
        <w:pStyle w:val="ListNumber"/>
      </w:pPr>
      <w:r>
        <w:t>INSIGHT TAXONOMY — Use distinct card types: 'Confirmed for your account', 'Account hypothesis / learning in progress', and 'General market/sector practice'. A confirmed-account insight must rely on owned account evidence and satisfy a metric-specific evidence rule; external/general evidence can never be relabeled as account-confirmed.</w:t>
      </w:r>
    </w:p>
    <w:p>
      <w:pPr>
        <w:pStyle w:val="ListNumber"/>
      </w:pPr>
      <w:r>
        <w:t>DAY-7 PROMISE — Target at least one actionable insight with honest evidence labeling. A breakout winner is not required. If owned evidence is insufficient, the product must say so rather than manufacture certainty.</w:t>
      </w:r>
    </w:p>
    <w:p>
      <w:pPr>
        <w:pStyle w:val="ListNumber"/>
      </w:pPr>
      <w:r>
        <w:t>LAUNCH PLATFORMS — Working Release 1 launch pair: Instagram + YouTube. Capability Registry entries must be validated against current official documentation/contracts before implementation and again before production release.</w:t>
      </w:r>
    </w:p>
    <w:p>
      <w:pPr>
        <w:pStyle w:val="ListNumber"/>
      </w:pPr>
      <w:r>
        <w:t>LAUNCH MARKETS — Working Release 1 operational markets: United States + Brazil. Architecture remains global from inception; other markets activate only after data-access, localization, compliance and operational gates.</w:t>
      </w:r>
    </w:p>
    <w:p>
      <w:pPr>
        <w:pStyle w:val="ListNumber"/>
      </w:pPr>
      <w:r>
        <w:t>RELEASE 1 ICP — Primary ICP is solo creators/founders, SMBs and small teams operating a limited number of owned accounts. Full agency operations are outside Release 1. Agency-ready ownership/authority fields remain in the schema from day one to avoid future migration/rewrite.</w:t>
      </w:r>
    </w:p>
    <w:p>
      <w:pPr>
        <w:pStyle w:val="ListNumber"/>
      </w:pPr>
      <w:r>
        <w:t>AGENCY SCHEMA STATES — Include owner_type = direct | agency-managed; authority_status = pending | contractually-granted | revoked; contribution_eligibility = private-only | eligible-pending-review | eligible; plus per-managed-account reference to the contractual clause/version establishing authority.</w:t>
      </w:r>
    </w:p>
    <w:p>
      <w:pPr>
        <w:pStyle w:val="ListNumber"/>
      </w:pPr>
      <w:r>
        <w:t>STEPPED-WEDGE INSTRUMENTATION — Store multiplication_eligible_at separately from multiplication_released_at for every candidate variant, including candidates never released.</w:t>
      </w:r>
    </w:p>
    <w:p>
      <w:pPr>
        <w:pStyle w:val="ListNumber"/>
      </w:pPr>
      <w:r>
        <w:t>ORIGINALITY GUARD OVERRIDE — A similarity/originality block must never silently remove a variant. Show a visible warning card explaining the reason and, where policy permits, allow an explicit user override that is logged.</w:t>
      </w:r>
    </w:p>
    <w:p>
      <w:pPr>
        <w:pStyle w:val="ListNumber"/>
      </w:pPr>
      <w:r>
        <w:t>PRODUCTION TRUTH GATE — Before every production release, run an automated end-to-end gate covering public app/version identity -&gt; real authentication/test account -&gt; real launch-platform connection -&gt; real content creation -&gt; real publish attempt -&gt; deliberate failure/revoked-token recovery -&gt; real metric ingestion within expected latency -&gt; visible insight card grounded in that ingested data.</w:t>
      </w:r>
    </w:p>
    <w:p>
      <w:pPr>
        <w:pStyle w:val="ListNumber"/>
      </w:pPr>
      <w:r>
        <w:t>PRODUCTION TRUTH GATE CONCURRENCY — Include an idempotency/concurrency case proving that retries or parallel workers cannot create duplicate publications.</w:t>
      </w:r>
    </w:p>
    <w:p>
      <w:pPr>
        <w:pStyle w:val="ListNumber"/>
      </w:pPr>
      <w:r>
        <w:t>TOKEN/RATE-LIMIT OPERATIONS — Add proactive token-health checks, tenant/global rate-limit budgets, adapter health monitoring and graceful capability downgrade alerts.</w:t>
      </w:r>
    </w:p>
    <w:p>
      <w:pPr>
        <w:pStyle w:val="ListNumber"/>
      </w:pPr>
      <w:r>
        <w:t>CONSENT SAFETY — Aggregate materialization must verify valid, timestamped contribution eligibility for every contributing account and fail visibly if any contributor is ineligible.</w:t>
      </w:r>
    </w:p>
    <w:p>
      <w:pPr>
        <w:pStyle w:val="ListNumber"/>
      </w:pPr>
      <w:r>
        <w:t>NEXT PHASE — Begin detailed technical specification, UX flows, data model/schema, adapters/APIs, security/compliance controls, observability and full automated test plan. These seven conditions become the first specification backlog entries rather than another conceptual-review cycle.</w:t>
      </w:r>
    </w:p>
    <w:p>
      <w:pPr>
        <w:pStyle w:val="Heading1"/>
      </w:pPr>
      <w:r>
        <w:t>29. Technical Specification Handoff Requirements</w:t>
      </w:r>
    </w:p>
    <w:p>
      <w:pPr>
        <w:pStyle w:val="ListBullet"/>
      </w:pPr>
      <w:r>
        <w:t>Create a traceable technical specification mapped to every Release 1 Launch Gate.</w:t>
      </w:r>
    </w:p>
    <w:p>
      <w:pPr>
        <w:pStyle w:val="ListBullet"/>
      </w:pPr>
      <w:r>
        <w:t>Define schema fields, state machines, events, ownership/authority states, evidence labels and provenance before implementation.</w:t>
      </w:r>
    </w:p>
    <w:p>
      <w:pPr>
        <w:pStyle w:val="ListBullet"/>
      </w:pPr>
      <w:r>
        <w:t>For Instagram and YouTube, verify each required Release 1 capability against current official API documentation and contractual constraints; unsupported capabilities must degrade explicitly.</w:t>
      </w:r>
    </w:p>
    <w:p>
      <w:pPr>
        <w:pStyle w:val="ListBullet"/>
      </w:pPr>
      <w:r>
        <w:t>Design the one-feed UX for the Release 1 ICP, including zero-history, insufficient-signal, publish-failure, reconnect, originality-warning and confirmed-insight states.</w:t>
      </w:r>
    </w:p>
    <w:p>
      <w:pPr>
        <w:pStyle w:val="ListBullet"/>
      </w:pPr>
      <w:r>
        <w:t>Turn the Production Truth Gate into executable automated acceptance tests and include negative/failure/concurrency paths.</w:t>
      </w:r>
    </w:p>
    <w:p>
      <w:pPr>
        <w:pStyle w:val="ListBullet"/>
      </w:pPr>
      <w:r>
        <w:t>Instrument raw events required for future empirical-Bayes learning, causal evaluation and Network Intelligence even when those advanced models are not yet enabled.</w:t>
      </w:r>
    </w:p>
    <w:p>
      <w:pPr>
        <w:pStyle w:val="Heading1"/>
      </w:pPr>
      <w:r>
        <w:t>30. Working Definition</w:t>
      </w:r>
    </w:p>
    <w:p>
      <w:pPr>
        <w:jc w:val="center"/>
      </w:pPr>
      <w:r>
        <w:rPr>
          <w:b/>
          <w:sz w:val="25"/>
        </w:rPr>
        <w:t>A simple, interactive, global AI growth teammate that turns real outcomes into better next actions - discovering opportunities, creating stronger content, learning what works and multiplying it across platforms, audiences, languages and markets.</w:t>
      </w:r>
    </w:p>
    <w:p>
      <w:pPr>
        <w:pStyle w:val="Heading1"/>
      </w:pPr>
      <w:r>
        <w:t>31. Version Note</w:t>
      </w:r>
    </w:p>
    <w:p>
      <w:r>
        <w:t>v1.4.1 is an editorial consistency patch to the frozen v1.4 conceptual baseline. It propagates the three-state insight taxonomy consistently into the feed-card table and the Day 3-7 experience table. No conceptual, architectural, launch-scope or governance decision is changed. The conceptual architecture remains frozen.</w:t>
      </w:r>
    </w:p>
    <w:p>
      <w:pPr>
        <w:pStyle w:val="Heading1"/>
      </w:pPr>
      <w:r>
        <w:t>32. Freeze Record</w:t>
      </w:r>
    </w:p>
    <w:p>
      <w:r>
        <w:t>Claude final review verdict: GO WITH CONDITIONS. The review states that no structural architecture/data/security/compliance flaw prevents progress and that the conceptual architecture may be frozen. Growth OS v1.4 therefore becomes the conceptual baseline for technical specification. The seven remaining conditions have been converted into explicit specification decisions and launch controls in this document.</w:t>
      </w:r>
    </w:p>
    <w:p>
      <w:r>
        <w:t>Change-control rule: do not reopen the conceptual architecture for preference or repetition. Reopen only when current official platform documentation, law/regulation, production evidence, security findings, or implementation proof materially contradicts a frozen assumption.</w:t>
      </w:r>
    </w:p>
    <w:p>
      <w:r>
        <w:rPr>
          <w:b/>
        </w:rPr>
        <w:t xml:space="preserve">Editorial patch record - v1.4.1: </w:t>
      </w:r>
      <w:r>
        <w:t>Propagated the frozen insight taxonomy across Sections 3 and 8: Confirmed for your account / Account hypothesis - still learning / General market practice. This prevents downstream technical specifications from modeling only a single confirmed-insight card type.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Concept freeze + technical specification handoff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GROWTH OS | PROJECT CONCEPT v1.4.1 | CONCEPT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