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Dear GSK Recruitment Team,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 am excited to apply for the Senior Principal Investigator position in Spatial Multiomics (Req ID: 427274). My career has been driven by a fascination with how computational modelling, driven by emerging technologies, redefines the boundaries of biological understanding. With extensive experience in developing machine learning pipelines applicable to both image-based and spatial (multi-)omics datasets, I am eager to translate cutting-edge academic research into real-world applications, transforming emerging data types into quantitative insights for target validation, disease phenotyping, and drug discovery at GSK.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focus on developing computational workflows for the latest omics technologies began during my PhD in Julio Saez-Rodríguez’s lab. There, my work played a key role in establishing current best practices for cell-cell interaction modelling. Beyond that, I developed LIANA+ (on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), a widely used Python framework that integrates diverse statistical and machine learning methods to enable seamless multi-scale, multi-omics data analysis. I have applied this tool to spatial datasets combining host-microbiome and metabolite-transcriptome modalities. Throughout this work, I also mentored students on the framework’s development and on independent projects, fostering their skills in coding best practices, machine learning pipelines, and spatial data analysis.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Now, in my postdoctoral role in Oliver Stegle’s group, as emerging spatial technologies continue to revolutionise our ability to map biology in its native context, I lead the development of probabilistic deep learning models that harness these new data types. My key initiatives are directly aimed at challenges central to future drug discovery: I lead efforts to fuse cell-cell communication with multi-view variational models to pinpoint disease signalling; I co-supervise a generative AI framework to isolate tissue microenvironment effects for precise phenotype prediction; and I utilise causal representation learning to infer the intra- and intercellular pathways that drive disease. My philosophy is crystallised in a recent perspective I co-led, surveying over 100 AI/ML frameworks (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under review</w:t>
        </w:r>
      </w:hyperlink>
      <w:r w:rsidDel="00000000" w:rsidR="00000000" w:rsidRPr="00000000">
        <w:rPr>
          <w:rtl w:val="0"/>
        </w:rPr>
        <w:t xml:space="preserve">), reflecting how combining multi-omics, perturbations, and spatial data can uncover cause-and-effect relationships – essential for enhancing disease-specific biological insights, the development of complex in vitro models, and ultimately drug discovery pipelines.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My goal has always been to build more than just predictive models; it is to create interpretable AI frameworks that generate quantitative, biologically grounded evidence. As such, I am excited by the prospect of bringing this vision, along with my expertise in end-to-end computational workflows and collaborative leadership, to your team. I am confident I can help lead the analysis of next-generation technologies at GSK to enhance target prioritisation and deliver therapeutic hypotheses that make a difference.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Thank you for considering my application. I am eager to discuss how my passion for technology-driven innovation can contribute to GSK’s mission to impact health at scale.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Daniel Dimitrov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spacing w:after="240" w:line="240" w:lineRule="auto"/>
      <w:jc w:val="both"/>
      <w:rPr>
        <w:color w:val="666666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Daniel Boykov Dimitrov</w:t>
    </w:r>
    <w:r w:rsidDel="00000000" w:rsidR="00000000" w:rsidRPr="00000000">
      <w:rPr>
        <w:b w:val="1"/>
        <w:bCs w:val="1"/>
        <w:color w:val="666666"/>
        <w:sz w:val="20"/>
        <w:szCs w:val="20"/>
        <w:rtl w:val="0"/>
      </w:rPr>
      <w:br w:type="textWrapping"/>
    </w:r>
    <w:r w:rsidDel="00000000" w:rsidR="00000000" w:rsidRPr="00000000">
      <w:rPr>
        <w:color w:val="666666"/>
        <w:sz w:val="20"/>
        <w:szCs w:val="20"/>
        <w:rtl w:val="0"/>
      </w:rPr>
      <w:t xml:space="preserve">Mühlenstraße 10</w:t>
      <w:br w:type="textWrapping"/>
      <w:t xml:space="preserve">68173 Schwetzingen, Germany</w:t>
    </w:r>
    <w:r w:rsidDel="00000000" w:rsidR="00000000" w:rsidRPr="00000000">
      <w:rPr>
        <w:sz w:val="20"/>
        <w:szCs w:val="20"/>
        <w:rtl w:val="0"/>
      </w:rPr>
      <w:br w:type="textWrapping"/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daniel.boykov.dimitrov@gmail.com</w:t>
      </w:r>
    </w:hyperlink>
    <w:r w:rsidDel="00000000" w:rsidR="00000000" w:rsidRPr="00000000">
      <w:rPr>
        <w:sz w:val="20"/>
        <w:szCs w:val="20"/>
        <w:rtl w:val="0"/>
      </w:rPr>
      <w:t xml:space="preserve"> </w:t>
      <w:br w:type="textWrapping"/>
    </w:r>
    <w:r w:rsidDel="00000000" w:rsidR="00000000" w:rsidRPr="00000000">
      <w:rPr>
        <w:color w:val="666666"/>
        <w:sz w:val="20"/>
        <w:szCs w:val="20"/>
        <w:rtl w:val="0"/>
      </w:rPr>
      <w:t xml:space="preserve">Tel: +49 177 705 6912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aezlab/liana-py" TargetMode="External"/><Relationship Id="rId7" Type="http://schemas.openxmlformats.org/officeDocument/2006/relationships/hyperlink" Target="https://drive.google.com/file/d/1wvr1mhpC4kxymN_RFg4VlMxcgOfVUt1i/view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daniel.boykov.dimitro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