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ASPP Standards-Alignment Document v1.0</w:t>
      </w:r>
    </w:p>
    <w:p>
      <w:pPr>
        <w:jc w:val="center"/>
      </w:pPr>
      <w:r>
        <w:rPr>
          <w:b/>
          <w:sz w:val="24"/>
        </w:rPr>
        <w:t>The Allie Scenario Prompting Protocol (ASPP)</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
              <w:rPr>
                <w:b/>
                <w:sz w:val="17"/>
              </w:rPr>
              <w:t>Field</w:t>
            </w:r>
          </w:p>
        </w:tc>
        <w:tc>
          <w:tcPr>
            <w:tcW w:type="dxa" w:w="5256"/>
            <w:shd w:fill="D9EAF7"/>
          </w:tcPr>
          <w:p>
            <w:r/>
            <w:r>
              <w:rPr>
                <w:b/>
                <w:sz w:val="17"/>
              </w:rPr>
              <w:t>Value</w:t>
            </w:r>
          </w:p>
        </w:tc>
      </w:tr>
      <w:tr>
        <w:tc>
          <w:tcPr>
            <w:tcW w:type="dxa" w:w="5256"/>
            <w:vAlign w:val="top"/>
          </w:tcPr>
          <w:p>
            <w:r/>
            <w:r>
              <w:rPr>
                <w:b w:val="0"/>
                <w:sz w:val="17"/>
              </w:rPr>
              <w:t>Protocol</w:t>
            </w:r>
          </w:p>
        </w:tc>
        <w:tc>
          <w:tcPr>
            <w:tcW w:type="dxa" w:w="5256"/>
            <w:vAlign w:val="top"/>
          </w:tcPr>
          <w:p>
            <w:r/>
            <w:r>
              <w:rPr>
                <w:b w:val="0"/>
                <w:sz w:val="17"/>
              </w:rPr>
              <w:t>The Allie Scenario Prompting Protocol (ASPP)</w:t>
            </w:r>
          </w:p>
        </w:tc>
      </w:tr>
      <w:tr>
        <w:tc>
          <w:tcPr>
            <w:tcW w:type="dxa" w:w="5256"/>
            <w:vAlign w:val="top"/>
          </w:tcPr>
          <w:p>
            <w:r/>
            <w:r>
              <w:rPr>
                <w:b w:val="0"/>
                <w:sz w:val="17"/>
              </w:rPr>
              <w:t>Framework</w:t>
            </w:r>
          </w:p>
        </w:tc>
        <w:tc>
          <w:tcPr>
            <w:tcW w:type="dxa" w:w="5256"/>
            <w:vAlign w:val="top"/>
          </w:tcPr>
          <w:p>
            <w:r/>
            <w:r>
              <w:rPr>
                <w:b w:val="0"/>
                <w:sz w:val="17"/>
              </w:rPr>
              <w:t>S.C.E.N.A.R.I.O.</w:t>
            </w:r>
          </w:p>
        </w:tc>
      </w:tr>
      <w:tr>
        <w:tc>
          <w:tcPr>
            <w:tcW w:type="dxa" w:w="5256"/>
            <w:vAlign w:val="top"/>
          </w:tcPr>
          <w:p>
            <w:r/>
            <w:r>
              <w:rPr>
                <w:b w:val="0"/>
                <w:sz w:val="17"/>
              </w:rPr>
              <w:t>Creator</w:t>
            </w:r>
          </w:p>
        </w:tc>
        <w:tc>
          <w:tcPr>
            <w:tcW w:type="dxa" w:w="5256"/>
            <w:vAlign w:val="top"/>
          </w:tcPr>
          <w:p>
            <w:r/>
            <w:r>
              <w:rPr>
                <w:b w:val="0"/>
                <w:sz w:val="17"/>
              </w:rPr>
              <w:t>Darren L. Allie</w:t>
            </w:r>
          </w:p>
        </w:tc>
      </w:tr>
      <w:tr>
        <w:tc>
          <w:tcPr>
            <w:tcW w:type="dxa" w:w="5256"/>
            <w:vAlign w:val="top"/>
          </w:tcPr>
          <w:p>
            <w:r/>
            <w:r>
              <w:rPr>
                <w:b w:val="0"/>
                <w:sz w:val="17"/>
              </w:rPr>
              <w:t>Creator Title</w:t>
            </w:r>
          </w:p>
        </w:tc>
        <w:tc>
          <w:tcPr>
            <w:tcW w:type="dxa" w:w="5256"/>
            <w:vAlign w:val="top"/>
          </w:tcPr>
          <w:p>
            <w:r/>
            <w:r>
              <w:rPr>
                <w:b w:val="0"/>
                <w:sz w:val="17"/>
              </w:rPr>
              <w:t>Director of AI Workflow Optimization and AI Business Improvement</w:t>
            </w:r>
          </w:p>
        </w:tc>
      </w:tr>
      <w:tr>
        <w:tc>
          <w:tcPr>
            <w:tcW w:type="dxa" w:w="5256"/>
            <w:vAlign w:val="top"/>
          </w:tcPr>
          <w:p>
            <w:r/>
            <w:r>
              <w:rPr>
                <w:b w:val="0"/>
                <w:sz w:val="17"/>
              </w:rPr>
              <w:t>Organization</w:t>
            </w:r>
          </w:p>
        </w:tc>
        <w:tc>
          <w:tcPr>
            <w:tcW w:type="dxa" w:w="5256"/>
            <w:vAlign w:val="top"/>
          </w:tcPr>
          <w:p>
            <w:r/>
            <w:r>
              <w:rPr>
                <w:b w:val="0"/>
                <w:sz w:val="17"/>
              </w:rPr>
              <w:t>Azure &amp; Verdant Vistas, LLC</w:t>
            </w:r>
          </w:p>
        </w:tc>
      </w:tr>
      <w:tr>
        <w:tc>
          <w:tcPr>
            <w:tcW w:type="dxa" w:w="5256"/>
            <w:vAlign w:val="top"/>
          </w:tcPr>
          <w:p>
            <w:r/>
            <w:r>
              <w:rPr>
                <w:b w:val="0"/>
                <w:sz w:val="17"/>
              </w:rPr>
              <w:t>DOI</w:t>
            </w:r>
          </w:p>
        </w:tc>
        <w:tc>
          <w:tcPr>
            <w:tcW w:type="dxa" w:w="5256"/>
            <w:vAlign w:val="top"/>
          </w:tcPr>
          <w:p>
            <w:r/>
            <w:r>
              <w:rPr>
                <w:b w:val="0"/>
                <w:sz w:val="17"/>
              </w:rPr>
              <w:t>10.5281/zenodo.20596641</w:t>
            </w:r>
          </w:p>
        </w:tc>
      </w:tr>
      <w:tr>
        <w:tc>
          <w:tcPr>
            <w:tcW w:type="dxa" w:w="5256"/>
            <w:vAlign w:val="top"/>
          </w:tcPr>
          <w:p>
            <w:r/>
            <w:r>
              <w:rPr>
                <w:b w:val="0"/>
                <w:sz w:val="17"/>
              </w:rPr>
              <w:t>Version</w:t>
            </w:r>
          </w:p>
        </w:tc>
        <w:tc>
          <w:tcPr>
            <w:tcW w:type="dxa" w:w="5256"/>
            <w:vAlign w:val="top"/>
          </w:tcPr>
          <w:p>
            <w:r/>
            <w:r>
              <w:rPr>
                <w:b w:val="0"/>
                <w:sz w:val="17"/>
              </w:rPr>
              <w:t>1.0</w:t>
            </w:r>
          </w:p>
        </w:tc>
      </w:tr>
      <w:tr>
        <w:tc>
          <w:tcPr>
            <w:tcW w:type="dxa" w:w="5256"/>
            <w:vAlign w:val="top"/>
          </w:tcPr>
          <w:p>
            <w:r/>
            <w:r>
              <w:rPr>
                <w:b w:val="0"/>
                <w:sz w:val="17"/>
              </w:rPr>
              <w:t>License</w:t>
            </w:r>
          </w:p>
        </w:tc>
        <w:tc>
          <w:tcPr>
            <w:tcW w:type="dxa" w:w="5256"/>
            <w:vAlign w:val="top"/>
          </w:tcPr>
          <w:p>
            <w:r/>
            <w:r>
              <w:rPr>
                <w:b w:val="0"/>
                <w:sz w:val="17"/>
              </w:rPr>
              <w:t>Creative Commons Attribution 4.0 International (CC BY 4.0)</w:t>
            </w:r>
          </w:p>
        </w:tc>
      </w:tr>
    </w:tbl>
    <w:p>
      <w:pPr>
        <w:pStyle w:val="Heading1"/>
      </w:pPr>
      <w:r>
        <w:t>1. Purpose</w:t>
      </w:r>
    </w:p>
    <w:p>
      <w:r>
        <w:t>This document maps The Allie Scenario Prompting Protocol (ASPP) to widely used AI governance, risk-management, AI management-system, and LLM application-security frameworks. ASPP is not a certification standard. It is a practical prompt-governance and decision-support methodology that can support structured AI use, decision traceability, constraint-aware outputs, anti-fabrication controls, and human review practices.</w:t>
      </w:r>
    </w:p>
    <w:p>
      <w:pPr>
        <w:pStyle w:val="Heading1"/>
      </w:pPr>
      <w:r>
        <w:t>2. ASPP Governance Value Statement</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
              <w:rPr>
                <w:b/>
                <w:sz w:val="17"/>
              </w:rPr>
              <w:t>ASPP Control Feature</w:t>
            </w:r>
          </w:p>
        </w:tc>
        <w:tc>
          <w:tcPr>
            <w:tcW w:type="dxa" w:w="5256"/>
            <w:shd w:fill="D9EAF7"/>
          </w:tcPr>
          <w:p>
            <w:r/>
            <w:r>
              <w:rPr>
                <w:b/>
                <w:sz w:val="17"/>
              </w:rPr>
              <w:t>Governance Value</w:t>
            </w:r>
          </w:p>
        </w:tc>
      </w:tr>
      <w:tr>
        <w:tc>
          <w:tcPr>
            <w:tcW w:type="dxa" w:w="5256"/>
            <w:vAlign w:val="top"/>
          </w:tcPr>
          <w:p>
            <w:r/>
            <w:r>
              <w:rPr>
                <w:b w:val="0"/>
                <w:sz w:val="17"/>
              </w:rPr>
              <w:t>Desired outcome definition</w:t>
            </w:r>
          </w:p>
        </w:tc>
        <w:tc>
          <w:tcPr>
            <w:tcW w:type="dxa" w:w="5256"/>
            <w:vAlign w:val="top"/>
          </w:tcPr>
          <w:p>
            <w:r/>
            <w:r>
              <w:rPr>
                <w:b w:val="0"/>
                <w:sz w:val="17"/>
              </w:rPr>
              <w:t>Reduces ambiguous AI tasking.</w:t>
            </w:r>
          </w:p>
        </w:tc>
      </w:tr>
      <w:tr>
        <w:tc>
          <w:tcPr>
            <w:tcW w:type="dxa" w:w="5256"/>
            <w:vAlign w:val="top"/>
          </w:tcPr>
          <w:p>
            <w:r/>
            <w:r>
              <w:rPr>
                <w:b w:val="0"/>
                <w:sz w:val="17"/>
              </w:rPr>
              <w:t>Scenario context clarification</w:t>
            </w:r>
          </w:p>
        </w:tc>
        <w:tc>
          <w:tcPr>
            <w:tcW w:type="dxa" w:w="5256"/>
            <w:vAlign w:val="top"/>
          </w:tcPr>
          <w:p>
            <w:r/>
            <w:r>
              <w:rPr>
                <w:b w:val="0"/>
                <w:sz w:val="17"/>
              </w:rPr>
              <w:t>Improves traceability and decision relevance.</w:t>
            </w:r>
          </w:p>
        </w:tc>
      </w:tr>
      <w:tr>
        <w:tc>
          <w:tcPr>
            <w:tcW w:type="dxa" w:w="5256"/>
            <w:vAlign w:val="top"/>
          </w:tcPr>
          <w:p>
            <w:r/>
            <w:r>
              <w:rPr>
                <w:b w:val="0"/>
                <w:sz w:val="17"/>
              </w:rPr>
              <w:t>Constraint and risk examination</w:t>
            </w:r>
          </w:p>
        </w:tc>
        <w:tc>
          <w:tcPr>
            <w:tcW w:type="dxa" w:w="5256"/>
            <w:vAlign w:val="top"/>
          </w:tcPr>
          <w:p>
            <w:r/>
            <w:r>
              <w:rPr>
                <w:b w:val="0"/>
                <w:sz w:val="17"/>
              </w:rPr>
              <w:t>Encourages risk-aware prompting before output generation.</w:t>
            </w:r>
          </w:p>
        </w:tc>
      </w:tr>
      <w:tr>
        <w:tc>
          <w:tcPr>
            <w:tcW w:type="dxa" w:w="5256"/>
            <w:vAlign w:val="top"/>
          </w:tcPr>
          <w:p>
            <w:r/>
            <w:r>
              <w:rPr>
                <w:b w:val="0"/>
                <w:sz w:val="17"/>
              </w:rPr>
              <w:t>Decision-space narrowing</w:t>
            </w:r>
          </w:p>
        </w:tc>
        <w:tc>
          <w:tcPr>
            <w:tcW w:type="dxa" w:w="5256"/>
            <w:vAlign w:val="top"/>
          </w:tcPr>
          <w:p>
            <w:r/>
            <w:r>
              <w:rPr>
                <w:b w:val="0"/>
                <w:sz w:val="17"/>
              </w:rPr>
              <w:t>Reduces low-value brainstorming and unsupported options.</w:t>
            </w:r>
          </w:p>
        </w:tc>
      </w:tr>
      <w:tr>
        <w:tc>
          <w:tcPr>
            <w:tcW w:type="dxa" w:w="5256"/>
            <w:vAlign w:val="top"/>
          </w:tcPr>
          <w:p>
            <w:r/>
            <w:r>
              <w:rPr>
                <w:b w:val="0"/>
                <w:sz w:val="17"/>
              </w:rPr>
              <w:t>Logic, reasoning, coding, or calculation</w:t>
            </w:r>
          </w:p>
        </w:tc>
        <w:tc>
          <w:tcPr>
            <w:tcW w:type="dxa" w:w="5256"/>
            <w:vAlign w:val="top"/>
          </w:tcPr>
          <w:p>
            <w:r/>
            <w:r>
              <w:rPr>
                <w:b w:val="0"/>
                <w:sz w:val="17"/>
              </w:rPr>
              <w:t>Matches the analysis method to the scenario.</w:t>
            </w:r>
          </w:p>
        </w:tc>
      </w:tr>
      <w:tr>
        <w:tc>
          <w:tcPr>
            <w:tcW w:type="dxa" w:w="5256"/>
            <w:vAlign w:val="top"/>
          </w:tcPr>
          <w:p>
            <w:r/>
            <w:r>
              <w:rPr>
                <w:b w:val="0"/>
                <w:sz w:val="17"/>
              </w:rPr>
              <w:t>Single best recommendation</w:t>
            </w:r>
          </w:p>
        </w:tc>
        <w:tc>
          <w:tcPr>
            <w:tcW w:type="dxa" w:w="5256"/>
            <w:vAlign w:val="top"/>
          </w:tcPr>
          <w:p>
            <w:r/>
            <w:r>
              <w:rPr>
                <w:b w:val="0"/>
                <w:sz w:val="17"/>
              </w:rPr>
              <w:t>Creates accountable decision support rather than uncontrolled alternatives.</w:t>
            </w:r>
          </w:p>
        </w:tc>
      </w:tr>
      <w:tr>
        <w:tc>
          <w:tcPr>
            <w:tcW w:type="dxa" w:w="5256"/>
            <w:vAlign w:val="top"/>
          </w:tcPr>
          <w:p>
            <w:r/>
            <w:r>
              <w:rPr>
                <w:b w:val="0"/>
                <w:sz w:val="17"/>
              </w:rPr>
              <w:t>Conditional alternatives only when necessary</w:t>
            </w:r>
          </w:p>
        </w:tc>
        <w:tc>
          <w:tcPr>
            <w:tcW w:type="dxa" w:w="5256"/>
            <w:vAlign w:val="top"/>
          </w:tcPr>
          <w:p>
            <w:r/>
            <w:r>
              <w:rPr>
                <w:b w:val="0"/>
                <w:sz w:val="17"/>
              </w:rPr>
              <w:t>Limits overproduction and confusion.</w:t>
            </w:r>
          </w:p>
        </w:tc>
      </w:tr>
      <w:tr>
        <w:tc>
          <w:tcPr>
            <w:tcW w:type="dxa" w:w="5256"/>
            <w:vAlign w:val="top"/>
          </w:tcPr>
          <w:p>
            <w:r/>
            <w:r>
              <w:rPr>
                <w:b w:val="0"/>
                <w:sz w:val="17"/>
              </w:rPr>
              <w:t>Executable action plan</w:t>
            </w:r>
          </w:p>
        </w:tc>
        <w:tc>
          <w:tcPr>
            <w:tcW w:type="dxa" w:w="5256"/>
            <w:vAlign w:val="top"/>
          </w:tcPr>
          <w:p>
            <w:r/>
            <w:r>
              <w:rPr>
                <w:b w:val="0"/>
                <w:sz w:val="17"/>
              </w:rPr>
              <w:t>Converts reasoning into reviewable next steps.</w:t>
            </w:r>
          </w:p>
        </w:tc>
      </w:tr>
      <w:tr>
        <w:tc>
          <w:tcPr>
            <w:tcW w:type="dxa" w:w="5256"/>
            <w:vAlign w:val="top"/>
          </w:tcPr>
          <w:p>
            <w:r/>
            <w:r>
              <w:rPr>
                <w:b w:val="0"/>
                <w:sz w:val="17"/>
              </w:rPr>
              <w:t>Anti-fabrication rule</w:t>
            </w:r>
          </w:p>
        </w:tc>
        <w:tc>
          <w:tcPr>
            <w:tcW w:type="dxa" w:w="5256"/>
            <w:vAlign w:val="top"/>
          </w:tcPr>
          <w:p>
            <w:r/>
            <w:r>
              <w:rPr>
                <w:b w:val="0"/>
                <w:sz w:val="17"/>
              </w:rPr>
              <w:t>Discourages unsupported claims, invented data, and misleading certainty.</w:t>
            </w:r>
          </w:p>
        </w:tc>
      </w:tr>
    </w:tbl>
    <w:p>
      <w:pPr>
        <w:pStyle w:val="Heading1"/>
      </w:pPr>
      <w:r>
        <w:t>3. Core ASPP Control Principles</w:t>
      </w:r>
    </w:p>
    <w:p>
      <w:pPr>
        <w:pStyle w:val="ListBullet"/>
      </w:pPr>
      <w:r>
        <w:t>Scenario constraint: AI outputs must stay grounded in the provided scenario.</w:t>
      </w:r>
    </w:p>
    <w:p>
      <w:pPr>
        <w:pStyle w:val="ListBullet"/>
      </w:pPr>
      <w:r>
        <w:t>Outcome-first design: the desired end state must be stated before analysis begins.</w:t>
      </w:r>
    </w:p>
    <w:p>
      <w:pPr>
        <w:pStyle w:val="ListBullet"/>
      </w:pPr>
      <w:r>
        <w:t>Constraint awareness: risks, rules, budget, time, legal, operational, and human constraints must be surfaced.</w:t>
      </w:r>
    </w:p>
    <w:p>
      <w:pPr>
        <w:pStyle w:val="ListBullet"/>
      </w:pPr>
      <w:r>
        <w:t>Decision narrowing: the AI system should reduce unnecessary options and recommend one best actionable output by default.</w:t>
      </w:r>
    </w:p>
    <w:p>
      <w:pPr>
        <w:pStyle w:val="ListBullet"/>
      </w:pPr>
      <w:r>
        <w:t>Anti-fabrication: the system must not invent unsupported facts, metrics, legal claims, market data, or technical capabilities.</w:t>
      </w:r>
    </w:p>
    <w:p>
      <w:pPr>
        <w:pStyle w:val="ListBullet"/>
      </w:pPr>
      <w:r>
        <w:t>Human review: ASPP outputs should support decisions; they should not replace professional judgment.</w:t>
      </w:r>
    </w:p>
    <w:p>
      <w:pPr>
        <w:pStyle w:val="ListBullet"/>
      </w:pPr>
      <w:r>
        <w:t>Executable output: recommendations should end with practical steps, review points, and measurable success criteria.</w:t>
      </w:r>
    </w:p>
    <w:p>
      <w:pPr>
        <w:pStyle w:val="Heading1"/>
      </w:pPr>
      <w:r>
        <w:t>4. Alignment with NIST AI RMF 1.0</w:t>
      </w:r>
    </w:p>
    <w:p>
      <w:r>
        <w:t>NIST AI RMF 1.0 organizes AI risk-management activities through the Core functions Govern, Map, Measure, and Manage. ASPP aligns with these functions as a prompt-level decision-support method.</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
              <w:rPr>
                <w:b/>
                <w:sz w:val="17"/>
              </w:rPr>
              <w:t>NIST AI RMF Function</w:t>
            </w:r>
          </w:p>
        </w:tc>
        <w:tc>
          <w:tcPr>
            <w:tcW w:type="dxa" w:w="3504"/>
            <w:shd w:fill="D9EAF7"/>
          </w:tcPr>
          <w:p>
            <w:r/>
            <w:r>
              <w:rPr>
                <w:b/>
                <w:sz w:val="17"/>
              </w:rPr>
              <w:t>ASPP Alignment</w:t>
            </w:r>
          </w:p>
        </w:tc>
        <w:tc>
          <w:tcPr>
            <w:tcW w:type="dxa" w:w="3504"/>
            <w:shd w:fill="D9EAF7"/>
          </w:tcPr>
          <w:p>
            <w:r/>
            <w:r>
              <w:rPr>
                <w:b/>
                <w:sz w:val="17"/>
              </w:rPr>
              <w:t>Practical ASPP Use</w:t>
            </w:r>
          </w:p>
        </w:tc>
      </w:tr>
      <w:tr>
        <w:tc>
          <w:tcPr>
            <w:tcW w:type="dxa" w:w="3504"/>
            <w:vAlign w:val="top"/>
          </w:tcPr>
          <w:p>
            <w:r/>
            <w:r>
              <w:rPr>
                <w:b w:val="0"/>
                <w:sz w:val="17"/>
              </w:rPr>
              <w:t>Govern</w:t>
            </w:r>
          </w:p>
        </w:tc>
        <w:tc>
          <w:tcPr>
            <w:tcW w:type="dxa" w:w="3504"/>
            <w:vAlign w:val="top"/>
          </w:tcPr>
          <w:p>
            <w:r/>
            <w:r>
              <w:rPr>
                <w:b w:val="0"/>
                <w:sz w:val="17"/>
              </w:rPr>
              <w:t>Repeatable prompt structure, anti-fabrication expectations, attribution, and review expectations.</w:t>
            </w:r>
          </w:p>
        </w:tc>
        <w:tc>
          <w:tcPr>
            <w:tcW w:type="dxa" w:w="3504"/>
            <w:vAlign w:val="top"/>
          </w:tcPr>
          <w:p>
            <w:r/>
            <w:r>
              <w:rPr>
                <w:b w:val="0"/>
                <w:sz w:val="17"/>
              </w:rPr>
              <w:t>Adopt ASPP as a required structure for high-impact AI decision prompts.</w:t>
            </w:r>
          </w:p>
        </w:tc>
      </w:tr>
      <w:tr>
        <w:tc>
          <w:tcPr>
            <w:tcW w:type="dxa" w:w="3504"/>
            <w:vAlign w:val="top"/>
          </w:tcPr>
          <w:p>
            <w:r/>
            <w:r>
              <w:rPr>
                <w:b w:val="0"/>
                <w:sz w:val="17"/>
              </w:rPr>
              <w:t>Map</w:t>
            </w:r>
          </w:p>
        </w:tc>
        <w:tc>
          <w:tcPr>
            <w:tcW w:type="dxa" w:w="3504"/>
            <w:vAlign w:val="top"/>
          </w:tcPr>
          <w:p>
            <w:r/>
            <w:r>
              <w:rPr>
                <w:b w:val="0"/>
                <w:sz w:val="17"/>
              </w:rPr>
              <w:t>S, C, and E require desired outcome, scenario context, constraints, and risks.</w:t>
            </w:r>
          </w:p>
        </w:tc>
        <w:tc>
          <w:tcPr>
            <w:tcW w:type="dxa" w:w="3504"/>
            <w:vAlign w:val="top"/>
          </w:tcPr>
          <w:p>
            <w:r/>
            <w:r>
              <w:rPr>
                <w:b w:val="0"/>
                <w:sz w:val="17"/>
              </w:rPr>
              <w:t>Require users to identify scenario context before asking for recommendations.</w:t>
            </w:r>
          </w:p>
        </w:tc>
      </w:tr>
      <w:tr>
        <w:tc>
          <w:tcPr>
            <w:tcW w:type="dxa" w:w="3504"/>
            <w:vAlign w:val="top"/>
          </w:tcPr>
          <w:p>
            <w:r/>
            <w:r>
              <w:rPr>
                <w:b w:val="0"/>
                <w:sz w:val="17"/>
              </w:rPr>
              <w:t>Measure</w:t>
            </w:r>
          </w:p>
        </w:tc>
        <w:tc>
          <w:tcPr>
            <w:tcW w:type="dxa" w:w="3504"/>
            <w:vAlign w:val="top"/>
          </w:tcPr>
          <w:p>
            <w:r/>
            <w:r>
              <w:rPr>
                <w:b w:val="0"/>
                <w:sz w:val="17"/>
              </w:rPr>
              <w:t>A requires structured analysis; ASPP-Bench and the ASPP Rubric support evaluation.</w:t>
            </w:r>
          </w:p>
        </w:tc>
        <w:tc>
          <w:tcPr>
            <w:tcW w:type="dxa" w:w="3504"/>
            <w:vAlign w:val="top"/>
          </w:tcPr>
          <w:p>
            <w:r/>
            <w:r>
              <w:rPr>
                <w:b w:val="0"/>
                <w:sz w:val="17"/>
              </w:rPr>
              <w:t>Score AI responses for ASPP compliance and track failure conditions.</w:t>
            </w:r>
          </w:p>
        </w:tc>
      </w:tr>
      <w:tr>
        <w:tc>
          <w:tcPr>
            <w:tcW w:type="dxa" w:w="3504"/>
            <w:vAlign w:val="top"/>
          </w:tcPr>
          <w:p>
            <w:r/>
            <w:r>
              <w:rPr>
                <w:b w:val="0"/>
                <w:sz w:val="17"/>
              </w:rPr>
              <w:t>Manage</w:t>
            </w:r>
          </w:p>
        </w:tc>
        <w:tc>
          <w:tcPr>
            <w:tcW w:type="dxa" w:w="3504"/>
            <w:vAlign w:val="top"/>
          </w:tcPr>
          <w:p>
            <w:r/>
            <w:r>
              <w:rPr>
                <w:b w:val="0"/>
                <w:sz w:val="17"/>
              </w:rPr>
              <w:t>R, I, and O recommend one best output, limit alternatives, and create executable plans.</w:t>
            </w:r>
          </w:p>
        </w:tc>
        <w:tc>
          <w:tcPr>
            <w:tcW w:type="dxa" w:w="3504"/>
            <w:vAlign w:val="top"/>
          </w:tcPr>
          <w:p>
            <w:r/>
            <w:r>
              <w:rPr>
                <w:b w:val="0"/>
                <w:sz w:val="17"/>
              </w:rPr>
              <w:t>Use ASPP outputs as reviewable decision-support records.</w:t>
            </w:r>
          </w:p>
        </w:tc>
      </w:tr>
    </w:tbl>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
              <w:rPr>
                <w:b/>
                <w:sz w:val="17"/>
              </w:rPr>
              <w:t>NIST Trustworthiness Characteristic</w:t>
            </w:r>
          </w:p>
        </w:tc>
        <w:tc>
          <w:tcPr>
            <w:tcW w:type="dxa" w:w="5256"/>
            <w:shd w:fill="D9EAF7"/>
          </w:tcPr>
          <w:p>
            <w:r/>
            <w:r>
              <w:rPr>
                <w:b/>
                <w:sz w:val="17"/>
              </w:rPr>
              <w:t>ASPP Contribution</w:t>
            </w:r>
          </w:p>
        </w:tc>
      </w:tr>
      <w:tr>
        <w:tc>
          <w:tcPr>
            <w:tcW w:type="dxa" w:w="5256"/>
            <w:vAlign w:val="top"/>
          </w:tcPr>
          <w:p>
            <w:r/>
            <w:r>
              <w:rPr>
                <w:b w:val="0"/>
                <w:sz w:val="17"/>
              </w:rPr>
              <w:t>Valid and reliable</w:t>
            </w:r>
          </w:p>
        </w:tc>
        <w:tc>
          <w:tcPr>
            <w:tcW w:type="dxa" w:w="5256"/>
            <w:vAlign w:val="top"/>
          </w:tcPr>
          <w:p>
            <w:r/>
            <w:r>
              <w:rPr>
                <w:b w:val="0"/>
                <w:sz w:val="17"/>
              </w:rPr>
              <w:t>Encourages fact-grounded scenario analysis and avoids unsupported claims.</w:t>
            </w:r>
          </w:p>
        </w:tc>
      </w:tr>
      <w:tr>
        <w:tc>
          <w:tcPr>
            <w:tcW w:type="dxa" w:w="5256"/>
            <w:vAlign w:val="top"/>
          </w:tcPr>
          <w:p>
            <w:r/>
            <w:r>
              <w:rPr>
                <w:b w:val="0"/>
                <w:sz w:val="17"/>
              </w:rPr>
              <w:t>Safe</w:t>
            </w:r>
          </w:p>
        </w:tc>
        <w:tc>
          <w:tcPr>
            <w:tcW w:type="dxa" w:w="5256"/>
            <w:vAlign w:val="top"/>
          </w:tcPr>
          <w:p>
            <w:r/>
            <w:r>
              <w:rPr>
                <w:b w:val="0"/>
                <w:sz w:val="17"/>
              </w:rPr>
              <w:t>Requires identification of risks, constraints, and execution limits.</w:t>
            </w:r>
          </w:p>
        </w:tc>
      </w:tr>
      <w:tr>
        <w:tc>
          <w:tcPr>
            <w:tcW w:type="dxa" w:w="5256"/>
            <w:vAlign w:val="top"/>
          </w:tcPr>
          <w:p>
            <w:r/>
            <w:r>
              <w:rPr>
                <w:b w:val="0"/>
                <w:sz w:val="17"/>
              </w:rPr>
              <w:t>Secure and resilient</w:t>
            </w:r>
          </w:p>
        </w:tc>
        <w:tc>
          <w:tcPr>
            <w:tcW w:type="dxa" w:w="5256"/>
            <w:vAlign w:val="top"/>
          </w:tcPr>
          <w:p>
            <w:r/>
            <w:r>
              <w:rPr>
                <w:b w:val="0"/>
                <w:sz w:val="17"/>
              </w:rPr>
              <w:t>Can include security constraints and OWASP LLM risk checks.</w:t>
            </w:r>
          </w:p>
        </w:tc>
      </w:tr>
      <w:tr>
        <w:tc>
          <w:tcPr>
            <w:tcW w:type="dxa" w:w="5256"/>
            <w:vAlign w:val="top"/>
          </w:tcPr>
          <w:p>
            <w:r/>
            <w:r>
              <w:rPr>
                <w:b w:val="0"/>
                <w:sz w:val="17"/>
              </w:rPr>
              <w:t>Accountable and transparent</w:t>
            </w:r>
          </w:p>
        </w:tc>
        <w:tc>
          <w:tcPr>
            <w:tcW w:type="dxa" w:w="5256"/>
            <w:vAlign w:val="top"/>
          </w:tcPr>
          <w:p>
            <w:r/>
            <w:r>
              <w:rPr>
                <w:b w:val="0"/>
                <w:sz w:val="17"/>
              </w:rPr>
              <w:t>Provides a visible reasoning structure and attribution statement.</w:t>
            </w:r>
          </w:p>
        </w:tc>
      </w:tr>
      <w:tr>
        <w:tc>
          <w:tcPr>
            <w:tcW w:type="dxa" w:w="5256"/>
            <w:vAlign w:val="top"/>
          </w:tcPr>
          <w:p>
            <w:r/>
            <w:r>
              <w:rPr>
                <w:b w:val="0"/>
                <w:sz w:val="17"/>
              </w:rPr>
              <w:t>Explainable and interpretable</w:t>
            </w:r>
          </w:p>
        </w:tc>
        <w:tc>
          <w:tcPr>
            <w:tcW w:type="dxa" w:w="5256"/>
            <w:vAlign w:val="top"/>
          </w:tcPr>
          <w:p>
            <w:r/>
            <w:r>
              <w:rPr>
                <w:b w:val="0"/>
                <w:sz w:val="17"/>
              </w:rPr>
              <w:t>Outputs are organized by S.C.E.N.A.R.I.O. stages.</w:t>
            </w:r>
          </w:p>
        </w:tc>
      </w:tr>
      <w:tr>
        <w:tc>
          <w:tcPr>
            <w:tcW w:type="dxa" w:w="5256"/>
            <w:vAlign w:val="top"/>
          </w:tcPr>
          <w:p>
            <w:r/>
            <w:r>
              <w:rPr>
                <w:b w:val="0"/>
                <w:sz w:val="17"/>
              </w:rPr>
              <w:t>Privacy-enhanced</w:t>
            </w:r>
          </w:p>
        </w:tc>
        <w:tc>
          <w:tcPr>
            <w:tcW w:type="dxa" w:w="5256"/>
            <w:vAlign w:val="top"/>
          </w:tcPr>
          <w:p>
            <w:r/>
            <w:r>
              <w:rPr>
                <w:b w:val="0"/>
                <w:sz w:val="17"/>
              </w:rPr>
              <w:t>Can require privacy constraints and prohibit sensitive-data disclosure.</w:t>
            </w:r>
          </w:p>
        </w:tc>
      </w:tr>
      <w:tr>
        <w:tc>
          <w:tcPr>
            <w:tcW w:type="dxa" w:w="5256"/>
            <w:vAlign w:val="top"/>
          </w:tcPr>
          <w:p>
            <w:r/>
            <w:r>
              <w:rPr>
                <w:b w:val="0"/>
                <w:sz w:val="17"/>
              </w:rPr>
              <w:t>Fair, with harmful bias managed</w:t>
            </w:r>
          </w:p>
        </w:tc>
        <w:tc>
          <w:tcPr>
            <w:tcW w:type="dxa" w:w="5256"/>
            <w:vAlign w:val="top"/>
          </w:tcPr>
          <w:p>
            <w:r/>
            <w:r>
              <w:rPr>
                <w:b w:val="0"/>
                <w:sz w:val="17"/>
              </w:rPr>
              <w:t>Can require stakeholder-impact review and bias-risk identification.</w:t>
            </w:r>
          </w:p>
        </w:tc>
      </w:tr>
    </w:tbl>
    <w:p>
      <w:pPr>
        <w:pStyle w:val="Heading1"/>
      </w:pPr>
      <w:r>
        <w:t>5. Alignment with NIST AI RMF Generative AI Profile</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
              <w:rPr>
                <w:b/>
                <w:sz w:val="17"/>
              </w:rPr>
              <w:t>Generative AI Risk Area</w:t>
            </w:r>
          </w:p>
        </w:tc>
        <w:tc>
          <w:tcPr>
            <w:tcW w:type="dxa" w:w="5256"/>
            <w:shd w:fill="D9EAF7"/>
          </w:tcPr>
          <w:p>
            <w:r/>
            <w:r>
              <w:rPr>
                <w:b/>
                <w:sz w:val="17"/>
              </w:rPr>
              <w:t>ASPP Control Support</w:t>
            </w:r>
          </w:p>
        </w:tc>
      </w:tr>
      <w:tr>
        <w:tc>
          <w:tcPr>
            <w:tcW w:type="dxa" w:w="5256"/>
            <w:vAlign w:val="top"/>
          </w:tcPr>
          <w:p>
            <w:r/>
            <w:r>
              <w:rPr>
                <w:b w:val="0"/>
                <w:sz w:val="17"/>
              </w:rPr>
              <w:t>Hallucination / fabrication</w:t>
            </w:r>
          </w:p>
        </w:tc>
        <w:tc>
          <w:tcPr>
            <w:tcW w:type="dxa" w:w="5256"/>
            <w:vAlign w:val="top"/>
          </w:tcPr>
          <w:p>
            <w:r/>
            <w:r>
              <w:rPr>
                <w:b w:val="0"/>
                <w:sz w:val="17"/>
              </w:rPr>
              <w:t>Anti-fabrication rule prohibits invented facts, legal claims, market data, and unsupported metrics.</w:t>
            </w:r>
          </w:p>
        </w:tc>
      </w:tr>
      <w:tr>
        <w:tc>
          <w:tcPr>
            <w:tcW w:type="dxa" w:w="5256"/>
            <w:vAlign w:val="top"/>
          </w:tcPr>
          <w:p>
            <w:r/>
            <w:r>
              <w:rPr>
                <w:b w:val="0"/>
                <w:sz w:val="17"/>
              </w:rPr>
              <w:t>Misleading certainty</w:t>
            </w:r>
          </w:p>
        </w:tc>
        <w:tc>
          <w:tcPr>
            <w:tcW w:type="dxa" w:w="5256"/>
            <w:vAlign w:val="top"/>
          </w:tcPr>
          <w:p>
            <w:r/>
            <w:r>
              <w:rPr>
                <w:b w:val="0"/>
                <w:sz w:val="17"/>
              </w:rPr>
              <w:t>Assumptions must be labeled and missing facts identified.</w:t>
            </w:r>
          </w:p>
        </w:tc>
      </w:tr>
      <w:tr>
        <w:tc>
          <w:tcPr>
            <w:tcW w:type="dxa" w:w="5256"/>
            <w:vAlign w:val="top"/>
          </w:tcPr>
          <w:p>
            <w:r/>
            <w:r>
              <w:rPr>
                <w:b w:val="0"/>
                <w:sz w:val="17"/>
              </w:rPr>
              <w:t>Unsafe or overbroad recommendations</w:t>
            </w:r>
          </w:p>
        </w:tc>
        <w:tc>
          <w:tcPr>
            <w:tcW w:type="dxa" w:w="5256"/>
            <w:vAlign w:val="top"/>
          </w:tcPr>
          <w:p>
            <w:r/>
            <w:r>
              <w:rPr>
                <w:b w:val="0"/>
                <w:sz w:val="17"/>
              </w:rPr>
              <w:t>Decisions are narrowed and constraints are examined before recommendation.</w:t>
            </w:r>
          </w:p>
        </w:tc>
      </w:tr>
      <w:tr>
        <w:tc>
          <w:tcPr>
            <w:tcW w:type="dxa" w:w="5256"/>
            <w:vAlign w:val="top"/>
          </w:tcPr>
          <w:p>
            <w:r/>
            <w:r>
              <w:rPr>
                <w:b w:val="0"/>
                <w:sz w:val="17"/>
              </w:rPr>
              <w:t>Overreliance on AI output</w:t>
            </w:r>
          </w:p>
        </w:tc>
        <w:tc>
          <w:tcPr>
            <w:tcW w:type="dxa" w:w="5256"/>
            <w:vAlign w:val="top"/>
          </w:tcPr>
          <w:p>
            <w:r/>
            <w:r>
              <w:rPr>
                <w:b w:val="0"/>
                <w:sz w:val="17"/>
              </w:rPr>
              <w:t>Outputs are framed as decision support with human review requirements.</w:t>
            </w:r>
          </w:p>
        </w:tc>
      </w:tr>
      <w:tr>
        <w:tc>
          <w:tcPr>
            <w:tcW w:type="dxa" w:w="5256"/>
            <w:vAlign w:val="top"/>
          </w:tcPr>
          <w:p>
            <w:r/>
            <w:r>
              <w:rPr>
                <w:b w:val="0"/>
                <w:sz w:val="17"/>
              </w:rPr>
              <w:t>Context collapse</w:t>
            </w:r>
          </w:p>
        </w:tc>
        <w:tc>
          <w:tcPr>
            <w:tcW w:type="dxa" w:w="5256"/>
            <w:vAlign w:val="top"/>
          </w:tcPr>
          <w:p>
            <w:r/>
            <w:r>
              <w:rPr>
                <w:b w:val="0"/>
                <w:sz w:val="17"/>
              </w:rPr>
              <w:t>Scenario context and desired outcome are required before analysis.</w:t>
            </w:r>
          </w:p>
        </w:tc>
      </w:tr>
      <w:tr>
        <w:tc>
          <w:tcPr>
            <w:tcW w:type="dxa" w:w="5256"/>
            <w:vAlign w:val="top"/>
          </w:tcPr>
          <w:p>
            <w:r/>
            <w:r>
              <w:rPr>
                <w:b w:val="0"/>
                <w:sz w:val="17"/>
              </w:rPr>
              <w:t>Actionability gap</w:t>
            </w:r>
          </w:p>
        </w:tc>
        <w:tc>
          <w:tcPr>
            <w:tcW w:type="dxa" w:w="5256"/>
            <w:vAlign w:val="top"/>
          </w:tcPr>
          <w:p>
            <w:r/>
            <w:r>
              <w:rPr>
                <w:b w:val="0"/>
                <w:sz w:val="17"/>
              </w:rPr>
              <w:t>Executable action plan required.</w:t>
            </w:r>
          </w:p>
        </w:tc>
      </w:tr>
    </w:tbl>
    <w:p>
      <w:pPr>
        <w:pStyle w:val="Heading1"/>
      </w:pPr>
      <w:r>
        <w:t>6. Alignment with ISO/IEC 42001:2023</w:t>
      </w:r>
    </w:p>
    <w:p>
      <w:r>
        <w:t>ISO/IEC 42001:2023 specifies requirements for establishing, implementing, maintaining, and continually improving an Artificial Intelligence Management System (AIMS). ASPP does not replace an AIMS, but it can support documented AI use and risk-control practices within an AIMS.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
              <w:rPr>
                <w:b/>
                <w:sz w:val="17"/>
              </w:rPr>
              <w:t>ISO/IEC 42001 Area</w:t>
            </w:r>
          </w:p>
        </w:tc>
        <w:tc>
          <w:tcPr>
            <w:tcW w:type="dxa" w:w="3504"/>
            <w:shd w:fill="D9EAF7"/>
          </w:tcPr>
          <w:p>
            <w:r/>
            <w:r>
              <w:rPr>
                <w:b/>
                <w:sz w:val="17"/>
              </w:rPr>
              <w:t>ASPP Alignment</w:t>
            </w:r>
          </w:p>
        </w:tc>
        <w:tc>
          <w:tcPr>
            <w:tcW w:type="dxa" w:w="3504"/>
            <w:shd w:fill="D9EAF7"/>
          </w:tcPr>
          <w:p>
            <w:r/>
            <w:r>
              <w:rPr>
                <w:b/>
                <w:sz w:val="17"/>
              </w:rPr>
              <w:t>Practical Use</w:t>
            </w:r>
          </w:p>
        </w:tc>
      </w:tr>
      <w:tr>
        <w:tc>
          <w:tcPr>
            <w:tcW w:type="dxa" w:w="3504"/>
            <w:vAlign w:val="top"/>
          </w:tcPr>
          <w:p>
            <w:r/>
            <w:r>
              <w:rPr>
                <w:b w:val="0"/>
                <w:sz w:val="17"/>
              </w:rPr>
              <w:t>Context of the organization</w:t>
            </w:r>
          </w:p>
        </w:tc>
        <w:tc>
          <w:tcPr>
            <w:tcW w:type="dxa" w:w="3504"/>
            <w:vAlign w:val="top"/>
          </w:tcPr>
          <w:p>
            <w:r/>
            <w:r>
              <w:rPr>
                <w:b w:val="0"/>
                <w:sz w:val="17"/>
              </w:rPr>
              <w:t>Requires scenario context and stakeholder conditions.</w:t>
            </w:r>
          </w:p>
        </w:tc>
        <w:tc>
          <w:tcPr>
            <w:tcW w:type="dxa" w:w="3504"/>
            <w:vAlign w:val="top"/>
          </w:tcPr>
          <w:p>
            <w:r/>
            <w:r>
              <w:rPr>
                <w:b w:val="0"/>
                <w:sz w:val="17"/>
              </w:rPr>
              <w:t>Document why AI-assisted decision support is being used.</w:t>
            </w:r>
          </w:p>
        </w:tc>
      </w:tr>
      <w:tr>
        <w:tc>
          <w:tcPr>
            <w:tcW w:type="dxa" w:w="3504"/>
            <w:vAlign w:val="top"/>
          </w:tcPr>
          <w:p>
            <w:r/>
            <w:r>
              <w:rPr>
                <w:b w:val="0"/>
                <w:sz w:val="17"/>
              </w:rPr>
              <w:t>Leadership and accountability</w:t>
            </w:r>
          </w:p>
        </w:tc>
        <w:tc>
          <w:tcPr>
            <w:tcW w:type="dxa" w:w="3504"/>
            <w:vAlign w:val="top"/>
          </w:tcPr>
          <w:p>
            <w:r/>
            <w:r>
              <w:rPr>
                <w:b w:val="0"/>
                <w:sz w:val="17"/>
              </w:rPr>
              <w:t>Includes attribution, decision structure, and review expectations.</w:t>
            </w:r>
          </w:p>
        </w:tc>
        <w:tc>
          <w:tcPr>
            <w:tcW w:type="dxa" w:w="3504"/>
            <w:vAlign w:val="top"/>
          </w:tcPr>
          <w:p>
            <w:r/>
            <w:r>
              <w:rPr>
                <w:b w:val="0"/>
                <w:sz w:val="17"/>
              </w:rPr>
              <w:t>Assign ownership for high-impact ASPP outputs.</w:t>
            </w:r>
          </w:p>
        </w:tc>
      </w:tr>
      <w:tr>
        <w:tc>
          <w:tcPr>
            <w:tcW w:type="dxa" w:w="3504"/>
            <w:vAlign w:val="top"/>
          </w:tcPr>
          <w:p>
            <w:r/>
            <w:r>
              <w:rPr>
                <w:b w:val="0"/>
                <w:sz w:val="17"/>
              </w:rPr>
              <w:t>Planning and risk treatment</w:t>
            </w:r>
          </w:p>
        </w:tc>
        <w:tc>
          <w:tcPr>
            <w:tcW w:type="dxa" w:w="3504"/>
            <w:vAlign w:val="top"/>
          </w:tcPr>
          <w:p>
            <w:r/>
            <w:r>
              <w:rPr>
                <w:b w:val="0"/>
                <w:sz w:val="17"/>
              </w:rPr>
              <w:t>Surfaces constraints, risks, and decision options.</w:t>
            </w:r>
          </w:p>
        </w:tc>
        <w:tc>
          <w:tcPr>
            <w:tcW w:type="dxa" w:w="3504"/>
            <w:vAlign w:val="top"/>
          </w:tcPr>
          <w:p>
            <w:r/>
            <w:r>
              <w:rPr>
                <w:b w:val="0"/>
                <w:sz w:val="17"/>
              </w:rPr>
              <w:t>Use ASPP before AI-assisted planning decisions.</w:t>
            </w:r>
          </w:p>
        </w:tc>
      </w:tr>
      <w:tr>
        <w:tc>
          <w:tcPr>
            <w:tcW w:type="dxa" w:w="3504"/>
            <w:vAlign w:val="top"/>
          </w:tcPr>
          <w:p>
            <w:r/>
            <w:r>
              <w:rPr>
                <w:b w:val="0"/>
                <w:sz w:val="17"/>
              </w:rPr>
              <w:t>Support and competence</w:t>
            </w:r>
          </w:p>
        </w:tc>
        <w:tc>
          <w:tcPr>
            <w:tcW w:type="dxa" w:w="3504"/>
            <w:vAlign w:val="top"/>
          </w:tcPr>
          <w:p>
            <w:r/>
            <w:r>
              <w:rPr>
                <w:b w:val="0"/>
                <w:sz w:val="17"/>
              </w:rPr>
              <w:t>Templates train users to prompt consistently.</w:t>
            </w:r>
          </w:p>
        </w:tc>
        <w:tc>
          <w:tcPr>
            <w:tcW w:type="dxa" w:w="3504"/>
            <w:vAlign w:val="top"/>
          </w:tcPr>
          <w:p>
            <w:r/>
            <w:r>
              <w:rPr>
                <w:b w:val="0"/>
                <w:sz w:val="17"/>
              </w:rPr>
              <w:t>Add ASPP to internal AI training materials.</w:t>
            </w:r>
          </w:p>
        </w:tc>
      </w:tr>
      <w:tr>
        <w:tc>
          <w:tcPr>
            <w:tcW w:type="dxa" w:w="3504"/>
            <w:vAlign w:val="top"/>
          </w:tcPr>
          <w:p>
            <w:r/>
            <w:r>
              <w:rPr>
                <w:b w:val="0"/>
                <w:sz w:val="17"/>
              </w:rPr>
              <w:t>Operation</w:t>
            </w:r>
          </w:p>
        </w:tc>
        <w:tc>
          <w:tcPr>
            <w:tcW w:type="dxa" w:w="3504"/>
            <w:vAlign w:val="top"/>
          </w:tcPr>
          <w:p>
            <w:r/>
            <w:r>
              <w:rPr>
                <w:b w:val="0"/>
                <w:sz w:val="17"/>
              </w:rPr>
              <w:t>Produces structured, reviewable AI-assisted outputs.</w:t>
            </w:r>
          </w:p>
        </w:tc>
        <w:tc>
          <w:tcPr>
            <w:tcW w:type="dxa" w:w="3504"/>
            <w:vAlign w:val="top"/>
          </w:tcPr>
          <w:p>
            <w:r/>
            <w:r>
              <w:rPr>
                <w:b w:val="0"/>
                <w:sz w:val="17"/>
              </w:rPr>
              <w:t>Require ASPP for operational decisions involving AI.</w:t>
            </w:r>
          </w:p>
        </w:tc>
      </w:tr>
      <w:tr>
        <w:tc>
          <w:tcPr>
            <w:tcW w:type="dxa" w:w="3504"/>
            <w:vAlign w:val="top"/>
          </w:tcPr>
          <w:p>
            <w:r/>
            <w:r>
              <w:rPr>
                <w:b w:val="0"/>
                <w:sz w:val="17"/>
              </w:rPr>
              <w:t>Performance evaluation</w:t>
            </w:r>
          </w:p>
        </w:tc>
        <w:tc>
          <w:tcPr>
            <w:tcW w:type="dxa" w:w="3504"/>
            <w:vAlign w:val="top"/>
          </w:tcPr>
          <w:p>
            <w:r/>
            <w:r>
              <w:rPr>
                <w:b w:val="0"/>
                <w:sz w:val="17"/>
              </w:rPr>
              <w:t>ASPP-Bench and Rubric support scoring and quality review.</w:t>
            </w:r>
          </w:p>
        </w:tc>
        <w:tc>
          <w:tcPr>
            <w:tcW w:type="dxa" w:w="3504"/>
            <w:vAlign w:val="top"/>
          </w:tcPr>
          <w:p>
            <w:r/>
            <w:r>
              <w:rPr>
                <w:b w:val="0"/>
                <w:sz w:val="17"/>
              </w:rPr>
              <w:t>Audit AI outputs for ASPP compliance and failure conditions.</w:t>
            </w:r>
          </w:p>
        </w:tc>
      </w:tr>
      <w:tr>
        <w:tc>
          <w:tcPr>
            <w:tcW w:type="dxa" w:w="3504"/>
            <w:vAlign w:val="top"/>
          </w:tcPr>
          <w:p>
            <w:r/>
            <w:r>
              <w:rPr>
                <w:b w:val="0"/>
                <w:sz w:val="17"/>
              </w:rPr>
              <w:t>Improvement</w:t>
            </w:r>
          </w:p>
        </w:tc>
        <w:tc>
          <w:tcPr>
            <w:tcW w:type="dxa" w:w="3504"/>
            <w:vAlign w:val="top"/>
          </w:tcPr>
          <w:p>
            <w:r/>
            <w:r>
              <w:rPr>
                <w:b w:val="0"/>
                <w:sz w:val="17"/>
              </w:rPr>
              <w:t>Versioning supports updates from feedback and testing.</w:t>
            </w:r>
          </w:p>
        </w:tc>
        <w:tc>
          <w:tcPr>
            <w:tcW w:type="dxa" w:w="3504"/>
            <w:vAlign w:val="top"/>
          </w:tcPr>
          <w:p>
            <w:r/>
            <w:r>
              <w:rPr>
                <w:b w:val="0"/>
                <w:sz w:val="17"/>
              </w:rPr>
              <w:t>Revise templates and benchmark items based on real-world use.</w:t>
            </w:r>
          </w:p>
        </w:tc>
      </w:tr>
    </w:tbl>
    <w:p>
      <w:r>
        <w:rPr>
          <w:b/>
        </w:rPr>
        <w:t xml:space="preserve">Important limitation: </w:t>
      </w:r>
      <w:r>
        <w:t>ASPP is not an ISO/IEC 42001 certification mechanism. It is a supporting prompt-governance and decision-support methodology that can be referenced inside an organization’s broader AI management system.</w:t>
      </w:r>
    </w:p>
    <w:p>
      <w:pPr>
        <w:pStyle w:val="Heading1"/>
      </w:pPr>
      <w:r>
        <w:t>7. Alignment with OWASP Top 10 for LLM Applications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
              <w:rPr>
                <w:b/>
                <w:sz w:val="17"/>
              </w:rPr>
              <w:t>OWASP LLM Risk</w:t>
            </w:r>
          </w:p>
        </w:tc>
        <w:tc>
          <w:tcPr>
            <w:tcW w:type="dxa" w:w="3504"/>
            <w:shd w:fill="D9EAF7"/>
          </w:tcPr>
          <w:p>
            <w:r/>
            <w:r>
              <w:rPr>
                <w:b/>
                <w:sz w:val="17"/>
              </w:rPr>
              <w:t>ASPP Alignment</w:t>
            </w:r>
          </w:p>
        </w:tc>
        <w:tc>
          <w:tcPr>
            <w:tcW w:type="dxa" w:w="3504"/>
            <w:shd w:fill="D9EAF7"/>
          </w:tcPr>
          <w:p>
            <w:r/>
            <w:r>
              <w:rPr>
                <w:b/>
                <w:sz w:val="17"/>
              </w:rPr>
              <w:t>Example ASPP Control</w:t>
            </w:r>
          </w:p>
        </w:tc>
      </w:tr>
      <w:tr>
        <w:tc>
          <w:tcPr>
            <w:tcW w:type="dxa" w:w="3504"/>
            <w:vAlign w:val="top"/>
          </w:tcPr>
          <w:p>
            <w:r/>
            <w:r>
              <w:rPr>
                <w:b w:val="0"/>
                <w:sz w:val="17"/>
              </w:rPr>
              <w:t>Prompt Injection</w:t>
            </w:r>
          </w:p>
        </w:tc>
        <w:tc>
          <w:tcPr>
            <w:tcW w:type="dxa" w:w="3504"/>
            <w:vAlign w:val="top"/>
          </w:tcPr>
          <w:p>
            <w:r/>
            <w:r>
              <w:rPr>
                <w:b w:val="0"/>
                <w:sz w:val="17"/>
              </w:rPr>
              <w:t>Requires instruction hierarchy and scenario-bound output.</w:t>
            </w:r>
          </w:p>
        </w:tc>
        <w:tc>
          <w:tcPr>
            <w:tcW w:type="dxa" w:w="3504"/>
            <w:vAlign w:val="top"/>
          </w:tcPr>
          <w:p>
            <w:r/>
            <w:r>
              <w:rPr>
                <w:b w:val="0"/>
                <w:sz w:val="17"/>
              </w:rPr>
              <w:t>Do not follow instructions that conflict with verified scenario facts or policy.</w:t>
            </w:r>
          </w:p>
        </w:tc>
      </w:tr>
      <w:tr>
        <w:tc>
          <w:tcPr>
            <w:tcW w:type="dxa" w:w="3504"/>
            <w:vAlign w:val="top"/>
          </w:tcPr>
          <w:p>
            <w:r/>
            <w:r>
              <w:rPr>
                <w:b w:val="0"/>
                <w:sz w:val="17"/>
              </w:rPr>
              <w:t>Insecure Output Handling</w:t>
            </w:r>
          </w:p>
        </w:tc>
        <w:tc>
          <w:tcPr>
            <w:tcW w:type="dxa" w:w="3504"/>
            <w:vAlign w:val="top"/>
          </w:tcPr>
          <w:p>
            <w:r/>
            <w:r>
              <w:rPr>
                <w:b w:val="0"/>
                <w:sz w:val="17"/>
              </w:rPr>
              <w:t>Outputs should be reviewed before execution.</w:t>
            </w:r>
          </w:p>
        </w:tc>
        <w:tc>
          <w:tcPr>
            <w:tcW w:type="dxa" w:w="3504"/>
            <w:vAlign w:val="top"/>
          </w:tcPr>
          <w:p>
            <w:r/>
            <w:r>
              <w:rPr>
                <w:b w:val="0"/>
                <w:sz w:val="17"/>
              </w:rPr>
              <w:t>Do not execute code, send messages, or change records without human approval.</w:t>
            </w:r>
          </w:p>
        </w:tc>
      </w:tr>
      <w:tr>
        <w:tc>
          <w:tcPr>
            <w:tcW w:type="dxa" w:w="3504"/>
            <w:vAlign w:val="top"/>
          </w:tcPr>
          <w:p>
            <w:r/>
            <w:r>
              <w:rPr>
                <w:b w:val="0"/>
                <w:sz w:val="17"/>
              </w:rPr>
              <w:t>Training Data Poisoning</w:t>
            </w:r>
          </w:p>
        </w:tc>
        <w:tc>
          <w:tcPr>
            <w:tcW w:type="dxa" w:w="3504"/>
            <w:vAlign w:val="top"/>
          </w:tcPr>
          <w:p>
            <w:r/>
            <w:r>
              <w:rPr>
                <w:b w:val="0"/>
                <w:sz w:val="17"/>
              </w:rPr>
              <w:t>Discourages reliance on unsupported model claims.</w:t>
            </w:r>
          </w:p>
        </w:tc>
        <w:tc>
          <w:tcPr>
            <w:tcW w:type="dxa" w:w="3504"/>
            <w:vAlign w:val="top"/>
          </w:tcPr>
          <w:p>
            <w:r/>
            <w:r>
              <w:rPr>
                <w:b w:val="0"/>
                <w:sz w:val="17"/>
              </w:rPr>
              <w:t>Treat unsupported facts as assumptions requiring verification.</w:t>
            </w:r>
          </w:p>
        </w:tc>
      </w:tr>
      <w:tr>
        <w:tc>
          <w:tcPr>
            <w:tcW w:type="dxa" w:w="3504"/>
            <w:vAlign w:val="top"/>
          </w:tcPr>
          <w:p>
            <w:r/>
            <w:r>
              <w:rPr>
                <w:b w:val="0"/>
                <w:sz w:val="17"/>
              </w:rPr>
              <w:t>Model Denial of Service</w:t>
            </w:r>
          </w:p>
        </w:tc>
        <w:tc>
          <w:tcPr>
            <w:tcW w:type="dxa" w:w="3504"/>
            <w:vAlign w:val="top"/>
          </w:tcPr>
          <w:p>
            <w:r/>
            <w:r>
              <w:rPr>
                <w:b w:val="0"/>
                <w:sz w:val="17"/>
              </w:rPr>
              <w:t>Narrows output scope and discourages excessive branching.</w:t>
            </w:r>
          </w:p>
        </w:tc>
        <w:tc>
          <w:tcPr>
            <w:tcW w:type="dxa" w:w="3504"/>
            <w:vAlign w:val="top"/>
          </w:tcPr>
          <w:p>
            <w:r/>
            <w:r>
              <w:rPr>
                <w:b w:val="0"/>
                <w:sz w:val="17"/>
              </w:rPr>
              <w:t>Return one best recommendation instead of many unnecessary alternatives.</w:t>
            </w:r>
          </w:p>
        </w:tc>
      </w:tr>
      <w:tr>
        <w:tc>
          <w:tcPr>
            <w:tcW w:type="dxa" w:w="3504"/>
            <w:vAlign w:val="top"/>
          </w:tcPr>
          <w:p>
            <w:r/>
            <w:r>
              <w:rPr>
                <w:b w:val="0"/>
                <w:sz w:val="17"/>
              </w:rPr>
              <w:t>Supply Chain Vulnerabilities</w:t>
            </w:r>
          </w:p>
        </w:tc>
        <w:tc>
          <w:tcPr>
            <w:tcW w:type="dxa" w:w="3504"/>
            <w:vAlign w:val="top"/>
          </w:tcPr>
          <w:p>
            <w:r/>
            <w:r>
              <w:rPr>
                <w:b w:val="0"/>
                <w:sz w:val="17"/>
              </w:rPr>
              <w:t>Can require tool, model, and source verification.</w:t>
            </w:r>
          </w:p>
        </w:tc>
        <w:tc>
          <w:tcPr>
            <w:tcW w:type="dxa" w:w="3504"/>
            <w:vAlign w:val="top"/>
          </w:tcPr>
          <w:p>
            <w:r/>
            <w:r>
              <w:rPr>
                <w:b w:val="0"/>
                <w:sz w:val="17"/>
              </w:rPr>
              <w:t>Identify external dependencies and verify source trust.</w:t>
            </w:r>
          </w:p>
        </w:tc>
      </w:tr>
      <w:tr>
        <w:tc>
          <w:tcPr>
            <w:tcW w:type="dxa" w:w="3504"/>
            <w:vAlign w:val="top"/>
          </w:tcPr>
          <w:p>
            <w:r/>
            <w:r>
              <w:rPr>
                <w:b w:val="0"/>
                <w:sz w:val="17"/>
              </w:rPr>
              <w:t>Sensitive Information Disclosure</w:t>
            </w:r>
          </w:p>
        </w:tc>
        <w:tc>
          <w:tcPr>
            <w:tcW w:type="dxa" w:w="3504"/>
            <w:vAlign w:val="top"/>
          </w:tcPr>
          <w:p>
            <w:r/>
            <w:r>
              <w:rPr>
                <w:b w:val="0"/>
                <w:sz w:val="17"/>
              </w:rPr>
              <w:t>Can include privacy constraints and redaction requirements.</w:t>
            </w:r>
          </w:p>
        </w:tc>
        <w:tc>
          <w:tcPr>
            <w:tcW w:type="dxa" w:w="3504"/>
            <w:vAlign w:val="top"/>
          </w:tcPr>
          <w:p>
            <w:r/>
            <w:r>
              <w:rPr>
                <w:b w:val="0"/>
                <w:sz w:val="17"/>
              </w:rPr>
              <w:t>Do not expose confidential, personal, or protected information.</w:t>
            </w:r>
          </w:p>
        </w:tc>
      </w:tr>
      <w:tr>
        <w:tc>
          <w:tcPr>
            <w:tcW w:type="dxa" w:w="3504"/>
            <w:vAlign w:val="top"/>
          </w:tcPr>
          <w:p>
            <w:r/>
            <w:r>
              <w:rPr>
                <w:b w:val="0"/>
                <w:sz w:val="17"/>
              </w:rPr>
              <w:t>Insecure Plugin Design</w:t>
            </w:r>
          </w:p>
        </w:tc>
        <w:tc>
          <w:tcPr>
            <w:tcW w:type="dxa" w:w="3504"/>
            <w:vAlign w:val="top"/>
          </w:tcPr>
          <w:p>
            <w:r/>
            <w:r>
              <w:rPr>
                <w:b w:val="0"/>
                <w:sz w:val="17"/>
              </w:rPr>
              <w:t>Can require constraints on tool use and permissions.</w:t>
            </w:r>
          </w:p>
        </w:tc>
        <w:tc>
          <w:tcPr>
            <w:tcW w:type="dxa" w:w="3504"/>
            <w:vAlign w:val="top"/>
          </w:tcPr>
          <w:p>
            <w:r/>
            <w:r>
              <w:rPr>
                <w:b w:val="0"/>
                <w:sz w:val="17"/>
              </w:rPr>
              <w:t>Use tools only for the stated scenario and approved purpose.</w:t>
            </w:r>
          </w:p>
        </w:tc>
      </w:tr>
      <w:tr>
        <w:tc>
          <w:tcPr>
            <w:tcW w:type="dxa" w:w="3504"/>
            <w:vAlign w:val="top"/>
          </w:tcPr>
          <w:p>
            <w:r/>
            <w:r>
              <w:rPr>
                <w:b w:val="0"/>
                <w:sz w:val="17"/>
              </w:rPr>
              <w:t>Excessive Agency</w:t>
            </w:r>
          </w:p>
        </w:tc>
        <w:tc>
          <w:tcPr>
            <w:tcW w:type="dxa" w:w="3504"/>
            <w:vAlign w:val="top"/>
          </w:tcPr>
          <w:p>
            <w:r/>
            <w:r>
              <w:rPr>
                <w:b w:val="0"/>
                <w:sz w:val="17"/>
              </w:rPr>
              <w:t>Recommends actions rather than uncontrolled autonomous execution.</w:t>
            </w:r>
          </w:p>
        </w:tc>
        <w:tc>
          <w:tcPr>
            <w:tcW w:type="dxa" w:w="3504"/>
            <w:vAlign w:val="top"/>
          </w:tcPr>
          <w:p>
            <w:r/>
            <w:r>
              <w:rPr>
                <w:b w:val="0"/>
                <w:sz w:val="17"/>
              </w:rPr>
              <w:t>Recommend actions; do not execute without explicit authorization.</w:t>
            </w:r>
          </w:p>
        </w:tc>
      </w:tr>
      <w:tr>
        <w:tc>
          <w:tcPr>
            <w:tcW w:type="dxa" w:w="3504"/>
            <w:vAlign w:val="top"/>
          </w:tcPr>
          <w:p>
            <w:r/>
            <w:r>
              <w:rPr>
                <w:b w:val="0"/>
                <w:sz w:val="17"/>
              </w:rPr>
              <w:t>Overreliance</w:t>
            </w:r>
          </w:p>
        </w:tc>
        <w:tc>
          <w:tcPr>
            <w:tcW w:type="dxa" w:w="3504"/>
            <w:vAlign w:val="top"/>
          </w:tcPr>
          <w:p>
            <w:r/>
            <w:r>
              <w:rPr>
                <w:b w:val="0"/>
                <w:sz w:val="17"/>
              </w:rPr>
              <w:t>Requires assumptions, limitations, and human review.</w:t>
            </w:r>
          </w:p>
        </w:tc>
        <w:tc>
          <w:tcPr>
            <w:tcW w:type="dxa" w:w="3504"/>
            <w:vAlign w:val="top"/>
          </w:tcPr>
          <w:p>
            <w:r/>
            <w:r>
              <w:rPr>
                <w:b w:val="0"/>
                <w:sz w:val="17"/>
              </w:rPr>
              <w:t>Professional review is required for legal, medical, financial, security, or compliance-sensitive actions.</w:t>
            </w:r>
          </w:p>
        </w:tc>
      </w:tr>
      <w:tr>
        <w:tc>
          <w:tcPr>
            <w:tcW w:type="dxa" w:w="3504"/>
            <w:vAlign w:val="top"/>
          </w:tcPr>
          <w:p>
            <w:r/>
            <w:r>
              <w:rPr>
                <w:b w:val="0"/>
                <w:sz w:val="17"/>
              </w:rPr>
              <w:t>Model Theft</w:t>
            </w:r>
          </w:p>
        </w:tc>
        <w:tc>
          <w:tcPr>
            <w:tcW w:type="dxa" w:w="3504"/>
            <w:vAlign w:val="top"/>
          </w:tcPr>
          <w:p>
            <w:r/>
            <w:r>
              <w:rPr>
                <w:b w:val="0"/>
                <w:sz w:val="17"/>
              </w:rPr>
              <w:t>Can include proprietary-data boundaries.</w:t>
            </w:r>
          </w:p>
        </w:tc>
        <w:tc>
          <w:tcPr>
            <w:tcW w:type="dxa" w:w="3504"/>
            <w:vAlign w:val="top"/>
          </w:tcPr>
          <w:p>
            <w:r/>
            <w:r>
              <w:rPr>
                <w:b w:val="0"/>
                <w:sz w:val="17"/>
              </w:rPr>
              <w:t>Do not request or disclose model secrets, credentials, or proprietary data.</w:t>
            </w:r>
          </w:p>
        </w:tc>
      </w:tr>
    </w:tbl>
    <w:p>
      <w:pPr>
        <w:pStyle w:val="Heading1"/>
      </w:pPr>
      <w:r>
        <w:t>8. Internal Enterprise AI Governance Alignment</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r/>
            <w:r>
              <w:rPr>
                <w:b/>
                <w:sz w:val="17"/>
              </w:rPr>
              <w:t>Governance Need</w:t>
            </w:r>
          </w:p>
        </w:tc>
        <w:tc>
          <w:tcPr>
            <w:tcW w:type="dxa" w:w="5256"/>
            <w:shd w:fill="D9EAF7"/>
          </w:tcPr>
          <w:p>
            <w:r/>
            <w:r>
              <w:rPr>
                <w:b/>
                <w:sz w:val="17"/>
              </w:rPr>
              <w:t>ASPP Use</w:t>
            </w:r>
          </w:p>
        </w:tc>
      </w:tr>
      <w:tr>
        <w:tc>
          <w:tcPr>
            <w:tcW w:type="dxa" w:w="5256"/>
            <w:vAlign w:val="top"/>
          </w:tcPr>
          <w:p>
            <w:r/>
            <w:r>
              <w:rPr>
                <w:b w:val="0"/>
                <w:sz w:val="17"/>
              </w:rPr>
              <w:t>Standardized AI prompting</w:t>
            </w:r>
          </w:p>
        </w:tc>
        <w:tc>
          <w:tcPr>
            <w:tcW w:type="dxa" w:w="5256"/>
            <w:vAlign w:val="top"/>
          </w:tcPr>
          <w:p>
            <w:r/>
            <w:r>
              <w:rPr>
                <w:b w:val="0"/>
                <w:sz w:val="17"/>
              </w:rPr>
              <w:t>Require the Master ASPP Scenario Template for high-impact decisions.</w:t>
            </w:r>
          </w:p>
        </w:tc>
      </w:tr>
      <w:tr>
        <w:tc>
          <w:tcPr>
            <w:tcW w:type="dxa" w:w="5256"/>
            <w:vAlign w:val="top"/>
          </w:tcPr>
          <w:p>
            <w:r/>
            <w:r>
              <w:rPr>
                <w:b w:val="0"/>
                <w:sz w:val="17"/>
              </w:rPr>
              <w:t>Risk-aware AI use</w:t>
            </w:r>
          </w:p>
        </w:tc>
        <w:tc>
          <w:tcPr>
            <w:tcW w:type="dxa" w:w="5256"/>
            <w:vAlign w:val="top"/>
          </w:tcPr>
          <w:p>
            <w:r/>
            <w:r>
              <w:rPr>
                <w:b w:val="0"/>
                <w:sz w:val="17"/>
              </w:rPr>
              <w:t>Require E — Examine Constraints and Risks before recommendations.</w:t>
            </w:r>
          </w:p>
        </w:tc>
      </w:tr>
      <w:tr>
        <w:tc>
          <w:tcPr>
            <w:tcW w:type="dxa" w:w="5256"/>
            <w:vAlign w:val="top"/>
          </w:tcPr>
          <w:p>
            <w:r/>
            <w:r>
              <w:rPr>
                <w:b w:val="0"/>
                <w:sz w:val="17"/>
              </w:rPr>
              <w:t>Reduced hallucination risk</w:t>
            </w:r>
          </w:p>
        </w:tc>
        <w:tc>
          <w:tcPr>
            <w:tcW w:type="dxa" w:w="5256"/>
            <w:vAlign w:val="top"/>
          </w:tcPr>
          <w:p>
            <w:r/>
            <w:r>
              <w:rPr>
                <w:b w:val="0"/>
                <w:sz w:val="17"/>
              </w:rPr>
              <w:t>Enforce the anti-fabrication rule.</w:t>
            </w:r>
          </w:p>
        </w:tc>
      </w:tr>
      <w:tr>
        <w:tc>
          <w:tcPr>
            <w:tcW w:type="dxa" w:w="5256"/>
            <w:vAlign w:val="top"/>
          </w:tcPr>
          <w:p>
            <w:r/>
            <w:r>
              <w:rPr>
                <w:b w:val="0"/>
                <w:sz w:val="17"/>
              </w:rPr>
              <w:t>Decision traceability</w:t>
            </w:r>
          </w:p>
        </w:tc>
        <w:tc>
          <w:tcPr>
            <w:tcW w:type="dxa" w:w="5256"/>
            <w:vAlign w:val="top"/>
          </w:tcPr>
          <w:p>
            <w:r/>
            <w:r>
              <w:rPr>
                <w:b w:val="0"/>
                <w:sz w:val="17"/>
              </w:rPr>
              <w:t>Store ASPP prompts and outputs as decision-support records.</w:t>
            </w:r>
          </w:p>
        </w:tc>
      </w:tr>
      <w:tr>
        <w:tc>
          <w:tcPr>
            <w:tcW w:type="dxa" w:w="5256"/>
            <w:vAlign w:val="top"/>
          </w:tcPr>
          <w:p>
            <w:r/>
            <w:r>
              <w:rPr>
                <w:b w:val="0"/>
                <w:sz w:val="17"/>
              </w:rPr>
              <w:t>Human oversight</w:t>
            </w:r>
          </w:p>
        </w:tc>
        <w:tc>
          <w:tcPr>
            <w:tcW w:type="dxa" w:w="5256"/>
            <w:vAlign w:val="top"/>
          </w:tcPr>
          <w:p>
            <w:r/>
            <w:r>
              <w:rPr>
                <w:b w:val="0"/>
                <w:sz w:val="17"/>
              </w:rPr>
              <w:t>Add approval gates before executing ASPP action plans.</w:t>
            </w:r>
          </w:p>
        </w:tc>
      </w:tr>
      <w:tr>
        <w:tc>
          <w:tcPr>
            <w:tcW w:type="dxa" w:w="5256"/>
            <w:vAlign w:val="top"/>
          </w:tcPr>
          <w:p>
            <w:r/>
            <w:r>
              <w:rPr>
                <w:b w:val="0"/>
                <w:sz w:val="17"/>
              </w:rPr>
              <w:t>Auditability</w:t>
            </w:r>
          </w:p>
        </w:tc>
        <w:tc>
          <w:tcPr>
            <w:tcW w:type="dxa" w:w="5256"/>
            <w:vAlign w:val="top"/>
          </w:tcPr>
          <w:p>
            <w:r/>
            <w:r>
              <w:rPr>
                <w:b w:val="0"/>
                <w:sz w:val="17"/>
              </w:rPr>
              <w:t>Score outputs using the ASPP Evaluation Rubric.</w:t>
            </w:r>
          </w:p>
        </w:tc>
      </w:tr>
      <w:tr>
        <w:tc>
          <w:tcPr>
            <w:tcW w:type="dxa" w:w="5256"/>
            <w:vAlign w:val="top"/>
          </w:tcPr>
          <w:p>
            <w:r/>
            <w:r>
              <w:rPr>
                <w:b w:val="0"/>
                <w:sz w:val="17"/>
              </w:rPr>
              <w:t>Continuous improvement</w:t>
            </w:r>
          </w:p>
        </w:tc>
        <w:tc>
          <w:tcPr>
            <w:tcW w:type="dxa" w:w="5256"/>
            <w:vAlign w:val="top"/>
          </w:tcPr>
          <w:p>
            <w:r/>
            <w:r>
              <w:rPr>
                <w:b w:val="0"/>
                <w:sz w:val="17"/>
              </w:rPr>
              <w:t>Track ASPP failures and update templates.</w:t>
            </w:r>
          </w:p>
        </w:tc>
      </w:tr>
    </w:tbl>
    <w:p>
      <w:pPr>
        <w:pStyle w:val="Heading1"/>
      </w:pPr>
      <w:r>
        <w:t>9. Recommended ASPP Governance Implementation Model</w:t>
      </w:r>
    </w:p>
    <w:p>
      <w:pPr>
        <w:pStyle w:val="Heading2"/>
      </w:pPr>
      <w:r>
        <w:t>Phase 1 — Adopt</w:t>
      </w:r>
    </w:p>
    <w:p>
      <w:pPr>
        <w:pStyle w:val="ListBullet"/>
      </w:pPr>
      <w:r>
        <w:t>Add ASPP to internal AI-use guidance.</w:t>
      </w:r>
    </w:p>
    <w:p>
      <w:pPr>
        <w:pStyle w:val="ListBullet"/>
      </w:pPr>
      <w:r>
        <w:t>Publish the Master ASPP Scenario Template.</w:t>
      </w:r>
    </w:p>
    <w:p>
      <w:pPr>
        <w:pStyle w:val="ListBullet"/>
      </w:pPr>
      <w:r>
        <w:t>Require attribution and versioning.</w:t>
      </w:r>
    </w:p>
    <w:p>
      <w:pPr>
        <w:pStyle w:val="ListBullet"/>
      </w:pPr>
      <w:r>
        <w:t>Require anti-fabrication language in high-impact prompts.</w:t>
      </w:r>
    </w:p>
    <w:p>
      <w:pPr>
        <w:pStyle w:val="Heading2"/>
      </w:pPr>
      <w:r>
        <w:t>Phase 2 — Train</w:t>
      </w:r>
    </w:p>
    <w:p>
      <w:pPr>
        <w:pStyle w:val="ListBullet"/>
      </w:pPr>
      <w:r>
        <w:t>Train users on the S.C.E.N.A.R.I.O. stages.</w:t>
      </w:r>
    </w:p>
    <w:p>
      <w:pPr>
        <w:pStyle w:val="ListBullet"/>
      </w:pPr>
      <w:r>
        <w:t>Provide examples by department.</w:t>
      </w:r>
    </w:p>
    <w:p>
      <w:pPr>
        <w:pStyle w:val="ListBullet"/>
      </w:pPr>
      <w:r>
        <w:t>Explain when professional review is required.</w:t>
      </w:r>
    </w:p>
    <w:p>
      <w:pPr>
        <w:pStyle w:val="ListBullet"/>
      </w:pPr>
      <w:r>
        <w:t>Teach users to identify missing facts and constraints.</w:t>
      </w:r>
    </w:p>
    <w:p>
      <w:pPr>
        <w:pStyle w:val="Heading2"/>
      </w:pPr>
      <w:r>
        <w:t>Phase 3 — Control</w:t>
      </w:r>
    </w:p>
    <w:p>
      <w:pPr>
        <w:pStyle w:val="ListBullet"/>
      </w:pPr>
      <w:r>
        <w:t>Require ASPP for AI-assisted decisions involving money, employees, customers, compliance, safety, or operations.</w:t>
      </w:r>
    </w:p>
    <w:p>
      <w:pPr>
        <w:pStyle w:val="ListBullet"/>
      </w:pPr>
      <w:r>
        <w:t>Add human approval gates before external action.</w:t>
      </w:r>
    </w:p>
    <w:p>
      <w:pPr>
        <w:pStyle w:val="ListBullet"/>
      </w:pPr>
      <w:r>
        <w:t>Store prompts and outputs in a controlled repository.</w:t>
      </w:r>
    </w:p>
    <w:p>
      <w:pPr>
        <w:pStyle w:val="Heading2"/>
      </w:pPr>
      <w:r>
        <w:t>Phase 4 — Measure</w:t>
      </w:r>
    </w:p>
    <w:p>
      <w:pPr>
        <w:pStyle w:val="ListBullet"/>
      </w:pPr>
      <w:r>
        <w:t>Use ASPP-Bench and the ASPP Evaluation Rubric.</w:t>
      </w:r>
    </w:p>
    <w:p>
      <w:pPr>
        <w:pStyle w:val="ListBullet"/>
      </w:pPr>
      <w:r>
        <w:t>Track output quality, failure conditions, and user adoption.</w:t>
      </w:r>
    </w:p>
    <w:p>
      <w:pPr>
        <w:pStyle w:val="ListBullet"/>
      </w:pPr>
      <w:r>
        <w:t>Compare ASPP outputs against ordinary prompts.</w:t>
      </w:r>
    </w:p>
    <w:p>
      <w:pPr>
        <w:pStyle w:val="Heading2"/>
      </w:pPr>
      <w:r>
        <w:t>Phase 5 — Improve</w:t>
      </w:r>
    </w:p>
    <w:p>
      <w:pPr>
        <w:pStyle w:val="ListBullet"/>
      </w:pPr>
      <w:r>
        <w:t>Update templates based on failures and user feedback.</w:t>
      </w:r>
    </w:p>
    <w:p>
      <w:pPr>
        <w:pStyle w:val="ListBullet"/>
      </w:pPr>
      <w:r>
        <w:t>Publish version updates.</w:t>
      </w:r>
    </w:p>
    <w:p>
      <w:pPr>
        <w:pStyle w:val="ListBullet"/>
      </w:pPr>
      <w:r>
        <w:t>Expand benchmark scenarios.</w:t>
      </w:r>
    </w:p>
    <w:p>
      <w:pPr>
        <w:pStyle w:val="ListBullet"/>
      </w:pPr>
      <w:r>
        <w:t>Add standards crosswalk updates as NIST, ISO, and OWASP materials evolve.</w:t>
      </w:r>
    </w:p>
    <w:p>
      <w:pPr>
        <w:pStyle w:val="Heading1"/>
      </w:pPr>
      <w:r>
        <w:t>10. ASPP Standards Crosswalk Summary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
              <w:rPr>
                <w:b/>
                <w:sz w:val="17"/>
              </w:rPr>
              <w:t>Framework</w:t>
            </w:r>
          </w:p>
        </w:tc>
        <w:tc>
          <w:tcPr>
            <w:tcW w:type="dxa" w:w="3504"/>
            <w:shd w:fill="D9EAF7"/>
          </w:tcPr>
          <w:p>
            <w:r/>
            <w:r>
              <w:rPr>
                <w:b/>
                <w:sz w:val="17"/>
              </w:rPr>
              <w:t>ASPP Contribution</w:t>
            </w:r>
          </w:p>
        </w:tc>
        <w:tc>
          <w:tcPr>
            <w:tcW w:type="dxa" w:w="3504"/>
            <w:shd w:fill="D9EAF7"/>
          </w:tcPr>
          <w:p>
            <w:r/>
            <w:r>
              <w:rPr>
                <w:b/>
                <w:sz w:val="17"/>
              </w:rPr>
              <w:t>Evidence Type</w:t>
            </w:r>
          </w:p>
        </w:tc>
      </w:tr>
      <w:tr>
        <w:tc>
          <w:tcPr>
            <w:tcW w:type="dxa" w:w="3504"/>
            <w:vAlign w:val="top"/>
          </w:tcPr>
          <w:p>
            <w:r/>
            <w:r>
              <w:rPr>
                <w:b w:val="0"/>
                <w:sz w:val="17"/>
              </w:rPr>
              <w:t>NIST AI RMF 1.0</w:t>
            </w:r>
          </w:p>
        </w:tc>
        <w:tc>
          <w:tcPr>
            <w:tcW w:type="dxa" w:w="3504"/>
            <w:vAlign w:val="top"/>
          </w:tcPr>
          <w:p>
            <w:r/>
            <w:r>
              <w:rPr>
                <w:b w:val="0"/>
                <w:sz w:val="17"/>
              </w:rPr>
              <w:t>Supports Govern, Map, Measure, and Manage at the prompt-interaction level.</w:t>
            </w:r>
          </w:p>
        </w:tc>
        <w:tc>
          <w:tcPr>
            <w:tcW w:type="dxa" w:w="3504"/>
            <w:vAlign w:val="top"/>
          </w:tcPr>
          <w:p>
            <w:r/>
            <w:r>
              <w:rPr>
                <w:b w:val="0"/>
                <w:sz w:val="17"/>
              </w:rPr>
              <w:t>Scenario templates, rubric, benchmark dataset, action plans.</w:t>
            </w:r>
          </w:p>
        </w:tc>
      </w:tr>
      <w:tr>
        <w:tc>
          <w:tcPr>
            <w:tcW w:type="dxa" w:w="3504"/>
            <w:vAlign w:val="top"/>
          </w:tcPr>
          <w:p>
            <w:r/>
            <w:r>
              <w:rPr>
                <w:b w:val="0"/>
                <w:sz w:val="17"/>
              </w:rPr>
              <w:t>NIST GenAI Profile</w:t>
            </w:r>
          </w:p>
        </w:tc>
        <w:tc>
          <w:tcPr>
            <w:tcW w:type="dxa" w:w="3504"/>
            <w:vAlign w:val="top"/>
          </w:tcPr>
          <w:p>
            <w:r/>
            <w:r>
              <w:rPr>
                <w:b w:val="0"/>
                <w:sz w:val="17"/>
              </w:rPr>
              <w:t>Adds anti-fabrication, context framing, missing-fact review, and human oversight controls.</w:t>
            </w:r>
          </w:p>
        </w:tc>
        <w:tc>
          <w:tcPr>
            <w:tcW w:type="dxa" w:w="3504"/>
            <w:vAlign w:val="top"/>
          </w:tcPr>
          <w:p>
            <w:r/>
            <w:r>
              <w:rPr>
                <w:b w:val="0"/>
                <w:sz w:val="17"/>
              </w:rPr>
              <w:t>Template controls and output restrictions.</w:t>
            </w:r>
          </w:p>
        </w:tc>
      </w:tr>
      <w:tr>
        <w:tc>
          <w:tcPr>
            <w:tcW w:type="dxa" w:w="3504"/>
            <w:vAlign w:val="top"/>
          </w:tcPr>
          <w:p>
            <w:r/>
            <w:r>
              <w:rPr>
                <w:b w:val="0"/>
                <w:sz w:val="17"/>
              </w:rPr>
              <w:t>ISO/IEC 42001:2023</w:t>
            </w:r>
          </w:p>
        </w:tc>
        <w:tc>
          <w:tcPr>
            <w:tcW w:type="dxa" w:w="3504"/>
            <w:vAlign w:val="top"/>
          </w:tcPr>
          <w:p>
            <w:r/>
            <w:r>
              <w:rPr>
                <w:b w:val="0"/>
                <w:sz w:val="17"/>
              </w:rPr>
              <w:t>Supports AI management-system practices through documented prompt governance.</w:t>
            </w:r>
          </w:p>
        </w:tc>
        <w:tc>
          <w:tcPr>
            <w:tcW w:type="dxa" w:w="3504"/>
            <w:vAlign w:val="top"/>
          </w:tcPr>
          <w:p>
            <w:r/>
            <w:r>
              <w:rPr>
                <w:b w:val="0"/>
                <w:sz w:val="17"/>
              </w:rPr>
              <w:t>Templates, versioning, review records, training materials.</w:t>
            </w:r>
          </w:p>
        </w:tc>
      </w:tr>
      <w:tr>
        <w:tc>
          <w:tcPr>
            <w:tcW w:type="dxa" w:w="3504"/>
            <w:vAlign w:val="top"/>
          </w:tcPr>
          <w:p>
            <w:r/>
            <w:r>
              <w:rPr>
                <w:b w:val="0"/>
                <w:sz w:val="17"/>
              </w:rPr>
              <w:t>OWASP LLM Top 10</w:t>
            </w:r>
          </w:p>
        </w:tc>
        <w:tc>
          <w:tcPr>
            <w:tcW w:type="dxa" w:w="3504"/>
            <w:vAlign w:val="top"/>
          </w:tcPr>
          <w:p>
            <w:r/>
            <w:r>
              <w:rPr>
                <w:b w:val="0"/>
                <w:sz w:val="17"/>
              </w:rPr>
              <w:t>Adds security-aware constraints for prompt injection, excessive agency, overreliance, and sensitive-data risk.</w:t>
            </w:r>
          </w:p>
        </w:tc>
        <w:tc>
          <w:tcPr>
            <w:tcW w:type="dxa" w:w="3504"/>
            <w:vAlign w:val="top"/>
          </w:tcPr>
          <w:p>
            <w:r/>
            <w:r>
              <w:rPr>
                <w:b w:val="0"/>
                <w:sz w:val="17"/>
              </w:rPr>
              <w:t>Security clauses, human review requirements, policy limits.</w:t>
            </w:r>
          </w:p>
        </w:tc>
      </w:tr>
      <w:tr>
        <w:tc>
          <w:tcPr>
            <w:tcW w:type="dxa" w:w="3504"/>
            <w:vAlign w:val="top"/>
          </w:tcPr>
          <w:p>
            <w:r/>
            <w:r>
              <w:rPr>
                <w:b w:val="0"/>
                <w:sz w:val="17"/>
              </w:rPr>
              <w:t>Internal AI Governance</w:t>
            </w:r>
          </w:p>
        </w:tc>
        <w:tc>
          <w:tcPr>
            <w:tcW w:type="dxa" w:w="3504"/>
            <w:vAlign w:val="top"/>
          </w:tcPr>
          <w:p>
            <w:r/>
            <w:r>
              <w:rPr>
                <w:b w:val="0"/>
                <w:sz w:val="17"/>
              </w:rPr>
              <w:t>Provides a practical operational method for standardizing AI-assisted decisions.</w:t>
            </w:r>
          </w:p>
        </w:tc>
        <w:tc>
          <w:tcPr>
            <w:tcW w:type="dxa" w:w="3504"/>
            <w:vAlign w:val="top"/>
          </w:tcPr>
          <w:p>
            <w:r/>
            <w:r>
              <w:rPr>
                <w:b w:val="0"/>
                <w:sz w:val="17"/>
              </w:rPr>
              <w:t>Repository records, evaluation scores, adoption metrics.</w:t>
            </w:r>
          </w:p>
        </w:tc>
      </w:tr>
    </w:tbl>
    <w:p>
      <w:pPr>
        <w:pStyle w:val="Heading1"/>
      </w:pPr>
      <w:r>
        <w:t>11. Recommended Documentation Package Placement</w:t>
      </w:r>
    </w:p>
    <w:p>
      <w:r>
        <w:t>GitHub: docs/ASPP_Standards_Alignment_Document_v1_0.md and optional DOCX copy.</w:t>
      </w:r>
    </w:p>
    <w:p>
      <w:r>
        <w:t>Zenodo: Include both Markdown and DOCX files in the next versioned archive package.</w:t>
      </w:r>
    </w:p>
    <w:p>
      <w:r>
        <w:t>Hugging Face Space: Add a short reference to the Space README once the demo is running.</w:t>
      </w:r>
    </w:p>
    <w:p>
      <w:pPr>
        <w:pStyle w:val="Heading1"/>
      </w:pPr>
      <w:r>
        <w:t>12. Compliance Disclaimer</w:t>
      </w:r>
    </w:p>
    <w:p>
      <w:r>
        <w:t>This standards-alignment document is for educational, governance-support, and decision-support purposes only. It does not certify ASPP under any standard, does not provide legal advice, and does not guarantee compliance with NIST, ISO, OWASP, or regulatory requirements. Organizations should consult qualified legal, compliance, cybersecurity, and AI governance professionals before relying on ASPP for regulated or high-impact AI systems.</w:t>
      </w:r>
    </w:p>
    <w:p>
      <w:pPr>
        <w:pStyle w:val="Heading1"/>
      </w:pPr>
      <w:r>
        <w:t>13. Official Attribution Statement</w:t>
      </w:r>
    </w:p>
    <w:p>
      <w:r>
        <w:t>The Allie Scenario Prompting Protocol (ASPP), the S.C.E.N.A.R.I.O. Framework, ASPP-Bench, ASPP Evaluation Rubric, ASPP Prompt Template Library, and ASPP Standards-Alignment Document are attributed to Darren L. Allie, Director of AI Workflow Optimization and AI Business Improvement, Azure &amp; Verdant Vistas, LLC.</w:t>
      </w:r>
    </w:p>
    <w:p>
      <w:pPr>
        <w:pStyle w:val="Heading1"/>
      </w:pPr>
      <w:r>
        <w:t>14. Formal Citation</w:t>
      </w:r>
    </w:p>
    <w:p>
      <w:r>
        <w:t>Allie, Darren L. The Allie Scenario Prompting Protocol: A Scenario-Constrained, Outcome-First Method for Prompt Engineering. Azure &amp; Verdant Vistas, LLC, 2026. DOI: 10.5281/zenodo.20596641.</w:t>
      </w:r>
    </w:p>
    <w:p>
      <w:pPr>
        <w:pStyle w:val="Heading1"/>
      </w:pPr>
      <w:r>
        <w:t>15. External Reference Sources</w:t>
      </w:r>
    </w:p>
    <w:p>
      <w:pPr>
        <w:pStyle w:val="ListNumber"/>
      </w:pPr>
      <w:r>
        <w:t>National Institute of Standards and Technology. Artificial Intelligence Risk Management Framework (AI RMF 1.0). NIST AI 100-1, January 2023. https://doi.org/10.6028/NIST.AI.100-1</w:t>
      </w:r>
    </w:p>
    <w:p>
      <w:pPr>
        <w:pStyle w:val="ListNumber"/>
      </w:pPr>
      <w:r>
        <w:t>National Institute of Standards and Technology. AI Risk Management Framework homepage and Generative AI Profile information. https://www.nist.gov/itl/ai-risk-management-framework</w:t>
      </w:r>
    </w:p>
    <w:p>
      <w:pPr>
        <w:pStyle w:val="ListNumber"/>
      </w:pPr>
      <w:r>
        <w:t>International Organization for Standardization. ISO/IEC 42001:2023 Information technology — Artificial intelligence — Management system. https://www.iso.org/standard/42001</w:t>
      </w:r>
    </w:p>
    <w:p>
      <w:pPr>
        <w:pStyle w:val="ListNumber"/>
      </w:pPr>
      <w:r>
        <w:t>OWASP Foundation. OWASP Top 10 for Large Language Model Applications / OWASP GenAI Security Project. https://owasp.org/www-project-top-10-for-large-language-model-applications/</w:t>
      </w:r>
    </w:p>
    <w:p>
      <w:pPr>
        <w:pStyle w:val="Heading1"/>
      </w:pPr>
      <w:r>
        <w:t>16. Version History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tcPr>
          <w:p>
            <w:r/>
            <w:r>
              <w:rPr>
                <w:b/>
                <w:sz w:val="17"/>
              </w:rPr>
              <w:t>Version</w:t>
            </w:r>
          </w:p>
        </w:tc>
        <w:tc>
          <w:tcPr>
            <w:tcW w:type="dxa" w:w="3504"/>
            <w:shd w:fill="D9EAF7"/>
          </w:tcPr>
          <w:p>
            <w:r/>
            <w:r>
              <w:rPr>
                <w:b/>
                <w:sz w:val="17"/>
              </w:rPr>
              <w:t>Date</w:t>
            </w:r>
          </w:p>
        </w:tc>
        <w:tc>
          <w:tcPr>
            <w:tcW w:type="dxa" w:w="3504"/>
            <w:shd w:fill="D9EAF7"/>
          </w:tcPr>
          <w:p>
            <w:r/>
            <w:r>
              <w:rPr>
                <w:b/>
                <w:sz w:val="17"/>
              </w:rPr>
              <w:t>Description</w:t>
            </w:r>
          </w:p>
        </w:tc>
      </w:tr>
      <w:tr>
        <w:tc>
          <w:tcPr>
            <w:tcW w:type="dxa" w:w="3504"/>
            <w:vAlign w:val="top"/>
          </w:tcPr>
          <w:p>
            <w:r/>
            <w:r>
              <w:rPr>
                <w:b w:val="0"/>
                <w:sz w:val="17"/>
              </w:rPr>
              <w:t>1.0</w:t>
            </w:r>
          </w:p>
        </w:tc>
        <w:tc>
          <w:tcPr>
            <w:tcW w:type="dxa" w:w="3504"/>
            <w:vAlign w:val="top"/>
          </w:tcPr>
          <w:p>
            <w:r/>
            <w:r>
              <w:rPr>
                <w:b w:val="0"/>
                <w:sz w:val="17"/>
              </w:rPr>
              <w:t>2026</w:t>
            </w:r>
          </w:p>
        </w:tc>
        <w:tc>
          <w:tcPr>
            <w:tcW w:type="dxa" w:w="3504"/>
            <w:vAlign w:val="top"/>
          </w:tcPr>
          <w:p>
            <w:r/>
            <w:r>
              <w:rPr>
                <w:b w:val="0"/>
                <w:sz w:val="17"/>
              </w:rPr>
              <w:t>Initial ASPP standards-alignment document.</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