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49C56" w14:textId="77777777" w:rsidR="00551F4C" w:rsidRPr="005C1C8C" w:rsidRDefault="00551F4C" w:rsidP="00551F4C">
      <w:pPr>
        <w:jc w:val="center"/>
      </w:pPr>
      <w:r w:rsidRPr="005C1C8C">
        <w:rPr>
          <w:noProof/>
        </w:rPr>
        <w:drawing>
          <wp:inline distT="0" distB="0" distL="0" distR="0" wp14:anchorId="62D7EA37" wp14:editId="1041285C">
            <wp:extent cx="2857500" cy="2783916"/>
            <wp:effectExtent l="0" t="0" r="0" b="0"/>
            <wp:docPr id="1875176141" name="Picture 2" descr="A logo with text on it&#10;&#10;Description automatically generated, Picture,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0327025" descr="A logo with text on it&#10;&#10;Description automatically generated, Picture, Pictu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62894" cy="2789171"/>
                    </a:xfrm>
                    <a:prstGeom prst="rect">
                      <a:avLst/>
                    </a:prstGeom>
                    <a:noFill/>
                    <a:ln>
                      <a:noFill/>
                    </a:ln>
                  </pic:spPr>
                </pic:pic>
              </a:graphicData>
            </a:graphic>
          </wp:inline>
        </w:drawing>
      </w:r>
      <w:r w:rsidRPr="005C1C8C">
        <w:br/>
      </w:r>
    </w:p>
    <w:p w14:paraId="7BFE706C" w14:textId="77777777" w:rsidR="00551F4C" w:rsidRPr="005C1C8C" w:rsidRDefault="00551F4C" w:rsidP="00551F4C">
      <w:pPr>
        <w:jc w:val="center"/>
        <w:rPr>
          <w:sz w:val="32"/>
          <w:szCs w:val="32"/>
        </w:rPr>
      </w:pPr>
    </w:p>
    <w:p w14:paraId="6B2BCFA0" w14:textId="77777777" w:rsidR="00551F4C" w:rsidRDefault="00551F4C" w:rsidP="00551F4C">
      <w:pPr>
        <w:jc w:val="center"/>
        <w:rPr>
          <w:sz w:val="32"/>
          <w:szCs w:val="32"/>
          <w:lang w:val="en-CA"/>
        </w:rPr>
      </w:pPr>
      <w:r w:rsidRPr="005C1C8C">
        <w:rPr>
          <w:sz w:val="32"/>
          <w:szCs w:val="32"/>
        </w:rPr>
        <w:t xml:space="preserve">Data Visualization </w:t>
      </w:r>
      <w:r w:rsidRPr="005C1C8C">
        <w:rPr>
          <w:sz w:val="32"/>
          <w:szCs w:val="32"/>
          <w:lang w:val="en-CA"/>
        </w:rPr>
        <w:t>- ITC6004A1</w:t>
      </w:r>
    </w:p>
    <w:p w14:paraId="0AC918A7" w14:textId="77777777" w:rsidR="00551F4C" w:rsidRPr="005C1C8C" w:rsidRDefault="00551F4C" w:rsidP="00551F4C">
      <w:pPr>
        <w:jc w:val="center"/>
        <w:rPr>
          <w:sz w:val="32"/>
          <w:szCs w:val="32"/>
        </w:rPr>
      </w:pPr>
      <w:r>
        <w:rPr>
          <w:sz w:val="32"/>
          <w:szCs w:val="32"/>
          <w:lang w:val="en-CA"/>
        </w:rPr>
        <w:t>Winter Term 2026</w:t>
      </w:r>
    </w:p>
    <w:p w14:paraId="5FC364F4" w14:textId="77777777" w:rsidR="00551F4C" w:rsidRPr="005C1C8C" w:rsidRDefault="00551F4C" w:rsidP="00551F4C">
      <w:pPr>
        <w:rPr>
          <w:sz w:val="32"/>
          <w:szCs w:val="32"/>
          <w:lang w:val="en-CA"/>
        </w:rPr>
      </w:pPr>
    </w:p>
    <w:p w14:paraId="6604DDDF" w14:textId="77777777" w:rsidR="00551F4C" w:rsidRPr="005C1C8C" w:rsidRDefault="00551F4C" w:rsidP="00551F4C">
      <w:pPr>
        <w:jc w:val="center"/>
        <w:rPr>
          <w:sz w:val="32"/>
          <w:szCs w:val="32"/>
        </w:rPr>
      </w:pPr>
      <w:r w:rsidRPr="005C1C8C">
        <w:rPr>
          <w:sz w:val="32"/>
          <w:szCs w:val="32"/>
          <w:lang w:val="en-CA"/>
        </w:rPr>
        <w:t>Deree – The American College of Greece</w:t>
      </w:r>
    </w:p>
    <w:p w14:paraId="63C0B02B" w14:textId="77777777" w:rsidR="00551F4C" w:rsidRDefault="00551F4C" w:rsidP="00551F4C">
      <w:pPr>
        <w:rPr>
          <w:lang w:val="en-CA"/>
        </w:rPr>
      </w:pPr>
    </w:p>
    <w:p w14:paraId="72333AA2" w14:textId="77777777" w:rsidR="00551F4C" w:rsidRDefault="00551F4C" w:rsidP="00551F4C">
      <w:pPr>
        <w:rPr>
          <w:lang w:val="en-CA"/>
        </w:rPr>
      </w:pPr>
    </w:p>
    <w:p w14:paraId="325D50F6" w14:textId="77777777" w:rsidR="00551F4C" w:rsidRDefault="00551F4C" w:rsidP="00551F4C">
      <w:pPr>
        <w:jc w:val="center"/>
        <w:rPr>
          <w:sz w:val="32"/>
          <w:szCs w:val="32"/>
        </w:rPr>
      </w:pPr>
      <w:r>
        <w:rPr>
          <w:sz w:val="32"/>
          <w:szCs w:val="32"/>
        </w:rPr>
        <w:t>Team Members:</w:t>
      </w:r>
    </w:p>
    <w:p w14:paraId="40F7CDCD" w14:textId="77777777" w:rsidR="00551F4C" w:rsidRDefault="00551F4C" w:rsidP="00551F4C">
      <w:pPr>
        <w:jc w:val="center"/>
        <w:rPr>
          <w:sz w:val="32"/>
          <w:szCs w:val="32"/>
        </w:rPr>
      </w:pPr>
      <w:proofErr w:type="spellStart"/>
      <w:r>
        <w:rPr>
          <w:sz w:val="32"/>
          <w:szCs w:val="32"/>
        </w:rPr>
        <w:t>Bechrakis</w:t>
      </w:r>
      <w:proofErr w:type="spellEnd"/>
      <w:r>
        <w:rPr>
          <w:sz w:val="32"/>
          <w:szCs w:val="32"/>
        </w:rPr>
        <w:t xml:space="preserve"> Dimitrios</w:t>
      </w:r>
    </w:p>
    <w:p w14:paraId="7D9F028B" w14:textId="77777777" w:rsidR="00551F4C" w:rsidRDefault="00551F4C" w:rsidP="00551F4C">
      <w:pPr>
        <w:jc w:val="center"/>
        <w:rPr>
          <w:sz w:val="32"/>
          <w:szCs w:val="32"/>
        </w:rPr>
      </w:pPr>
      <w:proofErr w:type="spellStart"/>
      <w:r>
        <w:rPr>
          <w:sz w:val="32"/>
          <w:szCs w:val="32"/>
        </w:rPr>
        <w:t>Douvlidis</w:t>
      </w:r>
      <w:proofErr w:type="spellEnd"/>
      <w:r>
        <w:rPr>
          <w:sz w:val="32"/>
          <w:szCs w:val="32"/>
        </w:rPr>
        <w:t xml:space="preserve"> Alexandros</w:t>
      </w:r>
    </w:p>
    <w:p w14:paraId="58317CDD" w14:textId="77777777" w:rsidR="00551F4C" w:rsidRPr="005C1C8C" w:rsidRDefault="00551F4C" w:rsidP="00551F4C">
      <w:pPr>
        <w:jc w:val="center"/>
        <w:rPr>
          <w:sz w:val="32"/>
          <w:szCs w:val="32"/>
        </w:rPr>
      </w:pPr>
      <w:r>
        <w:rPr>
          <w:sz w:val="32"/>
          <w:szCs w:val="32"/>
        </w:rPr>
        <w:t>Fotakis Fotios</w:t>
      </w:r>
    </w:p>
    <w:p w14:paraId="7D90198D" w14:textId="77777777" w:rsidR="00551F4C" w:rsidRDefault="00551F4C" w:rsidP="00551F4C"/>
    <w:p w14:paraId="1C312C50" w14:textId="77777777" w:rsidR="00551F4C" w:rsidRDefault="00551F4C" w:rsidP="00551F4C"/>
    <w:p w14:paraId="257DB6BB" w14:textId="77777777" w:rsidR="00551F4C" w:rsidRDefault="00551F4C" w:rsidP="00551F4C"/>
    <w:p w14:paraId="08C8EE04" w14:textId="77777777" w:rsidR="00551F4C" w:rsidRDefault="00551F4C">
      <w:pPr>
        <w:pStyle w:val="Heading1"/>
        <w:spacing w:line="276" w:lineRule="auto"/>
      </w:pPr>
    </w:p>
    <w:p w14:paraId="353C535D" w14:textId="77777777" w:rsidR="00551F4C" w:rsidRDefault="00551F4C">
      <w:pPr>
        <w:rPr>
          <w:b/>
          <w:bCs/>
          <w:color w:val="1F3864"/>
          <w:sz w:val="32"/>
          <w:szCs w:val="32"/>
        </w:rPr>
      </w:pPr>
      <w:r>
        <w:br w:type="page"/>
      </w:r>
    </w:p>
    <w:sdt>
      <w:sdtPr>
        <w:id w:val="947817564"/>
        <w:docPartObj>
          <w:docPartGallery w:val="Table of Contents"/>
          <w:docPartUnique/>
        </w:docPartObj>
      </w:sdtPr>
      <w:sdtEndPr>
        <w:rPr>
          <w:rFonts w:ascii="Calibri" w:eastAsia="Calibri" w:hAnsi="Calibri" w:cs="Calibri"/>
          <w:b/>
          <w:bCs/>
          <w:noProof/>
          <w:color w:val="auto"/>
          <w:sz w:val="22"/>
          <w:szCs w:val="22"/>
        </w:rPr>
      </w:sdtEndPr>
      <w:sdtContent>
        <w:p w14:paraId="16924EF7" w14:textId="52E404AD" w:rsidR="00551F4C" w:rsidRDefault="00551F4C">
          <w:pPr>
            <w:pStyle w:val="TOCHeading"/>
          </w:pPr>
          <w:r>
            <w:t>Contents</w:t>
          </w:r>
        </w:p>
        <w:p w14:paraId="47757C4E" w14:textId="74280C07" w:rsidR="00551F4C" w:rsidRDefault="00551F4C">
          <w:pPr>
            <w:pStyle w:val="TOC1"/>
            <w:tabs>
              <w:tab w:val="right" w:leader="dot" w:pos="937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4989883" w:history="1">
            <w:r w:rsidRPr="0067363B">
              <w:rPr>
                <w:rStyle w:val="Hyperlink"/>
                <w:noProof/>
              </w:rPr>
              <w:t>Abstract</w:t>
            </w:r>
            <w:r>
              <w:rPr>
                <w:noProof/>
                <w:webHidden/>
              </w:rPr>
              <w:tab/>
            </w:r>
            <w:r>
              <w:rPr>
                <w:noProof/>
                <w:webHidden/>
              </w:rPr>
              <w:fldChar w:fldCharType="begin"/>
            </w:r>
            <w:r>
              <w:rPr>
                <w:noProof/>
                <w:webHidden/>
              </w:rPr>
              <w:instrText xml:space="preserve"> PAGEREF _Toc224989883 \h </w:instrText>
            </w:r>
            <w:r>
              <w:rPr>
                <w:noProof/>
                <w:webHidden/>
              </w:rPr>
            </w:r>
            <w:r>
              <w:rPr>
                <w:noProof/>
                <w:webHidden/>
              </w:rPr>
              <w:fldChar w:fldCharType="separate"/>
            </w:r>
            <w:r>
              <w:rPr>
                <w:noProof/>
                <w:webHidden/>
              </w:rPr>
              <w:t>3</w:t>
            </w:r>
            <w:r>
              <w:rPr>
                <w:noProof/>
                <w:webHidden/>
              </w:rPr>
              <w:fldChar w:fldCharType="end"/>
            </w:r>
          </w:hyperlink>
        </w:p>
        <w:p w14:paraId="012EA95C" w14:textId="3B8D4DD4" w:rsidR="00551F4C" w:rsidRDefault="00551F4C">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4989884" w:history="1">
            <w:r w:rsidRPr="0067363B">
              <w:rPr>
                <w:rStyle w:val="Hyperlink"/>
                <w:noProof/>
              </w:rPr>
              <w:t>Introduction</w:t>
            </w:r>
            <w:r>
              <w:rPr>
                <w:noProof/>
                <w:webHidden/>
              </w:rPr>
              <w:tab/>
            </w:r>
            <w:r>
              <w:rPr>
                <w:noProof/>
                <w:webHidden/>
              </w:rPr>
              <w:fldChar w:fldCharType="begin"/>
            </w:r>
            <w:r>
              <w:rPr>
                <w:noProof/>
                <w:webHidden/>
              </w:rPr>
              <w:instrText xml:space="preserve"> PAGEREF _Toc224989884 \h </w:instrText>
            </w:r>
            <w:r>
              <w:rPr>
                <w:noProof/>
                <w:webHidden/>
              </w:rPr>
            </w:r>
            <w:r>
              <w:rPr>
                <w:noProof/>
                <w:webHidden/>
              </w:rPr>
              <w:fldChar w:fldCharType="separate"/>
            </w:r>
            <w:r>
              <w:rPr>
                <w:noProof/>
                <w:webHidden/>
              </w:rPr>
              <w:t>4</w:t>
            </w:r>
            <w:r>
              <w:rPr>
                <w:noProof/>
                <w:webHidden/>
              </w:rPr>
              <w:fldChar w:fldCharType="end"/>
            </w:r>
          </w:hyperlink>
        </w:p>
        <w:p w14:paraId="7623ECE9" w14:textId="1CEFC8C8" w:rsidR="00551F4C" w:rsidRDefault="00551F4C">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4989885" w:history="1">
            <w:r w:rsidRPr="0067363B">
              <w:rPr>
                <w:rStyle w:val="Hyperlink"/>
                <w:noProof/>
              </w:rPr>
              <w:t>Methodology and Tools</w:t>
            </w:r>
            <w:r>
              <w:rPr>
                <w:noProof/>
                <w:webHidden/>
              </w:rPr>
              <w:tab/>
            </w:r>
            <w:r>
              <w:rPr>
                <w:noProof/>
                <w:webHidden/>
              </w:rPr>
              <w:fldChar w:fldCharType="begin"/>
            </w:r>
            <w:r>
              <w:rPr>
                <w:noProof/>
                <w:webHidden/>
              </w:rPr>
              <w:instrText xml:space="preserve"> PAGEREF _Toc224989885 \h </w:instrText>
            </w:r>
            <w:r>
              <w:rPr>
                <w:noProof/>
                <w:webHidden/>
              </w:rPr>
            </w:r>
            <w:r>
              <w:rPr>
                <w:noProof/>
                <w:webHidden/>
              </w:rPr>
              <w:fldChar w:fldCharType="separate"/>
            </w:r>
            <w:r>
              <w:rPr>
                <w:noProof/>
                <w:webHidden/>
              </w:rPr>
              <w:t>5</w:t>
            </w:r>
            <w:r>
              <w:rPr>
                <w:noProof/>
                <w:webHidden/>
              </w:rPr>
              <w:fldChar w:fldCharType="end"/>
            </w:r>
          </w:hyperlink>
        </w:p>
        <w:p w14:paraId="5B449337" w14:textId="47EC382B" w:rsidR="00551F4C" w:rsidRDefault="00551F4C">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4989886" w:history="1">
            <w:r w:rsidRPr="0067363B">
              <w:rPr>
                <w:rStyle w:val="Hyperlink"/>
                <w:noProof/>
              </w:rPr>
              <w:t>Data Preparation</w:t>
            </w:r>
            <w:r>
              <w:rPr>
                <w:noProof/>
                <w:webHidden/>
              </w:rPr>
              <w:tab/>
            </w:r>
            <w:r>
              <w:rPr>
                <w:noProof/>
                <w:webHidden/>
              </w:rPr>
              <w:fldChar w:fldCharType="begin"/>
            </w:r>
            <w:r>
              <w:rPr>
                <w:noProof/>
                <w:webHidden/>
              </w:rPr>
              <w:instrText xml:space="preserve"> PAGEREF _Toc224989886 \h </w:instrText>
            </w:r>
            <w:r>
              <w:rPr>
                <w:noProof/>
                <w:webHidden/>
              </w:rPr>
            </w:r>
            <w:r>
              <w:rPr>
                <w:noProof/>
                <w:webHidden/>
              </w:rPr>
              <w:fldChar w:fldCharType="separate"/>
            </w:r>
            <w:r>
              <w:rPr>
                <w:noProof/>
                <w:webHidden/>
              </w:rPr>
              <w:t>5</w:t>
            </w:r>
            <w:r>
              <w:rPr>
                <w:noProof/>
                <w:webHidden/>
              </w:rPr>
              <w:fldChar w:fldCharType="end"/>
            </w:r>
          </w:hyperlink>
        </w:p>
        <w:p w14:paraId="70D09200" w14:textId="731E6287" w:rsidR="00551F4C" w:rsidRDefault="00551F4C">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4989887" w:history="1">
            <w:r w:rsidRPr="0067363B">
              <w:rPr>
                <w:rStyle w:val="Hyperlink"/>
                <w:noProof/>
              </w:rPr>
              <w:t>Data Modeling</w:t>
            </w:r>
            <w:r>
              <w:rPr>
                <w:noProof/>
                <w:webHidden/>
              </w:rPr>
              <w:tab/>
            </w:r>
            <w:r>
              <w:rPr>
                <w:noProof/>
                <w:webHidden/>
              </w:rPr>
              <w:fldChar w:fldCharType="begin"/>
            </w:r>
            <w:r>
              <w:rPr>
                <w:noProof/>
                <w:webHidden/>
              </w:rPr>
              <w:instrText xml:space="preserve"> PAGEREF _Toc224989887 \h </w:instrText>
            </w:r>
            <w:r>
              <w:rPr>
                <w:noProof/>
                <w:webHidden/>
              </w:rPr>
            </w:r>
            <w:r>
              <w:rPr>
                <w:noProof/>
                <w:webHidden/>
              </w:rPr>
              <w:fldChar w:fldCharType="separate"/>
            </w:r>
            <w:r>
              <w:rPr>
                <w:noProof/>
                <w:webHidden/>
              </w:rPr>
              <w:t>5</w:t>
            </w:r>
            <w:r>
              <w:rPr>
                <w:noProof/>
                <w:webHidden/>
              </w:rPr>
              <w:fldChar w:fldCharType="end"/>
            </w:r>
          </w:hyperlink>
        </w:p>
        <w:p w14:paraId="0C7DEEDB" w14:textId="54CEFBAB" w:rsidR="00551F4C" w:rsidRDefault="00551F4C">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4989888" w:history="1">
            <w:r w:rsidRPr="0067363B">
              <w:rPr>
                <w:rStyle w:val="Hyperlink"/>
                <w:noProof/>
              </w:rPr>
              <w:t>Dashboard Design</w:t>
            </w:r>
            <w:r>
              <w:rPr>
                <w:noProof/>
                <w:webHidden/>
              </w:rPr>
              <w:tab/>
            </w:r>
            <w:r>
              <w:rPr>
                <w:noProof/>
                <w:webHidden/>
              </w:rPr>
              <w:fldChar w:fldCharType="begin"/>
            </w:r>
            <w:r>
              <w:rPr>
                <w:noProof/>
                <w:webHidden/>
              </w:rPr>
              <w:instrText xml:space="preserve"> PAGEREF _Toc224989888 \h </w:instrText>
            </w:r>
            <w:r>
              <w:rPr>
                <w:noProof/>
                <w:webHidden/>
              </w:rPr>
            </w:r>
            <w:r>
              <w:rPr>
                <w:noProof/>
                <w:webHidden/>
              </w:rPr>
              <w:fldChar w:fldCharType="separate"/>
            </w:r>
            <w:r>
              <w:rPr>
                <w:noProof/>
                <w:webHidden/>
              </w:rPr>
              <w:t>6</w:t>
            </w:r>
            <w:r>
              <w:rPr>
                <w:noProof/>
                <w:webHidden/>
              </w:rPr>
              <w:fldChar w:fldCharType="end"/>
            </w:r>
          </w:hyperlink>
        </w:p>
        <w:p w14:paraId="56410DEA" w14:textId="5B779A12" w:rsidR="00551F4C" w:rsidRDefault="00551F4C">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4989889" w:history="1">
            <w:r w:rsidRPr="0067363B">
              <w:rPr>
                <w:rStyle w:val="Hyperlink"/>
                <w:noProof/>
              </w:rPr>
              <w:t>Dashboard Reports Creation</w:t>
            </w:r>
            <w:r>
              <w:rPr>
                <w:noProof/>
                <w:webHidden/>
              </w:rPr>
              <w:tab/>
            </w:r>
            <w:r>
              <w:rPr>
                <w:noProof/>
                <w:webHidden/>
              </w:rPr>
              <w:fldChar w:fldCharType="begin"/>
            </w:r>
            <w:r>
              <w:rPr>
                <w:noProof/>
                <w:webHidden/>
              </w:rPr>
              <w:instrText xml:space="preserve"> PAGEREF _Toc224989889 \h </w:instrText>
            </w:r>
            <w:r>
              <w:rPr>
                <w:noProof/>
                <w:webHidden/>
              </w:rPr>
            </w:r>
            <w:r>
              <w:rPr>
                <w:noProof/>
                <w:webHidden/>
              </w:rPr>
              <w:fldChar w:fldCharType="separate"/>
            </w:r>
            <w:r>
              <w:rPr>
                <w:noProof/>
                <w:webHidden/>
              </w:rPr>
              <w:t>7</w:t>
            </w:r>
            <w:r>
              <w:rPr>
                <w:noProof/>
                <w:webHidden/>
              </w:rPr>
              <w:fldChar w:fldCharType="end"/>
            </w:r>
          </w:hyperlink>
        </w:p>
        <w:p w14:paraId="18BFB95B" w14:textId="41B5E5D3" w:rsidR="00551F4C" w:rsidRDefault="00551F4C">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4989890" w:history="1">
            <w:r w:rsidRPr="0067363B">
              <w:rPr>
                <w:rStyle w:val="Hyperlink"/>
                <w:noProof/>
              </w:rPr>
              <w:t>Executive Summary</w:t>
            </w:r>
            <w:r>
              <w:rPr>
                <w:noProof/>
                <w:webHidden/>
              </w:rPr>
              <w:tab/>
            </w:r>
            <w:r>
              <w:rPr>
                <w:noProof/>
                <w:webHidden/>
              </w:rPr>
              <w:fldChar w:fldCharType="begin"/>
            </w:r>
            <w:r>
              <w:rPr>
                <w:noProof/>
                <w:webHidden/>
              </w:rPr>
              <w:instrText xml:space="preserve"> PAGEREF _Toc224989890 \h </w:instrText>
            </w:r>
            <w:r>
              <w:rPr>
                <w:noProof/>
                <w:webHidden/>
              </w:rPr>
            </w:r>
            <w:r>
              <w:rPr>
                <w:noProof/>
                <w:webHidden/>
              </w:rPr>
              <w:fldChar w:fldCharType="separate"/>
            </w:r>
            <w:r>
              <w:rPr>
                <w:noProof/>
                <w:webHidden/>
              </w:rPr>
              <w:t>7</w:t>
            </w:r>
            <w:r>
              <w:rPr>
                <w:noProof/>
                <w:webHidden/>
              </w:rPr>
              <w:fldChar w:fldCharType="end"/>
            </w:r>
          </w:hyperlink>
        </w:p>
        <w:p w14:paraId="0E368864" w14:textId="516093CA" w:rsidR="00551F4C" w:rsidRDefault="00551F4C">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4989891" w:history="1">
            <w:r w:rsidRPr="0067363B">
              <w:rPr>
                <w:rStyle w:val="Hyperlink"/>
                <w:noProof/>
              </w:rPr>
              <w:t>Product Analysis</w:t>
            </w:r>
            <w:r>
              <w:rPr>
                <w:noProof/>
                <w:webHidden/>
              </w:rPr>
              <w:tab/>
            </w:r>
            <w:r>
              <w:rPr>
                <w:noProof/>
                <w:webHidden/>
              </w:rPr>
              <w:fldChar w:fldCharType="begin"/>
            </w:r>
            <w:r>
              <w:rPr>
                <w:noProof/>
                <w:webHidden/>
              </w:rPr>
              <w:instrText xml:space="preserve"> PAGEREF _Toc224989891 \h </w:instrText>
            </w:r>
            <w:r>
              <w:rPr>
                <w:noProof/>
                <w:webHidden/>
              </w:rPr>
            </w:r>
            <w:r>
              <w:rPr>
                <w:noProof/>
                <w:webHidden/>
              </w:rPr>
              <w:fldChar w:fldCharType="separate"/>
            </w:r>
            <w:r>
              <w:rPr>
                <w:noProof/>
                <w:webHidden/>
              </w:rPr>
              <w:t>7</w:t>
            </w:r>
            <w:r>
              <w:rPr>
                <w:noProof/>
                <w:webHidden/>
              </w:rPr>
              <w:fldChar w:fldCharType="end"/>
            </w:r>
          </w:hyperlink>
        </w:p>
        <w:p w14:paraId="5D1B1DDF" w14:textId="3F6C021A" w:rsidR="00551F4C" w:rsidRDefault="00551F4C">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4989892" w:history="1">
            <w:r w:rsidRPr="0067363B">
              <w:rPr>
                <w:rStyle w:val="Hyperlink"/>
                <w:noProof/>
              </w:rPr>
              <w:t>Customer Analysis</w:t>
            </w:r>
            <w:r>
              <w:rPr>
                <w:noProof/>
                <w:webHidden/>
              </w:rPr>
              <w:tab/>
            </w:r>
            <w:r>
              <w:rPr>
                <w:noProof/>
                <w:webHidden/>
              </w:rPr>
              <w:fldChar w:fldCharType="begin"/>
            </w:r>
            <w:r>
              <w:rPr>
                <w:noProof/>
                <w:webHidden/>
              </w:rPr>
              <w:instrText xml:space="preserve"> PAGEREF _Toc224989892 \h </w:instrText>
            </w:r>
            <w:r>
              <w:rPr>
                <w:noProof/>
                <w:webHidden/>
              </w:rPr>
            </w:r>
            <w:r>
              <w:rPr>
                <w:noProof/>
                <w:webHidden/>
              </w:rPr>
              <w:fldChar w:fldCharType="separate"/>
            </w:r>
            <w:r>
              <w:rPr>
                <w:noProof/>
                <w:webHidden/>
              </w:rPr>
              <w:t>8</w:t>
            </w:r>
            <w:r>
              <w:rPr>
                <w:noProof/>
                <w:webHidden/>
              </w:rPr>
              <w:fldChar w:fldCharType="end"/>
            </w:r>
          </w:hyperlink>
        </w:p>
        <w:p w14:paraId="7455E108" w14:textId="74757B27" w:rsidR="00551F4C" w:rsidRDefault="00551F4C">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4989893" w:history="1">
            <w:r w:rsidRPr="0067363B">
              <w:rPr>
                <w:rStyle w:val="Hyperlink"/>
                <w:noProof/>
              </w:rPr>
              <w:t>Regional Performance</w:t>
            </w:r>
            <w:r>
              <w:rPr>
                <w:noProof/>
                <w:webHidden/>
              </w:rPr>
              <w:tab/>
            </w:r>
            <w:r>
              <w:rPr>
                <w:noProof/>
                <w:webHidden/>
              </w:rPr>
              <w:fldChar w:fldCharType="begin"/>
            </w:r>
            <w:r>
              <w:rPr>
                <w:noProof/>
                <w:webHidden/>
              </w:rPr>
              <w:instrText xml:space="preserve"> PAGEREF _Toc224989893 \h </w:instrText>
            </w:r>
            <w:r>
              <w:rPr>
                <w:noProof/>
                <w:webHidden/>
              </w:rPr>
            </w:r>
            <w:r>
              <w:rPr>
                <w:noProof/>
                <w:webHidden/>
              </w:rPr>
              <w:fldChar w:fldCharType="separate"/>
            </w:r>
            <w:r>
              <w:rPr>
                <w:noProof/>
                <w:webHidden/>
              </w:rPr>
              <w:t>10</w:t>
            </w:r>
            <w:r>
              <w:rPr>
                <w:noProof/>
                <w:webHidden/>
              </w:rPr>
              <w:fldChar w:fldCharType="end"/>
            </w:r>
          </w:hyperlink>
        </w:p>
        <w:p w14:paraId="1DA6D4C3" w14:textId="2B78170F" w:rsidR="00551F4C" w:rsidRDefault="00551F4C">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4989894" w:history="1">
            <w:r w:rsidRPr="0067363B">
              <w:rPr>
                <w:rStyle w:val="Hyperlink"/>
                <w:noProof/>
              </w:rPr>
              <w:t>Conclusion</w:t>
            </w:r>
            <w:r>
              <w:rPr>
                <w:noProof/>
                <w:webHidden/>
              </w:rPr>
              <w:tab/>
            </w:r>
            <w:r>
              <w:rPr>
                <w:noProof/>
                <w:webHidden/>
              </w:rPr>
              <w:fldChar w:fldCharType="begin"/>
            </w:r>
            <w:r>
              <w:rPr>
                <w:noProof/>
                <w:webHidden/>
              </w:rPr>
              <w:instrText xml:space="preserve"> PAGEREF _Toc224989894 \h </w:instrText>
            </w:r>
            <w:r>
              <w:rPr>
                <w:noProof/>
                <w:webHidden/>
              </w:rPr>
            </w:r>
            <w:r>
              <w:rPr>
                <w:noProof/>
                <w:webHidden/>
              </w:rPr>
              <w:fldChar w:fldCharType="separate"/>
            </w:r>
            <w:r>
              <w:rPr>
                <w:noProof/>
                <w:webHidden/>
              </w:rPr>
              <w:t>11</w:t>
            </w:r>
            <w:r>
              <w:rPr>
                <w:noProof/>
                <w:webHidden/>
              </w:rPr>
              <w:fldChar w:fldCharType="end"/>
            </w:r>
          </w:hyperlink>
        </w:p>
        <w:p w14:paraId="243D0333" w14:textId="1F6CB99E" w:rsidR="00551F4C" w:rsidRDefault="00551F4C">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4989895" w:history="1">
            <w:r w:rsidRPr="0067363B">
              <w:rPr>
                <w:rStyle w:val="Hyperlink"/>
                <w:noProof/>
              </w:rPr>
              <w:t>Key Findings</w:t>
            </w:r>
            <w:r>
              <w:rPr>
                <w:noProof/>
                <w:webHidden/>
              </w:rPr>
              <w:tab/>
            </w:r>
            <w:r>
              <w:rPr>
                <w:noProof/>
                <w:webHidden/>
              </w:rPr>
              <w:fldChar w:fldCharType="begin"/>
            </w:r>
            <w:r>
              <w:rPr>
                <w:noProof/>
                <w:webHidden/>
              </w:rPr>
              <w:instrText xml:space="preserve"> PAGEREF _Toc224989895 \h </w:instrText>
            </w:r>
            <w:r>
              <w:rPr>
                <w:noProof/>
                <w:webHidden/>
              </w:rPr>
            </w:r>
            <w:r>
              <w:rPr>
                <w:noProof/>
                <w:webHidden/>
              </w:rPr>
              <w:fldChar w:fldCharType="separate"/>
            </w:r>
            <w:r>
              <w:rPr>
                <w:noProof/>
                <w:webHidden/>
              </w:rPr>
              <w:t>11</w:t>
            </w:r>
            <w:r>
              <w:rPr>
                <w:noProof/>
                <w:webHidden/>
              </w:rPr>
              <w:fldChar w:fldCharType="end"/>
            </w:r>
          </w:hyperlink>
        </w:p>
        <w:p w14:paraId="53B08482" w14:textId="5A68AC91" w:rsidR="00551F4C" w:rsidRDefault="00551F4C">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4989896" w:history="1">
            <w:r w:rsidRPr="0067363B">
              <w:rPr>
                <w:rStyle w:val="Hyperlink"/>
                <w:noProof/>
              </w:rPr>
              <w:t>Recommendations</w:t>
            </w:r>
            <w:r>
              <w:rPr>
                <w:noProof/>
                <w:webHidden/>
              </w:rPr>
              <w:tab/>
            </w:r>
            <w:r>
              <w:rPr>
                <w:noProof/>
                <w:webHidden/>
              </w:rPr>
              <w:fldChar w:fldCharType="begin"/>
            </w:r>
            <w:r>
              <w:rPr>
                <w:noProof/>
                <w:webHidden/>
              </w:rPr>
              <w:instrText xml:space="preserve"> PAGEREF _Toc224989896 \h </w:instrText>
            </w:r>
            <w:r>
              <w:rPr>
                <w:noProof/>
                <w:webHidden/>
              </w:rPr>
            </w:r>
            <w:r>
              <w:rPr>
                <w:noProof/>
                <w:webHidden/>
              </w:rPr>
              <w:fldChar w:fldCharType="separate"/>
            </w:r>
            <w:r>
              <w:rPr>
                <w:noProof/>
                <w:webHidden/>
              </w:rPr>
              <w:t>11</w:t>
            </w:r>
            <w:r>
              <w:rPr>
                <w:noProof/>
                <w:webHidden/>
              </w:rPr>
              <w:fldChar w:fldCharType="end"/>
            </w:r>
          </w:hyperlink>
        </w:p>
        <w:p w14:paraId="35D845EB" w14:textId="2F468FF7" w:rsidR="00551F4C" w:rsidRDefault="00551F4C">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4989897" w:history="1">
            <w:r w:rsidRPr="0067363B">
              <w:rPr>
                <w:rStyle w:val="Hyperlink"/>
                <w:noProof/>
              </w:rPr>
              <w:t>References</w:t>
            </w:r>
            <w:r>
              <w:rPr>
                <w:noProof/>
                <w:webHidden/>
              </w:rPr>
              <w:tab/>
            </w:r>
            <w:r>
              <w:rPr>
                <w:noProof/>
                <w:webHidden/>
              </w:rPr>
              <w:fldChar w:fldCharType="begin"/>
            </w:r>
            <w:r>
              <w:rPr>
                <w:noProof/>
                <w:webHidden/>
              </w:rPr>
              <w:instrText xml:space="preserve"> PAGEREF _Toc224989897 \h </w:instrText>
            </w:r>
            <w:r>
              <w:rPr>
                <w:noProof/>
                <w:webHidden/>
              </w:rPr>
            </w:r>
            <w:r>
              <w:rPr>
                <w:noProof/>
                <w:webHidden/>
              </w:rPr>
              <w:fldChar w:fldCharType="separate"/>
            </w:r>
            <w:r>
              <w:rPr>
                <w:noProof/>
                <w:webHidden/>
              </w:rPr>
              <w:t>13</w:t>
            </w:r>
            <w:r>
              <w:rPr>
                <w:noProof/>
                <w:webHidden/>
              </w:rPr>
              <w:fldChar w:fldCharType="end"/>
            </w:r>
          </w:hyperlink>
        </w:p>
        <w:p w14:paraId="05EC05CB" w14:textId="44FF2848" w:rsidR="00551F4C" w:rsidRDefault="00551F4C">
          <w:r>
            <w:rPr>
              <w:b/>
              <w:bCs/>
              <w:noProof/>
            </w:rPr>
            <w:fldChar w:fldCharType="end"/>
          </w:r>
        </w:p>
      </w:sdtContent>
    </w:sdt>
    <w:p w14:paraId="2C212C6D" w14:textId="77777777" w:rsidR="00551F4C" w:rsidRDefault="00551F4C">
      <w:pPr>
        <w:pStyle w:val="Heading1"/>
        <w:spacing w:line="276" w:lineRule="auto"/>
      </w:pPr>
    </w:p>
    <w:p w14:paraId="3DA7227C" w14:textId="77777777" w:rsidR="00551F4C" w:rsidRDefault="00551F4C">
      <w:pPr>
        <w:rPr>
          <w:b/>
          <w:bCs/>
          <w:color w:val="1F3864"/>
          <w:sz w:val="32"/>
          <w:szCs w:val="32"/>
        </w:rPr>
      </w:pPr>
      <w:r>
        <w:br w:type="page"/>
      </w:r>
    </w:p>
    <w:p w14:paraId="5E7249C4" w14:textId="0FB2139D" w:rsidR="0052169E" w:rsidRDefault="00000000">
      <w:pPr>
        <w:pStyle w:val="Heading1"/>
        <w:spacing w:line="276" w:lineRule="auto"/>
      </w:pPr>
      <w:bookmarkStart w:id="0" w:name="_Toc224989883"/>
      <w:r>
        <w:lastRenderedPageBreak/>
        <w:t>Abstract</w:t>
      </w:r>
      <w:bookmarkEnd w:id="0"/>
    </w:p>
    <w:p w14:paraId="6184BDF7" w14:textId="77777777" w:rsidR="0052169E" w:rsidRDefault="00000000">
      <w:pPr>
        <w:spacing w:before="60" w:after="120" w:line="276" w:lineRule="auto"/>
        <w:jc w:val="both"/>
      </w:pPr>
      <w:r>
        <w:rPr>
          <w:color w:val="222222"/>
        </w:rPr>
        <w:t>This report presents a business intelligence analysis of the Superstore retail dataset, sourced from Kaggle and covering fiscal years 2014 through 2017 across the United States. The dataset contains 9,994 transactional records across three product categories, four geographic regions, and 793 unique customers. Using Power BI Desktop for data modeling and visualization, the project delivers a four-page interactive dashboard covering the Executive Summary, Product Analysis, Customer Analysis, and Regional Performance.</w:t>
      </w:r>
    </w:p>
    <w:p w14:paraId="3C789DCC" w14:textId="77777777" w:rsidR="0052169E" w:rsidRDefault="0052169E">
      <w:pPr>
        <w:spacing w:after="80" w:line="276" w:lineRule="auto"/>
      </w:pPr>
    </w:p>
    <w:p w14:paraId="7A4A789E" w14:textId="77777777" w:rsidR="0052169E" w:rsidRDefault="00000000">
      <w:pPr>
        <w:spacing w:before="60" w:after="120" w:line="276" w:lineRule="auto"/>
        <w:jc w:val="both"/>
      </w:pPr>
      <w:r>
        <w:rPr>
          <w:color w:val="222222"/>
        </w:rPr>
        <w:t>The headline findings are straightforward: revenue grew 51% over the period but profit margins have not kept pace, Furniture is structurally underperforming at 2.49% margin while the other two categories sit above 17%, deep discounting is destroying approximately $135K in profit annually, the Central region generates significant revenue at a fraction of the West’s margin, and the business’s top revenue customer is actually loss-making. Each finding comes with a specific recommendation. Together, the five recommended actions could move the overall profit margin from 12.47% toward 18 to 20% on the existing revenue base, representing an increase in annual profit of over $125K without requiring any change to the fundamental commercial strategy.</w:t>
      </w:r>
    </w:p>
    <w:p w14:paraId="1602399D" w14:textId="77777777" w:rsidR="0052169E" w:rsidRDefault="0052169E">
      <w:pPr>
        <w:spacing w:after="80" w:line="276" w:lineRule="auto"/>
      </w:pPr>
    </w:p>
    <w:p w14:paraId="6E690B62" w14:textId="77777777" w:rsidR="0052169E" w:rsidRDefault="00000000">
      <w:r>
        <w:br w:type="page"/>
      </w:r>
    </w:p>
    <w:p w14:paraId="4EE69627" w14:textId="77777777" w:rsidR="0052169E" w:rsidRDefault="00000000">
      <w:pPr>
        <w:pStyle w:val="Heading1"/>
        <w:spacing w:line="276" w:lineRule="auto"/>
      </w:pPr>
      <w:bookmarkStart w:id="1" w:name="_Toc224989884"/>
      <w:r>
        <w:lastRenderedPageBreak/>
        <w:t>Introduction</w:t>
      </w:r>
      <w:bookmarkEnd w:id="1"/>
    </w:p>
    <w:p w14:paraId="7F1B3134" w14:textId="77777777" w:rsidR="0052169E" w:rsidRDefault="00000000">
      <w:pPr>
        <w:spacing w:before="60" w:after="120" w:line="276" w:lineRule="auto"/>
        <w:jc w:val="both"/>
      </w:pPr>
      <w:r>
        <w:rPr>
          <w:color w:val="222222"/>
        </w:rPr>
        <w:t>The Superstore dataset available on Kaggle simulates the operations of a US-based multi-category retailer. Each record covers a single order line and includes the customer’s segment and location, the product’s category and sub-category, the financial outcome in terms of sales, discount, and profit, and the operational detail of how and when it was shipped. Four years of data from 2014 to 2017 provide enough depth to identify trends, seasonal patterns, and structural issues rather than one-off anomalies.</w:t>
      </w:r>
    </w:p>
    <w:p w14:paraId="513B8C54" w14:textId="77777777" w:rsidR="0052169E" w:rsidRDefault="0052169E">
      <w:pPr>
        <w:spacing w:after="80" w:line="276" w:lineRule="auto"/>
      </w:pPr>
    </w:p>
    <w:p w14:paraId="748356D7" w14:textId="77777777" w:rsidR="0052169E" w:rsidRDefault="00000000">
      <w:pPr>
        <w:spacing w:before="60" w:after="120" w:line="276" w:lineRule="auto"/>
        <w:jc w:val="both"/>
      </w:pPr>
      <w:r>
        <w:rPr>
          <w:color w:val="222222"/>
        </w:rPr>
        <w:t>The goal was to build a dashboard that tells a coherent story to a business audience, not just display numbers. The framing throughout is that of an internal analytics team presenting to executive leadership: every visual was chosen to answer a specific question, every color choice was made to direct attention, and every page was designed so that the most important insight is visible within the first few seconds. Power BI was the natural tool for this because DAX allows complex logic to be embedded in the model and updated dynamically as slicers are changed, while the interface supports the kind of rapid design iteration that a project like this requires. The final dashboard can be explored interactively by filtering on year, category, region, and segment, or presented in a fixed narrative flow by navigating through the pages in sequence without touching a slicer. Both modes of use were considered during the design process.</w:t>
      </w:r>
    </w:p>
    <w:p w14:paraId="6DA77E9F" w14:textId="77777777" w:rsidR="0052169E" w:rsidRDefault="0052169E">
      <w:pPr>
        <w:spacing w:after="80" w:line="276" w:lineRule="auto"/>
      </w:pPr>
    </w:p>
    <w:p w14:paraId="4DB1982A" w14:textId="77777777" w:rsidR="0052169E" w:rsidRDefault="00000000">
      <w:pPr>
        <w:spacing w:before="60" w:after="120" w:line="276" w:lineRule="auto"/>
        <w:jc w:val="both"/>
      </w:pPr>
      <w:r>
        <w:rPr>
          <w:color w:val="222222"/>
        </w:rPr>
        <w:t xml:space="preserve">The four pages follow a deliberate narrative arc. The Executive Summary establishes how the business is performing overall. Product Analysis asks whether the business is </w:t>
      </w:r>
      <w:proofErr w:type="gramStart"/>
      <w:r>
        <w:rPr>
          <w:color w:val="222222"/>
        </w:rPr>
        <w:t>actually making</w:t>
      </w:r>
      <w:proofErr w:type="gramEnd"/>
      <w:r>
        <w:rPr>
          <w:color w:val="222222"/>
        </w:rPr>
        <w:t xml:space="preserve"> money on what it sells. Customer Analysis looks at who is generating value and who is not. Regional Performance explains where these patterns play out geographically and examines operational efficiency through the lens of shipping data. Read in sequence, the four pages build a complete picture that supports both strategic decisions and specific operational actions.</w:t>
      </w:r>
    </w:p>
    <w:p w14:paraId="31276D95" w14:textId="77777777" w:rsidR="0052169E" w:rsidRDefault="0052169E">
      <w:pPr>
        <w:spacing w:after="80" w:line="276" w:lineRule="auto"/>
      </w:pPr>
    </w:p>
    <w:p w14:paraId="50A3BD4D" w14:textId="77777777" w:rsidR="0052169E" w:rsidRDefault="00000000">
      <w:pPr>
        <w:spacing w:before="60" w:after="120" w:line="276" w:lineRule="auto"/>
        <w:jc w:val="both"/>
      </w:pPr>
      <w:r>
        <w:rPr>
          <w:color w:val="222222"/>
        </w:rPr>
        <w:t xml:space="preserve">The dataset itself is well-suited to this kind of analysis because financial, geographic, operational, and customer-level fields all sit in a single flat table. No complex </w:t>
      </w:r>
      <w:proofErr w:type="gramStart"/>
      <w:r>
        <w:rPr>
          <w:color w:val="222222"/>
        </w:rPr>
        <w:t>joins</w:t>
      </w:r>
      <w:proofErr w:type="gramEnd"/>
      <w:r>
        <w:rPr>
          <w:color w:val="222222"/>
        </w:rPr>
        <w:t xml:space="preserve"> or additional data sources were needed. This means the dashboard can be refreshed with a new version of the CSV simply by replacing the source file and clicking Refresh, and all measures and visuals will update automatically. The data model built here is also extensible: state-level geographic analysis, customer lifetime value calculations, or a returns and cancellations breakdown could all be added as future pages without structural changes to the existing model.</w:t>
      </w:r>
    </w:p>
    <w:p w14:paraId="34A21A73" w14:textId="77777777" w:rsidR="0052169E" w:rsidRDefault="0052169E">
      <w:pPr>
        <w:spacing w:after="80" w:line="276" w:lineRule="auto"/>
      </w:pPr>
    </w:p>
    <w:p w14:paraId="49DD81B2" w14:textId="77777777" w:rsidR="0052169E" w:rsidRDefault="00000000">
      <w:r>
        <w:br w:type="page"/>
      </w:r>
    </w:p>
    <w:p w14:paraId="51C57449" w14:textId="77777777" w:rsidR="0052169E" w:rsidRDefault="00000000">
      <w:pPr>
        <w:pStyle w:val="Heading1"/>
        <w:spacing w:line="276" w:lineRule="auto"/>
      </w:pPr>
      <w:bookmarkStart w:id="2" w:name="_Toc224989885"/>
      <w:r>
        <w:lastRenderedPageBreak/>
        <w:t>Methodology and Tools</w:t>
      </w:r>
      <w:bookmarkEnd w:id="2"/>
    </w:p>
    <w:p w14:paraId="1F0B0092" w14:textId="77777777" w:rsidR="0052169E" w:rsidRDefault="00000000">
      <w:pPr>
        <w:pStyle w:val="Heading2"/>
        <w:spacing w:line="276" w:lineRule="auto"/>
      </w:pPr>
      <w:bookmarkStart w:id="3" w:name="_Toc224989886"/>
      <w:r>
        <w:t>Data Preparation</w:t>
      </w:r>
      <w:bookmarkEnd w:id="3"/>
    </w:p>
    <w:p w14:paraId="042191AC" w14:textId="77777777" w:rsidR="0052169E" w:rsidRDefault="00000000">
      <w:pPr>
        <w:spacing w:before="60" w:after="120" w:line="276" w:lineRule="auto"/>
        <w:jc w:val="both"/>
      </w:pPr>
      <w:r>
        <w:rPr>
          <w:color w:val="222222"/>
        </w:rPr>
        <w:t>After importing the CSV via the Text/CSV connector, the Power Query Editor was used to fix data types before loading. Order Date and Ship Date were set to Date, Sales and Profit to Decimal Number, Quantity to Whole Number, and Discount to Decimal Number. These corrections matter because Power BI’s automatic detection often misreads US-format dates and can misclassify numeric fields as text, which would silently break DAX calculations downstream.</w:t>
      </w:r>
    </w:p>
    <w:p w14:paraId="16DE228B" w14:textId="77777777" w:rsidR="0052169E" w:rsidRDefault="0052169E">
      <w:pPr>
        <w:spacing w:after="80" w:line="276" w:lineRule="auto"/>
      </w:pPr>
    </w:p>
    <w:p w14:paraId="62DFE4AB" w14:textId="77777777" w:rsidR="0052169E" w:rsidRDefault="00000000">
      <w:pPr>
        <w:spacing w:before="60" w:after="120" w:line="276" w:lineRule="auto"/>
        <w:jc w:val="both"/>
      </w:pPr>
      <w:r>
        <w:rPr>
          <w:color w:val="222222"/>
        </w:rPr>
        <w:t xml:space="preserve">Three calculated columns were then added to the Superstore table. A Discount Tier column used a SWITCH statement to group orders into bands from 0% to 60%+, making it possible to </w:t>
      </w:r>
      <w:proofErr w:type="spellStart"/>
      <w:r>
        <w:rPr>
          <w:color w:val="222222"/>
        </w:rPr>
        <w:t>analyse</w:t>
      </w:r>
      <w:proofErr w:type="spellEnd"/>
      <w:r>
        <w:rPr>
          <w:color w:val="222222"/>
        </w:rPr>
        <w:t xml:space="preserve"> discount behavior categorically rather than as a continuous variable. A Profit Flag column labelled each row as Profitable or Loss, enabling conditional formatting in visuals. A Days to Ship column computed the difference between Order Date and Ship Date in calendar days, which powers the shipping analysis on the Regional Performance page.</w:t>
      </w:r>
    </w:p>
    <w:p w14:paraId="42545A79" w14:textId="77777777" w:rsidR="0052169E" w:rsidRDefault="0052169E">
      <w:pPr>
        <w:spacing w:after="80" w:line="276" w:lineRule="auto"/>
      </w:pPr>
    </w:p>
    <w:p w14:paraId="391FB271" w14:textId="77777777" w:rsidR="0052169E" w:rsidRDefault="00000000">
      <w:pPr>
        <w:spacing w:before="60" w:after="120" w:line="276" w:lineRule="auto"/>
        <w:jc w:val="both"/>
      </w:pPr>
      <w:r>
        <w:rPr>
          <w:color w:val="222222"/>
        </w:rPr>
        <w:t xml:space="preserve">It is worth noting why these columns were added at the data level rather than as visual-level filters or calculated fields inside individual charts. Adding them as columns means they are available across every visual on every page without any duplication of logic, they are visible in the Fields pane so any team member working on the file can understand how they are defined </w:t>
      </w:r>
      <w:proofErr w:type="gramStart"/>
      <w:r>
        <w:rPr>
          <w:color w:val="222222"/>
        </w:rPr>
        <w:t>at a glance</w:t>
      </w:r>
      <w:proofErr w:type="gramEnd"/>
      <w:r>
        <w:rPr>
          <w:color w:val="222222"/>
        </w:rPr>
        <w:t>, and they update automatically if the underlying data source is refreshed with new rows. This approach reflects a broader principle applied throughout the project: invest in model quality upfront to reduce complexity and error risk in the visuals. A well-structured model saves far more time over the life of a project than it costs to build correctly the first time.</w:t>
      </w:r>
    </w:p>
    <w:p w14:paraId="100D74C4" w14:textId="77777777" w:rsidR="0052169E" w:rsidRDefault="0052169E">
      <w:pPr>
        <w:spacing w:after="80" w:line="276" w:lineRule="auto"/>
      </w:pPr>
    </w:p>
    <w:p w14:paraId="6F454344" w14:textId="77777777" w:rsidR="0052169E" w:rsidRDefault="00000000">
      <w:pPr>
        <w:pStyle w:val="Heading2"/>
        <w:spacing w:line="276" w:lineRule="auto"/>
      </w:pPr>
      <w:bookmarkStart w:id="4" w:name="_Toc224989887"/>
      <w:r>
        <w:t>Data Modeling</w:t>
      </w:r>
      <w:bookmarkEnd w:id="4"/>
    </w:p>
    <w:p w14:paraId="4F326D28" w14:textId="77777777" w:rsidR="0052169E" w:rsidRDefault="00000000">
      <w:pPr>
        <w:spacing w:before="60" w:after="120" w:line="276" w:lineRule="auto"/>
        <w:jc w:val="both"/>
      </w:pPr>
      <w:r>
        <w:rPr>
          <w:color w:val="222222"/>
        </w:rPr>
        <w:t xml:space="preserve">A </w:t>
      </w:r>
      <w:proofErr w:type="spellStart"/>
      <w:r>
        <w:rPr>
          <w:color w:val="222222"/>
        </w:rPr>
        <w:t>DateTable</w:t>
      </w:r>
      <w:proofErr w:type="spellEnd"/>
      <w:r>
        <w:rPr>
          <w:color w:val="222222"/>
        </w:rPr>
        <w:t xml:space="preserve"> was built with the CALENDAR function and enriched with Year, Month Number, Month Name, Quarter, and </w:t>
      </w:r>
      <w:proofErr w:type="spellStart"/>
      <w:r>
        <w:rPr>
          <w:color w:val="222222"/>
        </w:rPr>
        <w:t>YearMonth</w:t>
      </w:r>
      <w:proofErr w:type="spellEnd"/>
      <w:r>
        <w:rPr>
          <w:color w:val="222222"/>
        </w:rPr>
        <w:t xml:space="preserve"> columns. Month Name was set to </w:t>
      </w:r>
      <w:proofErr w:type="gramStart"/>
      <w:r>
        <w:rPr>
          <w:color w:val="222222"/>
        </w:rPr>
        <w:t>sort</w:t>
      </w:r>
      <w:proofErr w:type="gramEnd"/>
      <w:r>
        <w:rPr>
          <w:color w:val="222222"/>
        </w:rPr>
        <w:t xml:space="preserve"> by Month Number so that charts display January through December in the correct order rather than alphabetically. The table was marked as a date table and linked to </w:t>
      </w:r>
      <w:proofErr w:type="gramStart"/>
      <w:r>
        <w:rPr>
          <w:color w:val="222222"/>
        </w:rPr>
        <w:t>Superstore[</w:t>
      </w:r>
      <w:proofErr w:type="gramEnd"/>
      <w:r>
        <w:rPr>
          <w:color w:val="222222"/>
        </w:rPr>
        <w:t>Order Date] via a one-to-many relationship, which activates time intelligence functions like SAMEPERIODLASTYEAR across all measures.</w:t>
      </w:r>
    </w:p>
    <w:p w14:paraId="5C926F45" w14:textId="77777777" w:rsidR="0052169E" w:rsidRDefault="0052169E">
      <w:pPr>
        <w:spacing w:after="80" w:line="276" w:lineRule="auto"/>
      </w:pPr>
    </w:p>
    <w:p w14:paraId="78C39ECD" w14:textId="77777777" w:rsidR="0052169E" w:rsidRDefault="00000000">
      <w:pPr>
        <w:spacing w:before="60" w:after="120" w:line="276" w:lineRule="auto"/>
        <w:jc w:val="both"/>
      </w:pPr>
      <w:r>
        <w:rPr>
          <w:color w:val="222222"/>
        </w:rPr>
        <w:t xml:space="preserve">All measures live in a dedicated _Measures table, a standard Power BI practice that keeps the model clean. The core measures are Total Sales, Total Profit, Profit Margin (using DIVIDE to handle zero denominators), Total Orders and Total Customers (both using DISTINCTCOUNT), Average Order Value, Average Sale Per Customer, Average Profit Per Customer, Avg Days to Ship, and Late Shipments (Standard Class orders exceeding five days). Year-over-year comparisons use SAMEPERIODLASTYEAR on the </w:t>
      </w:r>
      <w:proofErr w:type="spellStart"/>
      <w:r>
        <w:rPr>
          <w:color w:val="222222"/>
        </w:rPr>
        <w:t>DateTable</w:t>
      </w:r>
      <w:proofErr w:type="spellEnd"/>
      <w:r>
        <w:rPr>
          <w:color w:val="222222"/>
        </w:rPr>
        <w:t xml:space="preserve"> relationship.</w:t>
      </w:r>
    </w:p>
    <w:p w14:paraId="03B01E87" w14:textId="77777777" w:rsidR="0052169E" w:rsidRDefault="0052169E">
      <w:pPr>
        <w:spacing w:after="80" w:line="276" w:lineRule="auto"/>
      </w:pPr>
    </w:p>
    <w:p w14:paraId="168FE4DB" w14:textId="77777777" w:rsidR="0052169E" w:rsidRDefault="00000000">
      <w:pPr>
        <w:spacing w:before="60" w:after="120" w:line="276" w:lineRule="auto"/>
        <w:jc w:val="both"/>
      </w:pPr>
      <w:r>
        <w:rPr>
          <w:color w:val="222222"/>
        </w:rPr>
        <w:lastRenderedPageBreak/>
        <w:t>The DIVIDE function deserves specific mention. Throughout the project, any measure involving division uses DIVIDE rather than the standard forward slash operator. The reason is that DIVIDE returns a blank rather than an error when the denominator is zero, which means visuals continue to display cleanly even when a slicer combination produces no matching rows. For example, if a user filters by a year that has no Home Office orders in a particular region, the Profit Margin measure for that combination returns blank rather than crashing the visual with a division error. Using the slash operator in those scenarios would produce a DIV/0 error that would break card visuals and chart data labels mid-presentation. This is a small but important detail that distinguishes a production-quality Power BI model from a prototype built purely to demonstrate the data.</w:t>
      </w:r>
    </w:p>
    <w:p w14:paraId="294B67CC" w14:textId="77777777" w:rsidR="0052169E" w:rsidRDefault="0052169E">
      <w:pPr>
        <w:spacing w:after="80" w:line="276" w:lineRule="auto"/>
      </w:pPr>
    </w:p>
    <w:p w14:paraId="4CD9C677" w14:textId="77777777" w:rsidR="0052169E" w:rsidRDefault="00000000">
      <w:pPr>
        <w:pStyle w:val="Heading2"/>
        <w:spacing w:line="276" w:lineRule="auto"/>
      </w:pPr>
      <w:bookmarkStart w:id="5" w:name="_Toc224989888"/>
      <w:r>
        <w:t>Dashboard Design</w:t>
      </w:r>
      <w:bookmarkEnd w:id="5"/>
    </w:p>
    <w:p w14:paraId="599F9666" w14:textId="77777777" w:rsidR="0052169E" w:rsidRDefault="00000000">
      <w:pPr>
        <w:spacing w:before="60" w:after="120" w:line="276" w:lineRule="auto"/>
        <w:jc w:val="both"/>
      </w:pPr>
      <w:r>
        <w:rPr>
          <w:color w:val="222222"/>
        </w:rPr>
        <w:t xml:space="preserve">All four pages share the same visual identity: dark navy background, slightly lighter navy chart backgrounds, white text, and gold accents on borders and labels. The color choices are functional as much as </w:t>
      </w:r>
      <w:proofErr w:type="gramStart"/>
      <w:r>
        <w:rPr>
          <w:color w:val="222222"/>
        </w:rPr>
        <w:t>aesthetic —</w:t>
      </w:r>
      <w:proofErr w:type="gramEnd"/>
      <w:r>
        <w:rPr>
          <w:color w:val="222222"/>
        </w:rPr>
        <w:t xml:space="preserve"> </w:t>
      </w:r>
      <w:proofErr w:type="gramStart"/>
      <w:r>
        <w:rPr>
          <w:color w:val="222222"/>
        </w:rPr>
        <w:t>the</w:t>
      </w:r>
      <w:proofErr w:type="gramEnd"/>
      <w:r>
        <w:rPr>
          <w:color w:val="222222"/>
        </w:rPr>
        <w:t xml:space="preserve"> dark background reduces eye strain in a presentation environment and makes colored data points pop. Conditional formatting on profit-related visuals automatically colors positive values green and negative values red, so the audience never has to hunt for the problem.</w:t>
      </w:r>
    </w:p>
    <w:p w14:paraId="5A59B8B8" w14:textId="77777777" w:rsidR="0052169E" w:rsidRDefault="0052169E">
      <w:pPr>
        <w:spacing w:after="80" w:line="276" w:lineRule="auto"/>
      </w:pPr>
    </w:p>
    <w:p w14:paraId="3F1059BD" w14:textId="77777777" w:rsidR="0052169E" w:rsidRDefault="00000000">
      <w:pPr>
        <w:spacing w:before="60" w:after="120" w:line="276" w:lineRule="auto"/>
        <w:jc w:val="both"/>
      </w:pPr>
      <w:r>
        <w:rPr>
          <w:color w:val="222222"/>
        </w:rPr>
        <w:t>Slicers for Category, Year, Region, and Segment were placed on the relevant pages. The Executive Summary has no slicers by design — it always shows the full four-year picture. The Product Analysis and Customer Analysis pages sync their Year slicer so that filtering by year on one page carries across to the other. Visual type selection followed the data: bar and column charts for categorical comparisons, line charts for trends over time, donut charts for share breakdowns, a scatter plot to show a two-variable relationship, and a matrix with heatmap-style conditional formatting for the shipping cross-tabulation.</w:t>
      </w:r>
    </w:p>
    <w:p w14:paraId="714F7AE7" w14:textId="77777777" w:rsidR="0052169E" w:rsidRDefault="0052169E">
      <w:pPr>
        <w:spacing w:after="80" w:line="276" w:lineRule="auto"/>
      </w:pPr>
    </w:p>
    <w:p w14:paraId="112AE88E" w14:textId="77777777" w:rsidR="0052169E" w:rsidRDefault="00000000">
      <w:pPr>
        <w:spacing w:before="60" w:after="120" w:line="276" w:lineRule="auto"/>
        <w:jc w:val="both"/>
      </w:pPr>
      <w:r>
        <w:rPr>
          <w:color w:val="222222"/>
        </w:rPr>
        <w:t>One design decision worth addressing explicitly is the choice of a dark background over the white default. In a live presentation context, dark backgrounds reduce screen glare, increase the perceived vibrancy of colored data elements, and give the dashboard a distinctly more polished, executive feel compared to the standard Power BI white canvas. The practical trade-off is that the dashboard is less suited to printing. Since the primary use case here is an on-screen presentation rather than a printed handout, the dark theme was the correct call. Any team needing printed copies could produce a light-theme version by swapping background and text colors without changing any of the underlying data or visual structure.</w:t>
      </w:r>
    </w:p>
    <w:p w14:paraId="36285425" w14:textId="77777777" w:rsidR="0052169E" w:rsidRDefault="0052169E">
      <w:pPr>
        <w:spacing w:after="80" w:line="276" w:lineRule="auto"/>
      </w:pPr>
    </w:p>
    <w:p w14:paraId="4430F100" w14:textId="77777777" w:rsidR="0052169E" w:rsidRDefault="00000000">
      <w:r>
        <w:br w:type="page"/>
      </w:r>
    </w:p>
    <w:p w14:paraId="249A5382" w14:textId="77777777" w:rsidR="0052169E" w:rsidRDefault="00000000">
      <w:pPr>
        <w:pStyle w:val="Heading1"/>
        <w:spacing w:line="276" w:lineRule="auto"/>
      </w:pPr>
      <w:bookmarkStart w:id="6" w:name="_Toc224989889"/>
      <w:r>
        <w:lastRenderedPageBreak/>
        <w:t>Dashboard Reports Creation</w:t>
      </w:r>
      <w:bookmarkEnd w:id="6"/>
    </w:p>
    <w:p w14:paraId="4F827925" w14:textId="77777777" w:rsidR="0052169E" w:rsidRDefault="00000000">
      <w:pPr>
        <w:pStyle w:val="Heading2"/>
        <w:spacing w:line="276" w:lineRule="auto"/>
      </w:pPr>
      <w:bookmarkStart w:id="7" w:name="_Toc224989890"/>
      <w:r>
        <w:t>Executive Summary</w:t>
      </w:r>
      <w:bookmarkEnd w:id="7"/>
    </w:p>
    <w:p w14:paraId="5B6E4EE4" w14:textId="77777777" w:rsidR="0052169E" w:rsidRDefault="00000000">
      <w:pPr>
        <w:spacing w:before="60" w:after="120" w:line="276" w:lineRule="auto"/>
        <w:jc w:val="both"/>
      </w:pPr>
      <w:r>
        <w:rPr>
          <w:color w:val="222222"/>
        </w:rPr>
        <w:t xml:space="preserve">The opening page is built around a simple principle: give leadership everything they need in under a minute, with no filtering required. Four KPI cards sit at the top showing Total Sales at $2.30M, Total Profit at $286.40K, Profit Margin at 12.47%, and Total Orders at 5,009. The Revenue and Profit by Year clustered column chart beneath them tells the growth story clearly: revenue climbed from $484K in 2014 to $733K in 2017, a 51% increase, but </w:t>
      </w:r>
      <w:proofErr w:type="gramStart"/>
      <w:r>
        <w:rPr>
          <w:color w:val="222222"/>
        </w:rPr>
        <w:t>the profit</w:t>
      </w:r>
      <w:proofErr w:type="gramEnd"/>
      <w:r>
        <w:rPr>
          <w:color w:val="222222"/>
        </w:rPr>
        <w:t xml:space="preserve"> bars grow proportionally slower, hinting that the additional revenue is coming at a cost in margin terms. The Total Sales by Category donut shows an </w:t>
      </w:r>
      <w:proofErr w:type="gramStart"/>
      <w:r>
        <w:rPr>
          <w:color w:val="222222"/>
        </w:rPr>
        <w:t>almost even</w:t>
      </w:r>
      <w:proofErr w:type="gramEnd"/>
      <w:r>
        <w:rPr>
          <w:color w:val="222222"/>
        </w:rPr>
        <w:t xml:space="preserve"> three-way split between Technology (36.4%), Furniture (32.3%), and Office Supplies (31.3%), which signals a healthy, diversified portfolio.</w:t>
      </w:r>
    </w:p>
    <w:p w14:paraId="31D5617D" w14:textId="77777777" w:rsidR="0052169E" w:rsidRDefault="0052169E">
      <w:pPr>
        <w:spacing w:after="80" w:line="276" w:lineRule="auto"/>
      </w:pPr>
    </w:p>
    <w:p w14:paraId="6209B806" w14:textId="77777777" w:rsidR="0052169E" w:rsidRDefault="00000000">
      <w:pPr>
        <w:spacing w:before="60" w:after="120" w:line="276" w:lineRule="auto"/>
        <w:jc w:val="both"/>
      </w:pPr>
      <w:r>
        <w:rPr>
          <w:color w:val="222222"/>
        </w:rPr>
        <w:t xml:space="preserve">The bottom half of the page adds geographic and product context. The Revenue and Profit by Region bar chart immediately surfaces a problem that the Regional Performance page will explore in depth: the Central region’s profit bar is thin relative to its sales bar in a way that none of the other regions can match. The Top 3 Sub-Categories by Profit chart, filtered using a Top N rule, shows Phones, </w:t>
      </w:r>
      <w:proofErr w:type="gramStart"/>
      <w:r>
        <w:rPr>
          <w:color w:val="222222"/>
        </w:rPr>
        <w:t>Accessories, and</w:t>
      </w:r>
      <w:proofErr w:type="gramEnd"/>
      <w:r>
        <w:rPr>
          <w:color w:val="222222"/>
        </w:rPr>
        <w:t xml:space="preserve"> Copiers as the highest-profit product lines. Ending on this note is intentional — the audience leaves the first page knowing the business is growing and knowing there are profitable products, which makes the problems on the pages that follow feel like opportunities rather than crises.</w:t>
      </w:r>
    </w:p>
    <w:p w14:paraId="29E5A030" w14:textId="77777777" w:rsidR="0052169E" w:rsidRDefault="0052169E">
      <w:pPr>
        <w:spacing w:after="80" w:line="276" w:lineRule="auto"/>
      </w:pPr>
    </w:p>
    <w:p w14:paraId="693F1B64" w14:textId="77777777" w:rsidR="0052169E" w:rsidRDefault="00000000">
      <w:pPr>
        <w:spacing w:before="60" w:after="120" w:line="276" w:lineRule="auto"/>
        <w:jc w:val="both"/>
      </w:pPr>
      <w:r>
        <w:rPr>
          <w:color w:val="222222"/>
        </w:rPr>
        <w:t xml:space="preserve">It is also worth noting what the Executive Summary page does not contain: a profit-by-product breakdown, a customer ranking, or a regional margin comparison. These details would clutter the page and distract from its purpose. The strength of this page is its restraint. By limiting itself to six carefully chosen visuals, it gives the audience exactly enough to understand the business’s overall health and </w:t>
      </w:r>
      <w:proofErr w:type="gramStart"/>
      <w:r>
        <w:rPr>
          <w:color w:val="222222"/>
        </w:rPr>
        <w:t>to want</w:t>
      </w:r>
      <w:proofErr w:type="gramEnd"/>
      <w:r>
        <w:rPr>
          <w:color w:val="222222"/>
        </w:rPr>
        <w:t xml:space="preserve"> to know more. The desire to know more is what carries the presentation naturally </w:t>
      </w:r>
      <w:proofErr w:type="gramStart"/>
      <w:r>
        <w:rPr>
          <w:color w:val="222222"/>
        </w:rPr>
        <w:t>into</w:t>
      </w:r>
      <w:proofErr w:type="gramEnd"/>
      <w:r>
        <w:rPr>
          <w:color w:val="222222"/>
        </w:rPr>
        <w:t xml:space="preserve"> the Product Analysis page, where the details are waiting.</w:t>
      </w:r>
    </w:p>
    <w:p w14:paraId="350AAFE2" w14:textId="77777777" w:rsidR="0052169E" w:rsidRDefault="0052169E">
      <w:pPr>
        <w:spacing w:after="80" w:line="276" w:lineRule="auto"/>
      </w:pPr>
    </w:p>
    <w:p w14:paraId="760A41CC" w14:textId="77777777" w:rsidR="0052169E" w:rsidRDefault="00000000">
      <w:pPr>
        <w:pStyle w:val="Heading2"/>
        <w:spacing w:line="276" w:lineRule="auto"/>
      </w:pPr>
      <w:bookmarkStart w:id="8" w:name="_Toc224989891"/>
      <w:r>
        <w:t>Product Analysis</w:t>
      </w:r>
      <w:bookmarkEnd w:id="8"/>
    </w:p>
    <w:p w14:paraId="028B2101" w14:textId="77777777" w:rsidR="0052169E" w:rsidRDefault="00000000">
      <w:pPr>
        <w:spacing w:before="60" w:after="120" w:line="276" w:lineRule="auto"/>
        <w:jc w:val="both"/>
      </w:pPr>
      <w:r>
        <w:rPr>
          <w:color w:val="222222"/>
        </w:rPr>
        <w:t xml:space="preserve">This page answers the question the Executive Summary leaves open: if revenue is growing, why isn’t margin keeping up? The Revenue and Profit by Sub-Category horizontal bar chart lays it out directly. Sub-categories are ranked by Total Sales, so the audience can compare revenue performance against profit simultaneously. Tables immediately </w:t>
      </w:r>
      <w:proofErr w:type="gramStart"/>
      <w:r>
        <w:rPr>
          <w:color w:val="222222"/>
        </w:rPr>
        <w:t>stands</w:t>
      </w:r>
      <w:proofErr w:type="gramEnd"/>
      <w:r>
        <w:rPr>
          <w:color w:val="222222"/>
        </w:rPr>
        <w:t xml:space="preserve"> out: </w:t>
      </w:r>
      <w:proofErr w:type="gramStart"/>
      <w:r>
        <w:rPr>
          <w:color w:val="222222"/>
        </w:rPr>
        <w:t>it sits</w:t>
      </w:r>
      <w:proofErr w:type="gramEnd"/>
      <w:r>
        <w:rPr>
          <w:color w:val="222222"/>
        </w:rPr>
        <w:t xml:space="preserve"> in the top five </w:t>
      </w:r>
      <w:proofErr w:type="gramStart"/>
      <w:r>
        <w:rPr>
          <w:color w:val="222222"/>
        </w:rPr>
        <w:t>by</w:t>
      </w:r>
      <w:proofErr w:type="gramEnd"/>
      <w:r>
        <w:rPr>
          <w:color w:val="222222"/>
        </w:rPr>
        <w:t xml:space="preserve"> revenue at $206K but its profit bar extends in the wrong direction, into loss territory. Bookcases </w:t>
      </w:r>
      <w:proofErr w:type="gramStart"/>
      <w:r>
        <w:rPr>
          <w:color w:val="222222"/>
        </w:rPr>
        <w:t>does</w:t>
      </w:r>
      <w:proofErr w:type="gramEnd"/>
      <w:r>
        <w:rPr>
          <w:color w:val="222222"/>
        </w:rPr>
        <w:t xml:space="preserve"> the same. Every other sub-category shows at least some positive profit contribution.</w:t>
      </w:r>
    </w:p>
    <w:p w14:paraId="2E7DDA70" w14:textId="77777777" w:rsidR="0052169E" w:rsidRDefault="0052169E">
      <w:pPr>
        <w:spacing w:after="80" w:line="276" w:lineRule="auto"/>
      </w:pPr>
    </w:p>
    <w:p w14:paraId="2D31C193" w14:textId="77777777" w:rsidR="0052169E" w:rsidRDefault="00000000">
      <w:pPr>
        <w:spacing w:before="60" w:after="120" w:line="276" w:lineRule="auto"/>
        <w:jc w:val="both"/>
      </w:pPr>
      <w:r>
        <w:rPr>
          <w:color w:val="222222"/>
        </w:rPr>
        <w:t xml:space="preserve">The Profit Margin by Category chart makes the category-level story even </w:t>
      </w:r>
      <w:proofErr w:type="gramStart"/>
      <w:r>
        <w:rPr>
          <w:color w:val="222222"/>
        </w:rPr>
        <w:t>starker</w:t>
      </w:r>
      <w:proofErr w:type="gramEnd"/>
      <w:r>
        <w:rPr>
          <w:color w:val="222222"/>
        </w:rPr>
        <w:t xml:space="preserve">. Technology at 17.40% and Office Supplies at 17.04% are shown in gold and green respectively, while Furniture’s 2.49% bar is in red and barely reaches a quarter of the height of the others. The data labels make the contrast precise. One nuance worth raising in a presentation: Chairs and Storage within Furniture are </w:t>
      </w:r>
      <w:proofErr w:type="gramStart"/>
      <w:r>
        <w:rPr>
          <w:color w:val="222222"/>
        </w:rPr>
        <w:t>actually profitable</w:t>
      </w:r>
      <w:proofErr w:type="gramEnd"/>
      <w:r>
        <w:rPr>
          <w:color w:val="222222"/>
        </w:rPr>
        <w:t xml:space="preserve">. </w:t>
      </w:r>
      <w:r>
        <w:rPr>
          <w:color w:val="222222"/>
        </w:rPr>
        <w:lastRenderedPageBreak/>
        <w:t>Tables and Bookcases are the specific problem, so the recommendation is surgical repricing of those two sub-categories, not a wholesale exit from Furniture.</w:t>
      </w:r>
    </w:p>
    <w:p w14:paraId="68DBE86F" w14:textId="77777777" w:rsidR="0052169E" w:rsidRDefault="0052169E">
      <w:pPr>
        <w:spacing w:after="80" w:line="276" w:lineRule="auto"/>
      </w:pPr>
    </w:p>
    <w:p w14:paraId="5770E7D4" w14:textId="77777777" w:rsidR="0052169E" w:rsidRDefault="00000000">
      <w:pPr>
        <w:spacing w:before="60" w:after="120" w:line="276" w:lineRule="auto"/>
        <w:jc w:val="both"/>
      </w:pPr>
      <w:r>
        <w:rPr>
          <w:color w:val="222222"/>
        </w:rPr>
        <w:t>The Monthly Sales Trend by Year line chart overlays 2014 through 2017 on a single axis. Two things become immediately clear: sales peak in November every year without exception, with a secondary spike in September, and the 2017 line sits above all prior years for most months. The first observation has direct implications for inventory and promotional planning: the business should be fully stocked and running at capacity going into September and November, and promotional activity in those months should focus on margin rather than volume since demand is coming regardless. February is the weakest month every year, a pattern consistent enough to be considered structural rather than coincidental, which means February discounting is unlikely to lift volume in any meaningful way and mainly serves to compress margins on orders that would have happened anyway. The four lines also show that 2015 underperformed relative to 2014 in the early months of the year before recovering, suggesting some market softness in that period that self-corrected without intervention. Presenting the four years on a single chart makes these nuances visible in a way that annual totals alone never could.</w:t>
      </w:r>
    </w:p>
    <w:p w14:paraId="217A935F" w14:textId="77777777" w:rsidR="0052169E" w:rsidRDefault="0052169E">
      <w:pPr>
        <w:spacing w:after="80" w:line="276" w:lineRule="auto"/>
      </w:pPr>
    </w:p>
    <w:p w14:paraId="767477CE" w14:textId="77777777" w:rsidR="0052169E" w:rsidRDefault="00000000">
      <w:pPr>
        <w:spacing w:before="60" w:after="120" w:line="276" w:lineRule="auto"/>
        <w:jc w:val="both"/>
      </w:pPr>
      <w:r>
        <w:rPr>
          <w:color w:val="222222"/>
        </w:rPr>
        <w:t>An important note on the Profit Margin by Category chart: the color coding was applied as fixed colors per category rather than as conditional formatting based on a threshold. This was deliberate because the goal was not to flag categories that fall below some generic cutoff but to make the three specific categories in this dataset immediately recognizable and visually comparable. Furniture’s red bar at 2.49% next to Technology’s gold bar at 17.40% communicates the magnitude of the gap in a way that a single number in a table never could. The chart is also interactive: filtering the page slicer by year or region updates the margin figures dynamically, allowing the presenter to show that Furniture’s underperformance is consistent across time periods and geographies, not an artefact of a particular filter combination.</w:t>
      </w:r>
    </w:p>
    <w:p w14:paraId="6D2500EF" w14:textId="77777777" w:rsidR="0052169E" w:rsidRDefault="0052169E">
      <w:pPr>
        <w:spacing w:after="80" w:line="276" w:lineRule="auto"/>
      </w:pPr>
    </w:p>
    <w:p w14:paraId="3FA1CEA1" w14:textId="77777777" w:rsidR="0052169E" w:rsidRDefault="00000000">
      <w:pPr>
        <w:spacing w:before="60" w:after="120" w:line="276" w:lineRule="auto"/>
        <w:jc w:val="both"/>
      </w:pPr>
      <w:r>
        <w:rPr>
          <w:color w:val="222222"/>
        </w:rPr>
        <w:t xml:space="preserve">The Discount versus Profit scatter plot puts each sub-category as a dot with average discount on the X-axis and total profit on the Y-axis, colored by category. A dashed horizontal line at zero separates profit from loss. The pattern is unambiguous: low-discount sub-categories cluster in the upper left with strong profits, while high-discount </w:t>
      </w:r>
      <w:proofErr w:type="gramStart"/>
      <w:r>
        <w:rPr>
          <w:color w:val="222222"/>
        </w:rPr>
        <w:t>ones</w:t>
      </w:r>
      <w:proofErr w:type="gramEnd"/>
      <w:r>
        <w:rPr>
          <w:color w:val="222222"/>
        </w:rPr>
        <w:t xml:space="preserve"> drift down and to the right, with Tables and Bookcases sitting below the zero line. Copiers </w:t>
      </w:r>
      <w:proofErr w:type="gramStart"/>
      <w:r>
        <w:rPr>
          <w:color w:val="222222"/>
        </w:rPr>
        <w:t>is</w:t>
      </w:r>
      <w:proofErr w:type="gramEnd"/>
      <w:r>
        <w:rPr>
          <w:color w:val="222222"/>
        </w:rPr>
        <w:t xml:space="preserve"> the standout — relatively low discount, highest profit in the dataset. The visual </w:t>
      </w:r>
      <w:proofErr w:type="gramStart"/>
      <w:r>
        <w:rPr>
          <w:color w:val="222222"/>
        </w:rPr>
        <w:t>argues</w:t>
      </w:r>
      <w:proofErr w:type="gramEnd"/>
      <w:r>
        <w:rPr>
          <w:color w:val="222222"/>
        </w:rPr>
        <w:t xml:space="preserve"> more convincingly than any bullet point that the discount problem is real and structural.</w:t>
      </w:r>
    </w:p>
    <w:p w14:paraId="3D80CF6E" w14:textId="77777777" w:rsidR="0052169E" w:rsidRDefault="0052169E">
      <w:pPr>
        <w:spacing w:after="80" w:line="276" w:lineRule="auto"/>
      </w:pPr>
    </w:p>
    <w:p w14:paraId="11A279BE" w14:textId="77777777" w:rsidR="0052169E" w:rsidRDefault="00000000">
      <w:pPr>
        <w:pStyle w:val="Heading2"/>
        <w:spacing w:line="276" w:lineRule="auto"/>
      </w:pPr>
      <w:bookmarkStart w:id="9" w:name="_Toc224989892"/>
      <w:r>
        <w:t>Customer Analysis</w:t>
      </w:r>
      <w:bookmarkEnd w:id="9"/>
    </w:p>
    <w:p w14:paraId="21252C24" w14:textId="77777777" w:rsidR="0052169E" w:rsidRDefault="00000000">
      <w:pPr>
        <w:spacing w:before="60" w:after="120" w:line="276" w:lineRule="auto"/>
        <w:jc w:val="both"/>
      </w:pPr>
      <w:r>
        <w:rPr>
          <w:color w:val="222222"/>
        </w:rPr>
        <w:t xml:space="preserve">This page examines the demand side of the business. The updated KPI cards now include both Average Sale Per Customer at $2.90K and Average Profit Per Customer at $361.16, which is a meaningful addition. The gap between the two figures, nearly $2,500, tells a story on its own: a lot of revenue is </w:t>
      </w:r>
      <w:proofErr w:type="gramStart"/>
      <w:r>
        <w:rPr>
          <w:color w:val="222222"/>
        </w:rPr>
        <w:t>being generated</w:t>
      </w:r>
      <w:proofErr w:type="gramEnd"/>
      <w:r>
        <w:rPr>
          <w:color w:val="222222"/>
        </w:rPr>
        <w:t xml:space="preserve"> per customer but relatively little of it is </w:t>
      </w:r>
      <w:proofErr w:type="gramStart"/>
      <w:r>
        <w:rPr>
          <w:color w:val="222222"/>
        </w:rPr>
        <w:t>converting</w:t>
      </w:r>
      <w:proofErr w:type="gramEnd"/>
      <w:r>
        <w:rPr>
          <w:color w:val="222222"/>
        </w:rPr>
        <w:t xml:space="preserve"> to profit. The ratio of profit to sales at the customer level, approximately 12.5%, mirrors the overall business margin, which confirms that the margin problem is not concentrated </w:t>
      </w:r>
      <w:proofErr w:type="gramStart"/>
      <w:r>
        <w:rPr>
          <w:color w:val="222222"/>
        </w:rPr>
        <w:t>in</w:t>
      </w:r>
      <w:proofErr w:type="gramEnd"/>
      <w:r>
        <w:rPr>
          <w:color w:val="222222"/>
        </w:rPr>
        <w:t xml:space="preserve"> a small number of accounts but is distributed across the customer base. Fixing it therefore requires systemic changes to pricing and discount policy rather than simply terminating a </w:t>
      </w:r>
      <w:r>
        <w:rPr>
          <w:color w:val="222222"/>
        </w:rPr>
        <w:lastRenderedPageBreak/>
        <w:t>handful of bad accounts, though addressing the specific loss-making top accounts is still a worthwhile immediate action.</w:t>
      </w:r>
    </w:p>
    <w:p w14:paraId="2A1B2ACF" w14:textId="77777777" w:rsidR="0052169E" w:rsidRDefault="0052169E">
      <w:pPr>
        <w:spacing w:after="80" w:line="276" w:lineRule="auto"/>
      </w:pPr>
    </w:p>
    <w:p w14:paraId="6F4616D8" w14:textId="77777777" w:rsidR="0052169E" w:rsidRDefault="00000000">
      <w:pPr>
        <w:spacing w:before="60" w:after="120" w:line="276" w:lineRule="auto"/>
        <w:jc w:val="both"/>
      </w:pPr>
      <w:r>
        <w:rPr>
          <w:color w:val="222222"/>
        </w:rPr>
        <w:t>The Profit Margin by Region and Segment clustered column chart breaks margin down at the intersection of geography and customer type. Home Office customers in the East and South consistently hit margins above 20%, while Consumer customers in Central are at the bottom. This is useful not just as a diagnostic but as a planning tool: it tells the sales team exactly which customer type to prioritize in which region if margin improvement is the goal.</w:t>
      </w:r>
    </w:p>
    <w:p w14:paraId="6EE75FE4" w14:textId="77777777" w:rsidR="0052169E" w:rsidRDefault="0052169E">
      <w:pPr>
        <w:spacing w:after="80" w:line="276" w:lineRule="auto"/>
      </w:pPr>
    </w:p>
    <w:p w14:paraId="3D569EBF" w14:textId="77777777" w:rsidR="0052169E" w:rsidRDefault="00000000">
      <w:pPr>
        <w:spacing w:before="60" w:after="120" w:line="276" w:lineRule="auto"/>
        <w:jc w:val="both"/>
      </w:pPr>
      <w:r>
        <w:rPr>
          <w:color w:val="222222"/>
        </w:rPr>
        <w:t xml:space="preserve">The Total Profit and Total Customers by Month combination chart overlays profit columns with a customer count line, with data labels added to the line in the latest version. The chart reveals an important disconnect: February and July show reasonable customer counts but very low profit, suggesting those months are characterized by lower-margin orders or heavier </w:t>
      </w:r>
      <w:proofErr w:type="gramStart"/>
      <w:r>
        <w:rPr>
          <w:color w:val="222222"/>
        </w:rPr>
        <w:t>discounting</w:t>
      </w:r>
      <w:proofErr w:type="gramEnd"/>
      <w:r>
        <w:rPr>
          <w:color w:val="222222"/>
        </w:rPr>
        <w:t xml:space="preserve">. The Consumer segment dominates the donut chart at 50.56% of revenue and 409 of the 793 customers, but the segment margin data shows it as the least profitable per dollar. Home Office, </w:t>
      </w:r>
      <w:proofErr w:type="gramStart"/>
      <w:r>
        <w:rPr>
          <w:color w:val="222222"/>
        </w:rPr>
        <w:t>at</w:t>
      </w:r>
      <w:proofErr w:type="gramEnd"/>
      <w:r>
        <w:rPr>
          <w:color w:val="222222"/>
        </w:rPr>
        <w:t xml:space="preserve"> 18.7% of revenue and only 148 customers, is the most </w:t>
      </w:r>
      <w:proofErr w:type="gramStart"/>
      <w:r>
        <w:rPr>
          <w:color w:val="222222"/>
        </w:rPr>
        <w:t>margin-efficient</w:t>
      </w:r>
      <w:proofErr w:type="gramEnd"/>
      <w:r>
        <w:rPr>
          <w:color w:val="222222"/>
        </w:rPr>
        <w:t>. There is a clear case for investing more in that segment.</w:t>
      </w:r>
    </w:p>
    <w:p w14:paraId="3F14D509" w14:textId="77777777" w:rsidR="0052169E" w:rsidRDefault="0052169E">
      <w:pPr>
        <w:spacing w:after="80" w:line="276" w:lineRule="auto"/>
      </w:pPr>
    </w:p>
    <w:p w14:paraId="1D3D9755" w14:textId="77777777" w:rsidR="0052169E" w:rsidRDefault="00000000">
      <w:pPr>
        <w:spacing w:before="60" w:after="120" w:line="276" w:lineRule="auto"/>
        <w:jc w:val="both"/>
      </w:pPr>
      <w:r>
        <w:rPr>
          <w:color w:val="222222"/>
        </w:rPr>
        <w:t xml:space="preserve">The Top 10 Customers by Sales table is the most actionable visual on this page. Conditional formatting colors profit values green when positive and red when negative. Sean Miller, ranked first by sales at $25,043, generates a net loss of -$1,981 at -7.91% margin. That means servicing this account at current pricing costs the business money. Tamara Chand, ranked second at $19,052, delivers $8,981 in profit at 47.14%. Ken Lonsdale </w:t>
      </w:r>
      <w:proofErr w:type="gramStart"/>
      <w:r>
        <w:rPr>
          <w:color w:val="222222"/>
        </w:rPr>
        <w:t>places</w:t>
      </w:r>
      <w:proofErr w:type="gramEnd"/>
      <w:r>
        <w:rPr>
          <w:color w:val="222222"/>
        </w:rPr>
        <w:t xml:space="preserve"> 12 orders — more than anyone else in the top ten — yet his 5.69% margin suggests persistent discounting on his account. The table makes a single, clear argument: revenue rank is not the same as customer value.</w:t>
      </w:r>
    </w:p>
    <w:p w14:paraId="5EE36248" w14:textId="77777777" w:rsidR="0052169E" w:rsidRDefault="0052169E">
      <w:pPr>
        <w:spacing w:after="80" w:line="276" w:lineRule="auto"/>
      </w:pPr>
    </w:p>
    <w:p w14:paraId="543E4C28" w14:textId="77777777" w:rsidR="0052169E" w:rsidRDefault="00000000">
      <w:pPr>
        <w:spacing w:before="60" w:after="120" w:line="276" w:lineRule="auto"/>
        <w:jc w:val="both"/>
      </w:pPr>
      <w:r>
        <w:rPr>
          <w:color w:val="222222"/>
        </w:rPr>
        <w:t xml:space="preserve">One additional observation from the top 10 table worth highlighting: seven of the ten </w:t>
      </w:r>
      <w:proofErr w:type="gramStart"/>
      <w:r>
        <w:rPr>
          <w:color w:val="222222"/>
        </w:rPr>
        <w:t>highest-revenue</w:t>
      </w:r>
      <w:proofErr w:type="gramEnd"/>
      <w:r>
        <w:rPr>
          <w:color w:val="222222"/>
        </w:rPr>
        <w:t xml:space="preserve"> customers generate positive and healthy margins, with four of them exceeding 30%. The account management problem is concentrated, not widespread. Sean Miller and Ken Lonsdale are outliers rather than </w:t>
      </w:r>
      <w:proofErr w:type="gramStart"/>
      <w:r>
        <w:rPr>
          <w:color w:val="222222"/>
        </w:rPr>
        <w:t>representative</w:t>
      </w:r>
      <w:proofErr w:type="gramEnd"/>
      <w:r>
        <w:rPr>
          <w:color w:val="222222"/>
        </w:rPr>
        <w:t xml:space="preserve"> of the customer base, so the appropriate response is a targeted conversation with those specific accounts rather than a policy change that could disrupt the profitable majority.</w:t>
      </w:r>
    </w:p>
    <w:p w14:paraId="74FC78DD" w14:textId="77777777" w:rsidR="0052169E" w:rsidRDefault="0052169E">
      <w:pPr>
        <w:spacing w:after="80" w:line="276" w:lineRule="auto"/>
      </w:pPr>
    </w:p>
    <w:p w14:paraId="14B5AA6D" w14:textId="77777777" w:rsidR="0052169E" w:rsidRDefault="00000000">
      <w:pPr>
        <w:spacing w:before="60" w:after="120" w:line="276" w:lineRule="auto"/>
        <w:jc w:val="both"/>
      </w:pPr>
      <w:r>
        <w:rPr>
          <w:color w:val="222222"/>
        </w:rPr>
        <w:t xml:space="preserve">The segment and customer findings on this page challenge a very common assumption in commercial </w:t>
      </w:r>
      <w:proofErr w:type="spellStart"/>
      <w:r>
        <w:rPr>
          <w:color w:val="222222"/>
        </w:rPr>
        <w:t>organisations</w:t>
      </w:r>
      <w:proofErr w:type="spellEnd"/>
      <w:r>
        <w:rPr>
          <w:color w:val="222222"/>
        </w:rPr>
        <w:t xml:space="preserve">: that the largest accounts and segments deserve the most investment. The data shows that this assumption is wrong in several measurable ways. The largest account </w:t>
      </w:r>
      <w:proofErr w:type="gramStart"/>
      <w:r>
        <w:rPr>
          <w:color w:val="222222"/>
        </w:rPr>
        <w:t>by</w:t>
      </w:r>
      <w:proofErr w:type="gramEnd"/>
      <w:r>
        <w:rPr>
          <w:color w:val="222222"/>
        </w:rPr>
        <w:t xml:space="preserve"> revenue is loss-making. The largest segment </w:t>
      </w:r>
      <w:proofErr w:type="gramStart"/>
      <w:r>
        <w:rPr>
          <w:color w:val="222222"/>
        </w:rPr>
        <w:t>by</w:t>
      </w:r>
      <w:proofErr w:type="gramEnd"/>
      <w:r>
        <w:rPr>
          <w:color w:val="222222"/>
        </w:rPr>
        <w:t xml:space="preserve"> revenue is the least profitable per dollar. And the smallest segment </w:t>
      </w:r>
      <w:proofErr w:type="gramStart"/>
      <w:r>
        <w:rPr>
          <w:color w:val="222222"/>
        </w:rPr>
        <w:t>by</w:t>
      </w:r>
      <w:proofErr w:type="gramEnd"/>
      <w:r>
        <w:rPr>
          <w:color w:val="222222"/>
        </w:rPr>
        <w:t xml:space="preserve"> revenue is the most </w:t>
      </w:r>
      <w:proofErr w:type="gramStart"/>
      <w:r>
        <w:rPr>
          <w:color w:val="222222"/>
        </w:rPr>
        <w:t>margin-efficient</w:t>
      </w:r>
      <w:proofErr w:type="gramEnd"/>
      <w:r>
        <w:rPr>
          <w:color w:val="222222"/>
        </w:rPr>
        <w:t>. A business that allocates sales and marketing resources in proportion to revenue will systematically over-invest in the wrong places. The Customer Analysis page makes that argument visually and with specific numbers attached.</w:t>
      </w:r>
    </w:p>
    <w:p w14:paraId="1857E00E" w14:textId="77777777" w:rsidR="0052169E" w:rsidRDefault="0052169E">
      <w:pPr>
        <w:spacing w:after="8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5"/>
        <w:gridCol w:w="1897"/>
        <w:gridCol w:w="1398"/>
        <w:gridCol w:w="1398"/>
        <w:gridCol w:w="800"/>
        <w:gridCol w:w="2918"/>
      </w:tblGrid>
      <w:tr w:rsidR="0052169E" w14:paraId="2514ACCE"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7E3B455C" w14:textId="77777777" w:rsidR="0052169E" w:rsidRDefault="00000000">
            <w:pPr>
              <w:jc w:val="center"/>
            </w:pPr>
            <w:r>
              <w:rPr>
                <w:b/>
                <w:bCs/>
                <w:color w:val="FFFFFF"/>
                <w:sz w:val="20"/>
                <w:szCs w:val="20"/>
              </w:rPr>
              <w:lastRenderedPageBreak/>
              <w:t>Rank</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42E0D72D" w14:textId="77777777" w:rsidR="0052169E" w:rsidRDefault="00000000">
            <w:pPr>
              <w:jc w:val="center"/>
            </w:pPr>
            <w:r>
              <w:rPr>
                <w:b/>
                <w:bCs/>
                <w:color w:val="FFFFFF"/>
                <w:sz w:val="20"/>
                <w:szCs w:val="20"/>
              </w:rPr>
              <w:t>Customer</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46ABC3D2" w14:textId="77777777" w:rsidR="0052169E" w:rsidRDefault="00000000">
            <w:pPr>
              <w:jc w:val="center"/>
            </w:pPr>
            <w:r>
              <w:rPr>
                <w:b/>
                <w:bCs/>
                <w:color w:val="FFFFFF"/>
                <w:sz w:val="20"/>
                <w:szCs w:val="20"/>
              </w:rPr>
              <w:t>Total Sales</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46842D66" w14:textId="77777777" w:rsidR="0052169E" w:rsidRDefault="00000000">
            <w:pPr>
              <w:jc w:val="center"/>
            </w:pPr>
            <w:r>
              <w:rPr>
                <w:b/>
                <w:bCs/>
                <w:color w:val="FFFFFF"/>
                <w:sz w:val="20"/>
                <w:szCs w:val="20"/>
              </w:rPr>
              <w:t>Total Profit</w:t>
            </w:r>
          </w:p>
        </w:tc>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57CE814A" w14:textId="77777777" w:rsidR="0052169E" w:rsidRDefault="00000000">
            <w:pPr>
              <w:jc w:val="center"/>
            </w:pPr>
            <w:r>
              <w:rPr>
                <w:b/>
                <w:bCs/>
                <w:color w:val="FFFFFF"/>
                <w:sz w:val="20"/>
                <w:szCs w:val="20"/>
              </w:rPr>
              <w:t>Orders</w:t>
            </w:r>
          </w:p>
        </w:tc>
        <w:tc>
          <w:tcPr>
            <w:tcW w:w="29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2842C88E" w14:textId="77777777" w:rsidR="0052169E" w:rsidRDefault="00000000">
            <w:pPr>
              <w:jc w:val="center"/>
            </w:pPr>
            <w:r>
              <w:rPr>
                <w:b/>
                <w:bCs/>
                <w:color w:val="FFFFFF"/>
                <w:sz w:val="20"/>
                <w:szCs w:val="20"/>
              </w:rPr>
              <w:t>Margin</w:t>
            </w:r>
          </w:p>
        </w:tc>
      </w:tr>
      <w:tr w:rsidR="0052169E" w14:paraId="7C5EA5E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5361DAD" w14:textId="77777777" w:rsidR="0052169E" w:rsidRDefault="00000000">
            <w:r>
              <w:rPr>
                <w:color w:val="333333"/>
                <w:sz w:val="20"/>
                <w:szCs w:val="20"/>
              </w:rPr>
              <w:t>1</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81D2A39" w14:textId="77777777" w:rsidR="0052169E" w:rsidRDefault="00000000">
            <w:pPr>
              <w:jc w:val="center"/>
            </w:pPr>
            <w:r>
              <w:rPr>
                <w:color w:val="333333"/>
                <w:sz w:val="20"/>
                <w:szCs w:val="20"/>
              </w:rPr>
              <w:t>Sean Miller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1E9A547" w14:textId="77777777" w:rsidR="0052169E" w:rsidRDefault="00000000">
            <w:pPr>
              <w:jc w:val="center"/>
            </w:pPr>
            <w:r>
              <w:rPr>
                <w:color w:val="333333"/>
                <w:sz w:val="20"/>
                <w:szCs w:val="20"/>
              </w:rPr>
              <w:t>$25,043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B763CBA" w14:textId="77777777" w:rsidR="0052169E" w:rsidRDefault="00000000">
            <w:pPr>
              <w:jc w:val="center"/>
            </w:pPr>
            <w:r>
              <w:rPr>
                <w:color w:val="C0392B"/>
                <w:sz w:val="20"/>
                <w:szCs w:val="20"/>
              </w:rPr>
              <w:t>-$1,981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204A4A9" w14:textId="77777777" w:rsidR="0052169E" w:rsidRDefault="00000000">
            <w:pPr>
              <w:jc w:val="center"/>
            </w:pPr>
            <w:r>
              <w:rPr>
                <w:color w:val="333333"/>
                <w:sz w:val="20"/>
                <w:szCs w:val="20"/>
              </w:rPr>
              <w:t>5</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72D9FF8" w14:textId="77777777" w:rsidR="0052169E" w:rsidRDefault="00000000">
            <w:pPr>
              <w:jc w:val="center"/>
            </w:pPr>
            <w:r>
              <w:rPr>
                <w:color w:val="333333"/>
                <w:sz w:val="20"/>
                <w:szCs w:val="20"/>
              </w:rPr>
              <w:t>-7.91%</w:t>
            </w:r>
          </w:p>
        </w:tc>
      </w:tr>
      <w:tr w:rsidR="0052169E" w14:paraId="0C08AAE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560F0085" w14:textId="77777777" w:rsidR="0052169E" w:rsidRDefault="00000000">
            <w:r>
              <w:rPr>
                <w:color w:val="333333"/>
                <w:sz w:val="20"/>
                <w:szCs w:val="20"/>
              </w:rPr>
              <w:t>2</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1893E42E" w14:textId="77777777" w:rsidR="0052169E" w:rsidRDefault="00000000">
            <w:pPr>
              <w:jc w:val="center"/>
            </w:pPr>
            <w:r>
              <w:rPr>
                <w:color w:val="333333"/>
                <w:sz w:val="20"/>
                <w:szCs w:val="20"/>
              </w:rPr>
              <w:t>Tamara Chand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7CA587D5" w14:textId="77777777" w:rsidR="0052169E" w:rsidRDefault="00000000">
            <w:pPr>
              <w:jc w:val="center"/>
            </w:pPr>
            <w:r>
              <w:rPr>
                <w:color w:val="333333"/>
                <w:sz w:val="20"/>
                <w:szCs w:val="20"/>
              </w:rPr>
              <w:t>$19,052</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7558EF63" w14:textId="77777777" w:rsidR="0052169E" w:rsidRDefault="00000000">
            <w:pPr>
              <w:jc w:val="center"/>
            </w:pPr>
            <w:r>
              <w:rPr>
                <w:color w:val="1A7A3C"/>
                <w:sz w:val="20"/>
                <w:szCs w:val="20"/>
              </w:rPr>
              <w:t>+$8,981</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6FE4904A" w14:textId="77777777" w:rsidR="0052169E" w:rsidRDefault="00000000">
            <w:pPr>
              <w:jc w:val="center"/>
            </w:pPr>
            <w:r>
              <w:rPr>
                <w:color w:val="333333"/>
                <w:sz w:val="20"/>
                <w:szCs w:val="20"/>
              </w:rPr>
              <w:t>5</w:t>
            </w:r>
          </w:p>
        </w:tc>
        <w:tc>
          <w:tcPr>
            <w:tcW w:w="292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2E80534E" w14:textId="77777777" w:rsidR="0052169E" w:rsidRDefault="00000000">
            <w:pPr>
              <w:jc w:val="center"/>
            </w:pPr>
            <w:r>
              <w:rPr>
                <w:color w:val="333333"/>
                <w:sz w:val="20"/>
                <w:szCs w:val="20"/>
              </w:rPr>
              <w:t>+47.14%</w:t>
            </w:r>
          </w:p>
        </w:tc>
      </w:tr>
      <w:tr w:rsidR="0052169E" w14:paraId="1DF5459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39067E2" w14:textId="77777777" w:rsidR="0052169E" w:rsidRDefault="00000000">
            <w:r>
              <w:rPr>
                <w:color w:val="333333"/>
                <w:sz w:val="20"/>
                <w:szCs w:val="20"/>
              </w:rPr>
              <w:t>3</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5EE2365" w14:textId="77777777" w:rsidR="0052169E" w:rsidRDefault="00000000">
            <w:pPr>
              <w:jc w:val="center"/>
            </w:pPr>
            <w:r>
              <w:rPr>
                <w:color w:val="333333"/>
                <w:sz w:val="20"/>
                <w:szCs w:val="20"/>
              </w:rPr>
              <w:t>Raymond Buch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BD08872" w14:textId="77777777" w:rsidR="0052169E" w:rsidRDefault="00000000">
            <w:pPr>
              <w:jc w:val="center"/>
            </w:pPr>
            <w:r>
              <w:rPr>
                <w:color w:val="333333"/>
                <w:sz w:val="20"/>
                <w:szCs w:val="20"/>
              </w:rPr>
              <w:t>$15,117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A0F6471" w14:textId="77777777" w:rsidR="0052169E" w:rsidRDefault="00000000">
            <w:pPr>
              <w:jc w:val="center"/>
            </w:pPr>
            <w:r>
              <w:rPr>
                <w:color w:val="1A7A3C"/>
                <w:sz w:val="20"/>
                <w:szCs w:val="20"/>
              </w:rPr>
              <w:t>+$6,976</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B8D1398" w14:textId="77777777" w:rsidR="0052169E" w:rsidRDefault="00000000">
            <w:pPr>
              <w:jc w:val="center"/>
            </w:pPr>
            <w:r>
              <w:rPr>
                <w:color w:val="333333"/>
                <w:sz w:val="20"/>
                <w:szCs w:val="20"/>
              </w:rPr>
              <w:t>6</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E35B889" w14:textId="77777777" w:rsidR="0052169E" w:rsidRDefault="00000000">
            <w:pPr>
              <w:jc w:val="center"/>
            </w:pPr>
            <w:r>
              <w:rPr>
                <w:color w:val="333333"/>
                <w:sz w:val="20"/>
                <w:szCs w:val="20"/>
              </w:rPr>
              <w:t>+46.15%</w:t>
            </w:r>
          </w:p>
        </w:tc>
      </w:tr>
      <w:tr w:rsidR="0052169E" w14:paraId="2AB5DF0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657BD2B9" w14:textId="77777777" w:rsidR="0052169E" w:rsidRDefault="00000000">
            <w:r>
              <w:rPr>
                <w:color w:val="333333"/>
                <w:sz w:val="20"/>
                <w:szCs w:val="20"/>
              </w:rPr>
              <w:t>4</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5A5002BC" w14:textId="77777777" w:rsidR="0052169E" w:rsidRDefault="00000000">
            <w:pPr>
              <w:jc w:val="center"/>
            </w:pPr>
            <w:r>
              <w:rPr>
                <w:color w:val="333333"/>
                <w:sz w:val="20"/>
                <w:szCs w:val="20"/>
              </w:rPr>
              <w:t>Tom Ashbrook</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A85C5FB" w14:textId="77777777" w:rsidR="0052169E" w:rsidRDefault="00000000">
            <w:pPr>
              <w:jc w:val="center"/>
            </w:pPr>
            <w:r>
              <w:rPr>
                <w:color w:val="333333"/>
                <w:sz w:val="20"/>
                <w:szCs w:val="20"/>
              </w:rPr>
              <w:t>$14,596</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0909064E" w14:textId="77777777" w:rsidR="0052169E" w:rsidRDefault="00000000">
            <w:pPr>
              <w:jc w:val="center"/>
            </w:pPr>
            <w:r>
              <w:rPr>
                <w:color w:val="1A7A3C"/>
                <w:sz w:val="20"/>
                <w:szCs w:val="20"/>
              </w:rPr>
              <w:t>+$4,704</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3A4382D4" w14:textId="77777777" w:rsidR="0052169E" w:rsidRDefault="00000000">
            <w:pPr>
              <w:jc w:val="center"/>
            </w:pPr>
            <w:r>
              <w:rPr>
                <w:color w:val="333333"/>
                <w:sz w:val="20"/>
                <w:szCs w:val="20"/>
              </w:rPr>
              <w:t>4</w:t>
            </w:r>
          </w:p>
        </w:tc>
        <w:tc>
          <w:tcPr>
            <w:tcW w:w="292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AFEC419" w14:textId="77777777" w:rsidR="0052169E" w:rsidRDefault="00000000">
            <w:pPr>
              <w:jc w:val="center"/>
            </w:pPr>
            <w:r>
              <w:rPr>
                <w:color w:val="333333"/>
                <w:sz w:val="20"/>
                <w:szCs w:val="20"/>
              </w:rPr>
              <w:t>+32.23%</w:t>
            </w:r>
          </w:p>
        </w:tc>
      </w:tr>
      <w:tr w:rsidR="0052169E" w14:paraId="2BE8482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E3AEC1D" w14:textId="77777777" w:rsidR="0052169E" w:rsidRDefault="00000000">
            <w:r>
              <w:rPr>
                <w:color w:val="333333"/>
                <w:sz w:val="20"/>
                <w:szCs w:val="20"/>
              </w:rPr>
              <w:t>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580C7B6" w14:textId="77777777" w:rsidR="0052169E" w:rsidRDefault="00000000">
            <w:pPr>
              <w:jc w:val="center"/>
            </w:pPr>
            <w:r>
              <w:rPr>
                <w:color w:val="333333"/>
                <w:sz w:val="20"/>
                <w:szCs w:val="20"/>
              </w:rPr>
              <w:t>Adrian Barton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87A6D47" w14:textId="77777777" w:rsidR="0052169E" w:rsidRDefault="00000000">
            <w:pPr>
              <w:jc w:val="center"/>
            </w:pPr>
            <w:r>
              <w:rPr>
                <w:color w:val="333333"/>
                <w:sz w:val="20"/>
                <w:szCs w:val="20"/>
              </w:rPr>
              <w:t>$14,474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BBF26AB" w14:textId="77777777" w:rsidR="0052169E" w:rsidRDefault="00000000">
            <w:pPr>
              <w:jc w:val="center"/>
            </w:pPr>
            <w:r>
              <w:rPr>
                <w:color w:val="1A7A3C"/>
                <w:sz w:val="20"/>
                <w:szCs w:val="20"/>
              </w:rPr>
              <w:t>+$5,445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F3B3ADA" w14:textId="77777777" w:rsidR="0052169E" w:rsidRDefault="00000000">
            <w:pPr>
              <w:jc w:val="center"/>
            </w:pPr>
            <w:r>
              <w:rPr>
                <w:color w:val="333333"/>
                <w:sz w:val="20"/>
                <w:szCs w:val="20"/>
              </w:rPr>
              <w:t>10</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E4D70AB" w14:textId="77777777" w:rsidR="0052169E" w:rsidRDefault="00000000">
            <w:pPr>
              <w:jc w:val="center"/>
            </w:pPr>
            <w:r>
              <w:rPr>
                <w:color w:val="333333"/>
                <w:sz w:val="20"/>
                <w:szCs w:val="20"/>
              </w:rPr>
              <w:t>+37.62%</w:t>
            </w:r>
          </w:p>
        </w:tc>
      </w:tr>
      <w:tr w:rsidR="0052169E" w14:paraId="1D11911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09250013" w14:textId="77777777" w:rsidR="0052169E" w:rsidRDefault="00000000">
            <w:r>
              <w:rPr>
                <w:color w:val="333333"/>
                <w:sz w:val="20"/>
                <w:szCs w:val="20"/>
              </w:rPr>
              <w:t>6</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6B808EB3" w14:textId="77777777" w:rsidR="0052169E" w:rsidRDefault="00000000">
            <w:pPr>
              <w:jc w:val="center"/>
            </w:pPr>
            <w:r>
              <w:rPr>
                <w:color w:val="333333"/>
                <w:sz w:val="20"/>
                <w:szCs w:val="20"/>
              </w:rPr>
              <w:t>Ken Lonsdale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3DEF52E7" w14:textId="77777777" w:rsidR="0052169E" w:rsidRDefault="00000000">
            <w:pPr>
              <w:jc w:val="center"/>
            </w:pPr>
            <w:r>
              <w:rPr>
                <w:color w:val="333333"/>
                <w:sz w:val="20"/>
                <w:szCs w:val="20"/>
              </w:rPr>
              <w:t>$14,175</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214C34B9" w14:textId="77777777" w:rsidR="0052169E" w:rsidRDefault="00000000">
            <w:pPr>
              <w:jc w:val="center"/>
            </w:pPr>
            <w:r>
              <w:rPr>
                <w:color w:val="1A7A3C"/>
                <w:sz w:val="20"/>
                <w:szCs w:val="20"/>
              </w:rPr>
              <w:t>+$807</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038F57A8" w14:textId="77777777" w:rsidR="0052169E" w:rsidRDefault="00000000">
            <w:pPr>
              <w:jc w:val="center"/>
            </w:pPr>
            <w:r>
              <w:rPr>
                <w:color w:val="333333"/>
                <w:sz w:val="20"/>
                <w:szCs w:val="20"/>
              </w:rPr>
              <w:t>12</w:t>
            </w:r>
          </w:p>
        </w:tc>
        <w:tc>
          <w:tcPr>
            <w:tcW w:w="292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2D226F38" w14:textId="77777777" w:rsidR="0052169E" w:rsidRDefault="00000000">
            <w:pPr>
              <w:jc w:val="center"/>
            </w:pPr>
            <w:r>
              <w:rPr>
                <w:color w:val="333333"/>
                <w:sz w:val="20"/>
                <w:szCs w:val="20"/>
              </w:rPr>
              <w:t>+5.69%</w:t>
            </w:r>
          </w:p>
        </w:tc>
      </w:tr>
      <w:tr w:rsidR="0052169E" w14:paraId="6D31A46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5F8A9E0" w14:textId="77777777" w:rsidR="0052169E" w:rsidRDefault="00000000">
            <w:r>
              <w:rPr>
                <w:color w:val="333333"/>
                <w:sz w:val="20"/>
                <w:szCs w:val="20"/>
              </w:rPr>
              <w:t>7</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F99D3E2" w14:textId="77777777" w:rsidR="0052169E" w:rsidRDefault="00000000">
            <w:pPr>
              <w:jc w:val="center"/>
            </w:pPr>
            <w:r>
              <w:rPr>
                <w:color w:val="333333"/>
                <w:sz w:val="20"/>
                <w:szCs w:val="20"/>
              </w:rPr>
              <w:t>Sanjit Chand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B627950" w14:textId="77777777" w:rsidR="0052169E" w:rsidRDefault="00000000">
            <w:pPr>
              <w:jc w:val="center"/>
            </w:pPr>
            <w:r>
              <w:rPr>
                <w:color w:val="333333"/>
                <w:sz w:val="20"/>
                <w:szCs w:val="20"/>
              </w:rPr>
              <w:t>$14,142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BD4E7C7" w14:textId="77777777" w:rsidR="0052169E" w:rsidRDefault="00000000">
            <w:pPr>
              <w:jc w:val="center"/>
            </w:pPr>
            <w:r>
              <w:rPr>
                <w:color w:val="1A7A3C"/>
                <w:sz w:val="20"/>
                <w:szCs w:val="20"/>
              </w:rPr>
              <w:t>+$5,757</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1CC7E8F" w14:textId="77777777" w:rsidR="0052169E" w:rsidRDefault="00000000">
            <w:pPr>
              <w:jc w:val="center"/>
            </w:pPr>
            <w:r>
              <w:rPr>
                <w:color w:val="333333"/>
                <w:sz w:val="20"/>
                <w:szCs w:val="20"/>
              </w:rPr>
              <w:t>9</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D1FEF72" w14:textId="77777777" w:rsidR="0052169E" w:rsidRDefault="00000000">
            <w:pPr>
              <w:jc w:val="center"/>
            </w:pPr>
            <w:r>
              <w:rPr>
                <w:color w:val="333333"/>
                <w:sz w:val="20"/>
                <w:szCs w:val="20"/>
              </w:rPr>
              <w:t>+40.71%</w:t>
            </w:r>
          </w:p>
        </w:tc>
      </w:tr>
      <w:tr w:rsidR="0052169E" w14:paraId="636106B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247E13C3" w14:textId="77777777" w:rsidR="0052169E" w:rsidRDefault="00000000">
            <w:r>
              <w:rPr>
                <w:color w:val="333333"/>
                <w:sz w:val="20"/>
                <w:szCs w:val="20"/>
              </w:rPr>
              <w:t>8</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13C8E6CD" w14:textId="77777777" w:rsidR="0052169E" w:rsidRDefault="00000000">
            <w:pPr>
              <w:jc w:val="center"/>
            </w:pPr>
            <w:r>
              <w:rPr>
                <w:color w:val="333333"/>
                <w:sz w:val="20"/>
                <w:szCs w:val="20"/>
              </w:rPr>
              <w:t>Hunter Lopez</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1D4AFA7A" w14:textId="77777777" w:rsidR="0052169E" w:rsidRDefault="00000000">
            <w:pPr>
              <w:jc w:val="center"/>
            </w:pPr>
            <w:r>
              <w:rPr>
                <w:color w:val="333333"/>
                <w:sz w:val="20"/>
                <w:szCs w:val="20"/>
              </w:rPr>
              <w:t>$12,873</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6077D00B" w14:textId="77777777" w:rsidR="0052169E" w:rsidRDefault="00000000">
            <w:pPr>
              <w:jc w:val="center"/>
            </w:pPr>
            <w:r>
              <w:rPr>
                <w:color w:val="1A7A3C"/>
                <w:sz w:val="20"/>
                <w:szCs w:val="20"/>
              </w:rPr>
              <w:t>+$5,622</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6F7518E6" w14:textId="77777777" w:rsidR="0052169E" w:rsidRDefault="00000000">
            <w:pPr>
              <w:jc w:val="center"/>
            </w:pPr>
            <w:r>
              <w:rPr>
                <w:color w:val="333333"/>
                <w:sz w:val="20"/>
                <w:szCs w:val="20"/>
              </w:rPr>
              <w:t>6</w:t>
            </w:r>
          </w:p>
        </w:tc>
        <w:tc>
          <w:tcPr>
            <w:tcW w:w="292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7A4926C3" w14:textId="77777777" w:rsidR="0052169E" w:rsidRDefault="00000000">
            <w:pPr>
              <w:jc w:val="center"/>
            </w:pPr>
            <w:r>
              <w:rPr>
                <w:color w:val="333333"/>
                <w:sz w:val="20"/>
                <w:szCs w:val="20"/>
              </w:rPr>
              <w:t>+43.68%</w:t>
            </w:r>
          </w:p>
        </w:tc>
      </w:tr>
    </w:tbl>
    <w:p w14:paraId="1C4C8343" w14:textId="77777777" w:rsidR="0052169E" w:rsidRDefault="0052169E">
      <w:pPr>
        <w:spacing w:after="80" w:line="276" w:lineRule="auto"/>
      </w:pPr>
    </w:p>
    <w:p w14:paraId="3E546BD2" w14:textId="77777777" w:rsidR="0052169E" w:rsidRDefault="00000000">
      <w:pPr>
        <w:pStyle w:val="Heading2"/>
        <w:spacing w:line="276" w:lineRule="auto"/>
      </w:pPr>
      <w:bookmarkStart w:id="10" w:name="_Toc224989893"/>
      <w:r>
        <w:t>Regional Performance</w:t>
      </w:r>
      <w:bookmarkEnd w:id="10"/>
    </w:p>
    <w:p w14:paraId="47B91FE5" w14:textId="77777777" w:rsidR="0052169E" w:rsidRDefault="00000000">
      <w:pPr>
        <w:spacing w:before="60" w:after="120" w:line="276" w:lineRule="auto"/>
        <w:jc w:val="both"/>
      </w:pPr>
      <w:r>
        <w:rPr>
          <w:color w:val="222222"/>
        </w:rPr>
        <w:t xml:space="preserve">The page opens with four Multi-Row KPI cards, one per region. West leads at $725.46K and 14.94% margin. East is close behind at $678.78K and 13.48%. South </w:t>
      </w:r>
      <w:proofErr w:type="gramStart"/>
      <w:r>
        <w:rPr>
          <w:color w:val="222222"/>
        </w:rPr>
        <w:t>sits</w:t>
      </w:r>
      <w:proofErr w:type="gramEnd"/>
      <w:r>
        <w:rPr>
          <w:color w:val="222222"/>
        </w:rPr>
        <w:t xml:space="preserve"> at $391.72K with a reasonable 11.93%. Then there is Central: $501.24K in revenue — the second-largest </w:t>
      </w:r>
      <w:proofErr w:type="gramStart"/>
      <w:r>
        <w:rPr>
          <w:color w:val="222222"/>
        </w:rPr>
        <w:t>market —</w:t>
      </w:r>
      <w:proofErr w:type="gramEnd"/>
      <w:r>
        <w:rPr>
          <w:color w:val="222222"/>
        </w:rPr>
        <w:t xml:space="preserve"> at only 7.92% margin. That is the number this page is built around. Central is not a small market that can be deprioritized; it is a large market being served unprofitably.</w:t>
      </w:r>
    </w:p>
    <w:p w14:paraId="24096E68" w14:textId="77777777" w:rsidR="0052169E" w:rsidRDefault="0052169E">
      <w:pPr>
        <w:spacing w:after="80" w:line="276" w:lineRule="auto"/>
      </w:pPr>
    </w:p>
    <w:p w14:paraId="18DD59EF" w14:textId="77777777" w:rsidR="0052169E" w:rsidRDefault="00000000">
      <w:pPr>
        <w:spacing w:before="60" w:after="120" w:line="276" w:lineRule="auto"/>
        <w:jc w:val="both"/>
      </w:pPr>
      <w:r>
        <w:rPr>
          <w:color w:val="222222"/>
        </w:rPr>
        <w:t>The Sales by Ship Mode per Region clustered column chart and the Sales Distribution donut confirm the revenue picture. Standard Class dominates in every region. West and East each generate roughly $400K from Standard Class alone, while Central and South trail. The donut shows West at 31.58%, East at 29.55%, Central at 21.82%, and South at 17.05%. The key analytical point here is that Central’s 22% revenue share sits alongside a margin that is nearly half of the West’s, which cannot be explained by shipping costs or regional demand differences alone.</w:t>
      </w:r>
    </w:p>
    <w:p w14:paraId="7ECFEA9B" w14:textId="77777777" w:rsidR="0052169E" w:rsidRDefault="0052169E">
      <w:pPr>
        <w:spacing w:after="80" w:line="276" w:lineRule="auto"/>
      </w:pPr>
    </w:p>
    <w:p w14:paraId="096832C6" w14:textId="77777777" w:rsidR="0052169E" w:rsidRDefault="00000000">
      <w:pPr>
        <w:spacing w:before="60" w:after="120" w:line="276" w:lineRule="auto"/>
        <w:jc w:val="both"/>
      </w:pPr>
      <w:r>
        <w:rPr>
          <w:color w:val="222222"/>
        </w:rPr>
        <w:t>The Sales Distribution donut and ship mode chart together confirm that Central’s lower revenue does not reflect a different shipping mode mix or operational profile. The distribution of orders across Standard, Second, First Class, and Same Day is broadly proportional across all four regions. Central simply has fewer orders, not a fundamentally different commercial structure. This rules out logistics as an explanation for the margin gap and reinforces that the issue is entirely commercial — pricing and discount policy.</w:t>
      </w:r>
    </w:p>
    <w:p w14:paraId="7D709025" w14:textId="77777777" w:rsidR="0052169E" w:rsidRDefault="0052169E">
      <w:pPr>
        <w:spacing w:after="80" w:line="276" w:lineRule="auto"/>
      </w:pPr>
    </w:p>
    <w:p w14:paraId="6256E0D0" w14:textId="77777777" w:rsidR="0052169E" w:rsidRDefault="00000000">
      <w:pPr>
        <w:spacing w:before="60" w:after="120" w:line="276" w:lineRule="auto"/>
        <w:jc w:val="both"/>
      </w:pPr>
      <w:r>
        <w:rPr>
          <w:color w:val="222222"/>
        </w:rPr>
        <w:t>The Average Ship Days Matrix cross-tabulates shipping mode against region with gradient conditional formatting, creating an embedded heatmap. Same Day shipments average under 0.10 days everywhere, appearing in deep green. Standard Class averages between 4.97 and 5.06 days, in the reddest cells. The near-identical values across all four regions rule out logistics as the driver of Central’s margin problem. The Late Shipments bar chart, which counts Standard Class orders taking over five days per region, shows West with the highest count but proportional to its larger order volume. Together these two shipping visuals confirm that the Central margin gap is a commercial problem — pricing and discounts — not an operational one.</w:t>
      </w:r>
    </w:p>
    <w:p w14:paraId="46090BD0" w14:textId="77777777" w:rsidR="0052169E" w:rsidRDefault="00000000">
      <w:pPr>
        <w:pStyle w:val="Heading1"/>
        <w:spacing w:line="276" w:lineRule="auto"/>
      </w:pPr>
      <w:bookmarkStart w:id="11" w:name="_Toc224989894"/>
      <w:r>
        <w:lastRenderedPageBreak/>
        <w:t>Conclusion</w:t>
      </w:r>
      <w:bookmarkEnd w:id="11"/>
    </w:p>
    <w:p w14:paraId="64170FF0" w14:textId="77777777" w:rsidR="0052169E" w:rsidRDefault="00000000">
      <w:pPr>
        <w:pStyle w:val="Heading2"/>
        <w:spacing w:line="276" w:lineRule="auto"/>
      </w:pPr>
      <w:bookmarkStart w:id="12" w:name="_Toc224989895"/>
      <w:r>
        <w:t>Key Findings</w:t>
      </w:r>
      <w:bookmarkEnd w:id="12"/>
    </w:p>
    <w:p w14:paraId="63CB612C" w14:textId="77777777" w:rsidR="0052169E" w:rsidRDefault="00000000">
      <w:pPr>
        <w:spacing w:before="60" w:after="120" w:line="276" w:lineRule="auto"/>
        <w:jc w:val="both"/>
      </w:pPr>
      <w:r>
        <w:rPr>
          <w:color w:val="222222"/>
        </w:rPr>
        <w:t>Six findings emerge consistently across the four pages:</w:t>
      </w:r>
    </w:p>
    <w:p w14:paraId="0C5BBFE9" w14:textId="77777777" w:rsidR="0052169E" w:rsidRDefault="0052169E">
      <w:pPr>
        <w:spacing w:after="80" w:line="276" w:lineRule="auto"/>
      </w:pPr>
    </w:p>
    <w:p w14:paraId="36DE08D7" w14:textId="77777777" w:rsidR="0052169E" w:rsidRDefault="00000000">
      <w:pPr>
        <w:pStyle w:val="ListParagraph"/>
        <w:numPr>
          <w:ilvl w:val="0"/>
          <w:numId w:val="2"/>
        </w:numPr>
        <w:spacing w:before="40" w:after="60" w:line="276" w:lineRule="auto"/>
      </w:pPr>
      <w:r>
        <w:rPr>
          <w:b/>
          <w:bCs/>
          <w:color w:val="222222"/>
        </w:rPr>
        <w:t xml:space="preserve">Revenue Growth: </w:t>
      </w:r>
      <w:r>
        <w:rPr>
          <w:color w:val="222222"/>
        </w:rPr>
        <w:t>Revenue grew 51% from $484K in 2014 to $733K in 2017, with order volume up 74%. Growth is real and volume-driven, not a pricing artifact.</w:t>
      </w:r>
    </w:p>
    <w:p w14:paraId="7F05E69C" w14:textId="77777777" w:rsidR="0052169E" w:rsidRDefault="00000000">
      <w:pPr>
        <w:pStyle w:val="ListParagraph"/>
        <w:numPr>
          <w:ilvl w:val="0"/>
          <w:numId w:val="2"/>
        </w:numPr>
        <w:spacing w:before="40" w:after="60" w:line="276" w:lineRule="auto"/>
      </w:pPr>
      <w:r>
        <w:rPr>
          <w:b/>
          <w:bCs/>
          <w:color w:val="222222"/>
        </w:rPr>
        <w:t xml:space="preserve">Furniture Underperformance: </w:t>
      </w:r>
      <w:r>
        <w:rPr>
          <w:color w:val="222222"/>
        </w:rPr>
        <w:t xml:space="preserve">Furniture’s 2.49% margin versus 17%+ for the other two categories is almost entirely attributable to Tables (-$17,725) and Bookcases (-$3,473), not the </w:t>
      </w:r>
      <w:proofErr w:type="gramStart"/>
      <w:r>
        <w:rPr>
          <w:color w:val="222222"/>
        </w:rPr>
        <w:t>category as a whole</w:t>
      </w:r>
      <w:proofErr w:type="gramEnd"/>
      <w:r>
        <w:rPr>
          <w:color w:val="222222"/>
        </w:rPr>
        <w:t>.</w:t>
      </w:r>
    </w:p>
    <w:p w14:paraId="206CEBF4" w14:textId="77777777" w:rsidR="0052169E" w:rsidRDefault="00000000">
      <w:pPr>
        <w:pStyle w:val="ListParagraph"/>
        <w:numPr>
          <w:ilvl w:val="0"/>
          <w:numId w:val="2"/>
        </w:numPr>
        <w:spacing w:before="40" w:after="60" w:line="276" w:lineRule="auto"/>
      </w:pPr>
      <w:r>
        <w:rPr>
          <w:b/>
          <w:bCs/>
          <w:color w:val="222222"/>
        </w:rPr>
        <w:t xml:space="preserve">Discount-Driven Losses: </w:t>
      </w:r>
      <w:r>
        <w:rPr>
          <w:color w:val="222222"/>
        </w:rPr>
        <w:t>Discounts above 30% are universally loss-generating. The combined profit destruction at these levels is approximately $135K over four years, close to half of total profit.</w:t>
      </w:r>
    </w:p>
    <w:p w14:paraId="0DA4BE18" w14:textId="77777777" w:rsidR="0052169E" w:rsidRDefault="00000000">
      <w:pPr>
        <w:pStyle w:val="ListParagraph"/>
        <w:numPr>
          <w:ilvl w:val="0"/>
          <w:numId w:val="2"/>
        </w:numPr>
        <w:spacing w:before="40" w:after="60" w:line="276" w:lineRule="auto"/>
      </w:pPr>
      <w:r>
        <w:rPr>
          <w:b/>
          <w:bCs/>
          <w:color w:val="222222"/>
        </w:rPr>
        <w:t xml:space="preserve">Regional Margin Gap: </w:t>
      </w:r>
      <w:r>
        <w:rPr>
          <w:color w:val="222222"/>
        </w:rPr>
        <w:t>Central generates $501K in revenue at 7.92</w:t>
      </w:r>
      <w:proofErr w:type="gramStart"/>
      <w:r>
        <w:rPr>
          <w:color w:val="222222"/>
        </w:rPr>
        <w:t>% margin</w:t>
      </w:r>
      <w:proofErr w:type="gramEnd"/>
      <w:r>
        <w:rPr>
          <w:color w:val="222222"/>
        </w:rPr>
        <w:t xml:space="preserve"> versus West’s 14.94%. Shipping data confirms this is a pricing problem, not a logistics problem.</w:t>
      </w:r>
    </w:p>
    <w:p w14:paraId="041D5904" w14:textId="77777777" w:rsidR="0052169E" w:rsidRDefault="00000000">
      <w:pPr>
        <w:pStyle w:val="ListParagraph"/>
        <w:numPr>
          <w:ilvl w:val="0"/>
          <w:numId w:val="2"/>
        </w:numPr>
        <w:spacing w:before="40" w:after="60" w:line="276" w:lineRule="auto"/>
      </w:pPr>
      <w:r>
        <w:rPr>
          <w:b/>
          <w:bCs/>
          <w:color w:val="222222"/>
        </w:rPr>
        <w:t xml:space="preserve">Customer Profitability Misalignment: </w:t>
      </w:r>
      <w:r>
        <w:rPr>
          <w:color w:val="222222"/>
        </w:rPr>
        <w:t>The top revenue customer loses money. Average Profit Per Customer ($361) is a fraction of Average Sale Per Customer ($2,900), pointing to systemic margin leakage across the customer base.</w:t>
      </w:r>
    </w:p>
    <w:p w14:paraId="74ECAE10" w14:textId="77777777" w:rsidR="0052169E" w:rsidRDefault="00000000">
      <w:pPr>
        <w:pStyle w:val="ListParagraph"/>
        <w:numPr>
          <w:ilvl w:val="0"/>
          <w:numId w:val="2"/>
        </w:numPr>
        <w:spacing w:before="40" w:after="60" w:line="276" w:lineRule="auto"/>
      </w:pPr>
      <w:r>
        <w:rPr>
          <w:b/>
          <w:bCs/>
          <w:color w:val="222222"/>
        </w:rPr>
        <w:t xml:space="preserve">Seasonal Predictability: </w:t>
      </w:r>
      <w:r>
        <w:rPr>
          <w:color w:val="222222"/>
        </w:rPr>
        <w:t>November and September are peak months every year without exception. February is the weakest. This creates a reliable planning rhythm.</w:t>
      </w:r>
    </w:p>
    <w:p w14:paraId="36DEA42F" w14:textId="77777777" w:rsidR="0052169E" w:rsidRDefault="0052169E">
      <w:pPr>
        <w:spacing w:after="80" w:line="276" w:lineRule="auto"/>
      </w:pPr>
    </w:p>
    <w:p w14:paraId="164D6908" w14:textId="77777777" w:rsidR="0052169E" w:rsidRDefault="00000000">
      <w:pPr>
        <w:pStyle w:val="Heading2"/>
        <w:spacing w:line="276" w:lineRule="auto"/>
      </w:pPr>
      <w:bookmarkStart w:id="13" w:name="_Toc224989896"/>
      <w:r>
        <w:t>Recommendations</w:t>
      </w:r>
      <w:bookmarkEnd w:id="13"/>
    </w:p>
    <w:p w14:paraId="32C31619" w14:textId="77777777" w:rsidR="0052169E" w:rsidRDefault="00000000">
      <w:pPr>
        <w:spacing w:before="60" w:after="120" w:line="276" w:lineRule="auto"/>
        <w:jc w:val="both"/>
      </w:pPr>
      <w:r>
        <w:rPr>
          <w:color w:val="222222"/>
        </w:rPr>
        <w:t xml:space="preserve">The recommendations below are ordered by expected impact. The discount cap policy has the highest immediate return because it addresses the single largest source of profit destruction in the dataset. The Furniture repricing is second because it fixes a structurally loss-making product situation that has been ongoing for four years. The Central region program and account management changes are medium-term initiatives that require coordination across the sales </w:t>
      </w:r>
      <w:proofErr w:type="spellStart"/>
      <w:r>
        <w:rPr>
          <w:color w:val="222222"/>
        </w:rPr>
        <w:t>organisation</w:t>
      </w:r>
      <w:proofErr w:type="spellEnd"/>
      <w:r>
        <w:rPr>
          <w:color w:val="222222"/>
        </w:rPr>
        <w:t>. The seasonal planning adjustment is the lowest-effort, highest-consistency win.</w:t>
      </w:r>
    </w:p>
    <w:p w14:paraId="01338DC9" w14:textId="77777777" w:rsidR="0052169E" w:rsidRDefault="0052169E">
      <w:pPr>
        <w:spacing w:after="80" w:line="276" w:lineRule="auto"/>
      </w:pPr>
    </w:p>
    <w:p w14:paraId="31D2FD2F" w14:textId="77777777" w:rsidR="0052169E" w:rsidRDefault="00000000">
      <w:pPr>
        <w:pStyle w:val="ListParagraph"/>
        <w:numPr>
          <w:ilvl w:val="0"/>
          <w:numId w:val="2"/>
        </w:numPr>
        <w:spacing w:before="40" w:after="60" w:line="276" w:lineRule="auto"/>
      </w:pPr>
      <w:r>
        <w:rPr>
          <w:b/>
          <w:bCs/>
          <w:color w:val="222222"/>
        </w:rPr>
        <w:t xml:space="preserve">Cap discounts at 25%: </w:t>
      </w:r>
      <w:r>
        <w:rPr>
          <w:color w:val="222222"/>
        </w:rPr>
        <w:t>Require management sign-off for exceptions and replace deep discounts with bundling or free shipping. Based on current order patterns, this alone could recover around $100K in annual profit.</w:t>
      </w:r>
    </w:p>
    <w:p w14:paraId="0647D184" w14:textId="77777777" w:rsidR="0052169E" w:rsidRDefault="00000000">
      <w:pPr>
        <w:pStyle w:val="ListParagraph"/>
        <w:numPr>
          <w:ilvl w:val="0"/>
          <w:numId w:val="2"/>
        </w:numPr>
        <w:spacing w:before="40" w:after="60" w:line="276" w:lineRule="auto"/>
      </w:pPr>
      <w:r>
        <w:rPr>
          <w:b/>
          <w:bCs/>
          <w:color w:val="222222"/>
        </w:rPr>
        <w:t xml:space="preserve">Reprice Tables and Bookcases: </w:t>
      </w:r>
      <w:r>
        <w:rPr>
          <w:color w:val="222222"/>
        </w:rPr>
        <w:t xml:space="preserve">Target a minimum 10% margin through repricing or supplier negotiation. If neither is achievable, discontinue the worst-performing SKUs. Tables </w:t>
      </w:r>
      <w:proofErr w:type="gramStart"/>
      <w:r>
        <w:rPr>
          <w:color w:val="222222"/>
        </w:rPr>
        <w:t>generates</w:t>
      </w:r>
      <w:proofErr w:type="gramEnd"/>
      <w:r>
        <w:rPr>
          <w:color w:val="222222"/>
        </w:rPr>
        <w:t xml:space="preserve"> $206K in revenue — even a 5% margin improvement adds $22K to profit.</w:t>
      </w:r>
    </w:p>
    <w:p w14:paraId="0C3D60FA" w14:textId="77777777" w:rsidR="0052169E" w:rsidRDefault="00000000">
      <w:pPr>
        <w:pStyle w:val="ListParagraph"/>
        <w:numPr>
          <w:ilvl w:val="0"/>
          <w:numId w:val="2"/>
        </w:numPr>
        <w:spacing w:before="40" w:after="60" w:line="276" w:lineRule="auto"/>
      </w:pPr>
      <w:r>
        <w:rPr>
          <w:b/>
          <w:bCs/>
          <w:color w:val="222222"/>
        </w:rPr>
        <w:t xml:space="preserve">Central region profitability program: </w:t>
      </w:r>
      <w:r>
        <w:rPr>
          <w:color w:val="222222"/>
        </w:rPr>
        <w:t>Shift sales team incentives from revenue targets to margin-adjusted targets. Focus particularly on Texas, Ohio, and Illinois, which generate significant revenue at negative margins.</w:t>
      </w:r>
    </w:p>
    <w:p w14:paraId="29BE1281" w14:textId="77777777" w:rsidR="0052169E" w:rsidRDefault="00000000">
      <w:pPr>
        <w:pStyle w:val="ListParagraph"/>
        <w:numPr>
          <w:ilvl w:val="0"/>
          <w:numId w:val="2"/>
        </w:numPr>
        <w:spacing w:before="40" w:after="60" w:line="276" w:lineRule="auto"/>
      </w:pPr>
      <w:r>
        <w:rPr>
          <w:b/>
          <w:bCs/>
          <w:color w:val="222222"/>
        </w:rPr>
        <w:lastRenderedPageBreak/>
        <w:t xml:space="preserve">Profitability-weighted account management: </w:t>
      </w:r>
      <w:r>
        <w:rPr>
          <w:color w:val="222222"/>
        </w:rPr>
        <w:t xml:space="preserve">Re-rank accounts by margin, not revenue. Address loss-generating accounts before extending further preferential terms. Invest in Home Office </w:t>
      </w:r>
      <w:proofErr w:type="gramStart"/>
      <w:r>
        <w:rPr>
          <w:color w:val="222222"/>
        </w:rPr>
        <w:t>acquisition — it</w:t>
      </w:r>
      <w:proofErr w:type="gramEnd"/>
      <w:r>
        <w:rPr>
          <w:color w:val="222222"/>
        </w:rPr>
        <w:t xml:space="preserve"> is the smallest segment but the most margin-efficient across every region.</w:t>
      </w:r>
    </w:p>
    <w:p w14:paraId="7BD8991E" w14:textId="77777777" w:rsidR="0052169E" w:rsidRDefault="00000000">
      <w:pPr>
        <w:pStyle w:val="ListParagraph"/>
        <w:numPr>
          <w:ilvl w:val="0"/>
          <w:numId w:val="2"/>
        </w:numPr>
        <w:spacing w:before="40" w:after="60" w:line="276" w:lineRule="auto"/>
      </w:pPr>
      <w:r>
        <w:rPr>
          <w:b/>
          <w:bCs/>
          <w:color w:val="222222"/>
        </w:rPr>
        <w:t xml:space="preserve">Seasonal planning: </w:t>
      </w:r>
      <w:r>
        <w:rPr>
          <w:color w:val="222222"/>
        </w:rPr>
        <w:t>Pre-position inventory for September and November peaks. Pull back on promotional discounting in February, where demand is structurally low and discounts only compress margins without lifting volume.</w:t>
      </w:r>
    </w:p>
    <w:p w14:paraId="3F770993" w14:textId="77777777" w:rsidR="0052169E" w:rsidRDefault="0052169E">
      <w:pPr>
        <w:spacing w:after="80" w:line="276" w:lineRule="auto"/>
      </w:pPr>
    </w:p>
    <w:p w14:paraId="54B71D66" w14:textId="68ABC0E1" w:rsidR="00551F4C" w:rsidRDefault="00000000">
      <w:pPr>
        <w:spacing w:before="60" w:after="120" w:line="276" w:lineRule="auto"/>
        <w:jc w:val="both"/>
        <w:rPr>
          <w:color w:val="222222"/>
        </w:rPr>
      </w:pPr>
      <w:r>
        <w:rPr>
          <w:color w:val="222222"/>
        </w:rPr>
        <w:t>The Superstore business is in a strong commercial position. Revenue growth is consistent, the portfolio is diversified, and the operational infrastructure is working. The margin problems identified here are correctable through discipline in pricing and account management rather than structural changes to the business. Closing the discount gap alone would add roughly $100K in annual profit. Fixing Tables and Bookcases adds another $22K. Improving Central’s margin to match even the South adds approximately $20K more. Together, these targeted actions could push the overall margin from 12.47% toward 18–20% without changing the fundamental shape of the business. The Power BI dashboards built in this project provide the monitoring infrastructure to track exactly that progress over time.</w:t>
      </w:r>
    </w:p>
    <w:p w14:paraId="201366DC" w14:textId="77777777" w:rsidR="00551F4C" w:rsidRDefault="00551F4C">
      <w:pPr>
        <w:rPr>
          <w:color w:val="222222"/>
        </w:rPr>
      </w:pPr>
      <w:r>
        <w:rPr>
          <w:color w:val="222222"/>
        </w:rPr>
        <w:br w:type="page"/>
      </w:r>
    </w:p>
    <w:p w14:paraId="3FB39D71" w14:textId="25238DCB" w:rsidR="0052169E" w:rsidRDefault="00551F4C" w:rsidP="00551F4C">
      <w:pPr>
        <w:pStyle w:val="Heading1"/>
        <w:spacing w:line="276" w:lineRule="auto"/>
      </w:pPr>
      <w:bookmarkStart w:id="14" w:name="_Toc224989897"/>
      <w:r>
        <w:lastRenderedPageBreak/>
        <w:t>References</w:t>
      </w:r>
      <w:bookmarkEnd w:id="14"/>
    </w:p>
    <w:p w14:paraId="1DB4E1FB" w14:textId="77777777" w:rsidR="00E952D8" w:rsidRPr="00E952D8" w:rsidRDefault="00E952D8" w:rsidP="00E952D8">
      <w:pPr>
        <w:pStyle w:val="Heading2"/>
        <w:spacing w:line="276" w:lineRule="auto"/>
      </w:pPr>
      <w:r w:rsidRPr="00E952D8">
        <w:t>Dataset Reference</w:t>
      </w:r>
    </w:p>
    <w:p w14:paraId="3F4E29C2" w14:textId="77777777" w:rsidR="00E952D8" w:rsidRPr="00E952D8" w:rsidRDefault="00E952D8" w:rsidP="00E952D8">
      <w:pPr>
        <w:spacing w:before="60" w:after="120" w:line="276" w:lineRule="auto"/>
        <w:jc w:val="both"/>
      </w:pPr>
      <w:r w:rsidRPr="00E952D8">
        <w:rPr>
          <w:b/>
          <w:bCs/>
        </w:rPr>
        <w:t>Superstore Dataset</w:t>
      </w:r>
      <w:r w:rsidRPr="00E952D8">
        <w:t xml:space="preserve"> Tableau Software. (n.d.). </w:t>
      </w:r>
      <w:r w:rsidRPr="00E952D8">
        <w:rPr>
          <w:i/>
          <w:iCs/>
        </w:rPr>
        <w:t>Sample - Superstore</w:t>
      </w:r>
      <w:r w:rsidRPr="00E952D8">
        <w:t xml:space="preserve">. Kaggle. Retrieved from </w:t>
      </w:r>
      <w:hyperlink r:id="rId9" w:history="1">
        <w:r w:rsidRPr="00E952D8">
          <w:rPr>
            <w:rStyle w:val="Hyperlink"/>
          </w:rPr>
          <w:t>https://www.kaggle.com/datasets/vivek468/superstore-dataset-final</w:t>
        </w:r>
      </w:hyperlink>
    </w:p>
    <w:p w14:paraId="34A4CD92" w14:textId="77777777" w:rsidR="00E952D8" w:rsidRPr="00E952D8" w:rsidRDefault="00E952D8" w:rsidP="00E952D8">
      <w:pPr>
        <w:spacing w:before="60" w:after="120" w:line="276" w:lineRule="auto"/>
        <w:jc w:val="both"/>
      </w:pPr>
      <w:r w:rsidRPr="00E952D8">
        <w:pict w14:anchorId="14E48451">
          <v:rect id="_x0000_i1059" style="width:0;height:1.5pt" o:hralign="center" o:hrstd="t" o:hr="t" fillcolor="#a0a0a0" stroked="f"/>
        </w:pict>
      </w:r>
    </w:p>
    <w:p w14:paraId="316F2891" w14:textId="77777777" w:rsidR="00E952D8" w:rsidRPr="00E952D8" w:rsidRDefault="00E952D8" w:rsidP="00E952D8">
      <w:pPr>
        <w:pStyle w:val="Heading2"/>
        <w:spacing w:line="276" w:lineRule="auto"/>
      </w:pPr>
      <w:r w:rsidRPr="00E952D8">
        <w:t>Power BI &amp; DAX</w:t>
      </w:r>
    </w:p>
    <w:p w14:paraId="107403F1" w14:textId="77777777" w:rsidR="00E952D8" w:rsidRPr="00E952D8" w:rsidRDefault="00E952D8" w:rsidP="00E952D8">
      <w:pPr>
        <w:spacing w:before="60" w:after="120" w:line="276" w:lineRule="auto"/>
        <w:jc w:val="both"/>
      </w:pPr>
      <w:r w:rsidRPr="00E952D8">
        <w:rPr>
          <w:b/>
          <w:bCs/>
        </w:rPr>
        <w:t>Microsoft Power BI Documentation</w:t>
      </w:r>
      <w:r w:rsidRPr="00E952D8">
        <w:t xml:space="preserve"> Microsoft. (2024). </w:t>
      </w:r>
      <w:r w:rsidRPr="00E952D8">
        <w:rPr>
          <w:i/>
          <w:iCs/>
        </w:rPr>
        <w:t>Power BI documentation</w:t>
      </w:r>
      <w:r w:rsidRPr="00E952D8">
        <w:t xml:space="preserve">. Microsoft Learn. </w:t>
      </w:r>
      <w:hyperlink r:id="rId10" w:history="1">
        <w:r w:rsidRPr="00E952D8">
          <w:rPr>
            <w:rStyle w:val="Hyperlink"/>
          </w:rPr>
          <w:t>https://learn.microsoft.com/en-us/power-bi/</w:t>
        </w:r>
      </w:hyperlink>
    </w:p>
    <w:p w14:paraId="4DC7F00B" w14:textId="77777777" w:rsidR="00E952D8" w:rsidRPr="00E952D8" w:rsidRDefault="00E952D8" w:rsidP="00E952D8">
      <w:pPr>
        <w:spacing w:before="60" w:after="120" w:line="276" w:lineRule="auto"/>
        <w:jc w:val="both"/>
      </w:pPr>
      <w:r w:rsidRPr="00E952D8">
        <w:rPr>
          <w:b/>
          <w:bCs/>
        </w:rPr>
        <w:t>DAX Reference</w:t>
      </w:r>
      <w:r w:rsidRPr="00E952D8">
        <w:t xml:space="preserve"> Microsoft. (2024). </w:t>
      </w:r>
      <w:r w:rsidRPr="00E952D8">
        <w:rPr>
          <w:i/>
          <w:iCs/>
        </w:rPr>
        <w:t>DAX function reference</w:t>
      </w:r>
      <w:r w:rsidRPr="00E952D8">
        <w:t xml:space="preserve">. Microsoft Learn. </w:t>
      </w:r>
      <w:hyperlink r:id="rId11" w:history="1">
        <w:r w:rsidRPr="00E952D8">
          <w:rPr>
            <w:rStyle w:val="Hyperlink"/>
          </w:rPr>
          <w:t>https://learn.microsoft.com/en-us/dax/dax-function-reference</w:t>
        </w:r>
      </w:hyperlink>
    </w:p>
    <w:p w14:paraId="0080D927" w14:textId="77777777" w:rsidR="00551F4C" w:rsidRDefault="00551F4C">
      <w:pPr>
        <w:spacing w:before="60" w:after="120" w:line="276" w:lineRule="auto"/>
        <w:jc w:val="both"/>
      </w:pPr>
    </w:p>
    <w:sectPr w:rsidR="00551F4C">
      <w:footerReference w:type="default" r:id="rId12"/>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9CE62" w14:textId="77777777" w:rsidR="004628C5" w:rsidRDefault="004628C5">
      <w:r>
        <w:separator/>
      </w:r>
    </w:p>
  </w:endnote>
  <w:endnote w:type="continuationSeparator" w:id="0">
    <w:p w14:paraId="5F819EE1" w14:textId="77777777" w:rsidR="004628C5" w:rsidRDefault="004628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390C2" w14:textId="77777777" w:rsidR="0052169E" w:rsidRDefault="00000000">
    <w:pPr>
      <w:spacing w:before="120"/>
      <w:jc w:val="center"/>
    </w:pPr>
    <w:r>
      <w:fldChar w:fldCharType="begin"/>
    </w:r>
    <w:r>
      <w:instrText>PAGE</w:instrText>
    </w:r>
    <w:r>
      <w:fldChar w:fldCharType="separate"/>
    </w:r>
    <w:r w:rsidR="00551F4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42608" w14:textId="77777777" w:rsidR="004628C5" w:rsidRDefault="004628C5">
      <w:r>
        <w:separator/>
      </w:r>
    </w:p>
  </w:footnote>
  <w:footnote w:type="continuationSeparator" w:id="0">
    <w:p w14:paraId="22006A0B" w14:textId="77777777" w:rsidR="004628C5" w:rsidRDefault="004628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60A2F"/>
    <w:multiLevelType w:val="hybridMultilevel"/>
    <w:tmpl w:val="DABCE626"/>
    <w:lvl w:ilvl="0" w:tplc="0678A656">
      <w:start w:val="1"/>
      <w:numFmt w:val="bullet"/>
      <w:lvlText w:val="•"/>
      <w:lvlJc w:val="left"/>
      <w:pPr>
        <w:ind w:left="720" w:hanging="360"/>
      </w:pPr>
    </w:lvl>
    <w:lvl w:ilvl="1" w:tplc="9D8ECF14">
      <w:numFmt w:val="decimal"/>
      <w:lvlText w:val=""/>
      <w:lvlJc w:val="left"/>
    </w:lvl>
    <w:lvl w:ilvl="2" w:tplc="B67075B2">
      <w:numFmt w:val="decimal"/>
      <w:lvlText w:val=""/>
      <w:lvlJc w:val="left"/>
    </w:lvl>
    <w:lvl w:ilvl="3" w:tplc="C304E180">
      <w:numFmt w:val="decimal"/>
      <w:lvlText w:val=""/>
      <w:lvlJc w:val="left"/>
    </w:lvl>
    <w:lvl w:ilvl="4" w:tplc="7DCEB9B2">
      <w:numFmt w:val="decimal"/>
      <w:lvlText w:val=""/>
      <w:lvlJc w:val="left"/>
    </w:lvl>
    <w:lvl w:ilvl="5" w:tplc="6A025B18">
      <w:numFmt w:val="decimal"/>
      <w:lvlText w:val=""/>
      <w:lvlJc w:val="left"/>
    </w:lvl>
    <w:lvl w:ilvl="6" w:tplc="3D4CD7C8">
      <w:numFmt w:val="decimal"/>
      <w:lvlText w:val=""/>
      <w:lvlJc w:val="left"/>
    </w:lvl>
    <w:lvl w:ilvl="7" w:tplc="C66C90A2">
      <w:numFmt w:val="decimal"/>
      <w:lvlText w:val=""/>
      <w:lvlJc w:val="left"/>
    </w:lvl>
    <w:lvl w:ilvl="8" w:tplc="2558211E">
      <w:numFmt w:val="decimal"/>
      <w:lvlText w:val=""/>
      <w:lvlJc w:val="left"/>
    </w:lvl>
  </w:abstractNum>
  <w:abstractNum w:abstractNumId="1" w15:restartNumberingAfterBreak="0">
    <w:nsid w:val="7B5E07DF"/>
    <w:multiLevelType w:val="hybridMultilevel"/>
    <w:tmpl w:val="2DEAE8D6"/>
    <w:lvl w:ilvl="0" w:tplc="1902BD2C">
      <w:start w:val="1"/>
      <w:numFmt w:val="bullet"/>
      <w:lvlText w:val="●"/>
      <w:lvlJc w:val="left"/>
      <w:pPr>
        <w:ind w:left="720" w:hanging="360"/>
      </w:pPr>
    </w:lvl>
    <w:lvl w:ilvl="1" w:tplc="DE7E0CD2">
      <w:start w:val="1"/>
      <w:numFmt w:val="bullet"/>
      <w:lvlText w:val="○"/>
      <w:lvlJc w:val="left"/>
      <w:pPr>
        <w:ind w:left="1440" w:hanging="360"/>
      </w:pPr>
    </w:lvl>
    <w:lvl w:ilvl="2" w:tplc="18CE0E9E">
      <w:start w:val="1"/>
      <w:numFmt w:val="bullet"/>
      <w:lvlText w:val="■"/>
      <w:lvlJc w:val="left"/>
      <w:pPr>
        <w:ind w:left="2160" w:hanging="360"/>
      </w:pPr>
    </w:lvl>
    <w:lvl w:ilvl="3" w:tplc="40624846">
      <w:start w:val="1"/>
      <w:numFmt w:val="bullet"/>
      <w:lvlText w:val="●"/>
      <w:lvlJc w:val="left"/>
      <w:pPr>
        <w:ind w:left="2880" w:hanging="360"/>
      </w:pPr>
    </w:lvl>
    <w:lvl w:ilvl="4" w:tplc="1F04212A">
      <w:start w:val="1"/>
      <w:numFmt w:val="bullet"/>
      <w:lvlText w:val="○"/>
      <w:lvlJc w:val="left"/>
      <w:pPr>
        <w:ind w:left="3600" w:hanging="360"/>
      </w:pPr>
    </w:lvl>
    <w:lvl w:ilvl="5" w:tplc="C26053EA">
      <w:start w:val="1"/>
      <w:numFmt w:val="bullet"/>
      <w:lvlText w:val="■"/>
      <w:lvlJc w:val="left"/>
      <w:pPr>
        <w:ind w:left="4320" w:hanging="360"/>
      </w:pPr>
    </w:lvl>
    <w:lvl w:ilvl="6" w:tplc="C5502820">
      <w:start w:val="1"/>
      <w:numFmt w:val="bullet"/>
      <w:lvlText w:val="●"/>
      <w:lvlJc w:val="left"/>
      <w:pPr>
        <w:ind w:left="5040" w:hanging="360"/>
      </w:pPr>
    </w:lvl>
    <w:lvl w:ilvl="7" w:tplc="DA9C4050">
      <w:start w:val="1"/>
      <w:numFmt w:val="bullet"/>
      <w:lvlText w:val="●"/>
      <w:lvlJc w:val="left"/>
      <w:pPr>
        <w:ind w:left="5760" w:hanging="360"/>
      </w:pPr>
    </w:lvl>
    <w:lvl w:ilvl="8" w:tplc="A86A9A4A">
      <w:start w:val="1"/>
      <w:numFmt w:val="bullet"/>
      <w:lvlText w:val="●"/>
      <w:lvlJc w:val="left"/>
      <w:pPr>
        <w:ind w:left="6480" w:hanging="360"/>
      </w:pPr>
    </w:lvl>
  </w:abstractNum>
  <w:num w:numId="1" w16cid:durableId="1272518419">
    <w:abstractNumId w:val="1"/>
    <w:lvlOverride w:ilvl="0">
      <w:startOverride w:val="1"/>
    </w:lvlOverride>
  </w:num>
  <w:num w:numId="2" w16cid:durableId="12012119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69E"/>
    <w:rsid w:val="004628C5"/>
    <w:rsid w:val="0052169E"/>
    <w:rsid w:val="00551F4C"/>
    <w:rsid w:val="00E4524B"/>
    <w:rsid w:val="00E952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897C9"/>
  <w15:docId w15:val="{8EDB3999-88B8-4B71-91A9-BCF335655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80" w:after="120"/>
      <w:outlineLvl w:val="1"/>
    </w:pPr>
    <w:rPr>
      <w:b/>
      <w:bCs/>
      <w:color w:val="1F386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551F4C"/>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551F4C"/>
    <w:pPr>
      <w:spacing w:after="100"/>
    </w:pPr>
  </w:style>
  <w:style w:type="paragraph" w:styleId="TOC2">
    <w:name w:val="toc 2"/>
    <w:basedOn w:val="Normal"/>
    <w:next w:val="Normal"/>
    <w:autoRedefine/>
    <w:uiPriority w:val="39"/>
    <w:unhideWhenUsed/>
    <w:rsid w:val="00551F4C"/>
    <w:pPr>
      <w:spacing w:after="100"/>
      <w:ind w:left="220"/>
    </w:pPr>
  </w:style>
  <w:style w:type="character" w:styleId="UnresolvedMention">
    <w:name w:val="Unresolved Mention"/>
    <w:basedOn w:val="DefaultParagraphFont"/>
    <w:uiPriority w:val="99"/>
    <w:semiHidden/>
    <w:unhideWhenUsed/>
    <w:rsid w:val="00E952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rn.microsoft.com/en-us/dax/dax-function-reference" TargetMode="External"/><Relationship Id="rId5" Type="http://schemas.openxmlformats.org/officeDocument/2006/relationships/webSettings" Target="webSettings.xml"/><Relationship Id="rId10" Type="http://schemas.openxmlformats.org/officeDocument/2006/relationships/hyperlink" Target="https://learn.microsoft.com/en-us/power-bi/" TargetMode="External"/><Relationship Id="rId4" Type="http://schemas.openxmlformats.org/officeDocument/2006/relationships/settings" Target="settings.xml"/><Relationship Id="rId9" Type="http://schemas.openxmlformats.org/officeDocument/2006/relationships/hyperlink" Target="https://www.kaggle.com/datasets/vivek468/superstore-dataset-fina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B00030-21EC-42F7-9FB3-3C3905A1C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13</Pages>
  <Words>4132</Words>
  <Characters>23557</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Fotios Fotakis</cp:lastModifiedBy>
  <cp:revision>2</cp:revision>
  <dcterms:created xsi:type="dcterms:W3CDTF">2026-03-21T10:37:00Z</dcterms:created>
  <dcterms:modified xsi:type="dcterms:W3CDTF">2026-03-21T10:56:00Z</dcterms:modified>
</cp:coreProperties>
</file>