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urier New" w:cs="Courier New" w:eastAsia="Courier New" w:hAnsi="Courier New"/>
          <w:b w:val="1"/>
          <w:sz w:val="46"/>
          <w:szCs w:val="46"/>
        </w:rPr>
      </w:pPr>
      <w:bookmarkStart w:colFirst="0" w:colLast="0" w:name="_yjbfr4sd8gop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sz w:val="46"/>
          <w:szCs w:val="46"/>
          <w:rtl w:val="0"/>
        </w:rPr>
        <w:t xml:space="preserve">🧭 Metro Deep Dive — ACS Ingest &amp; Silver Layer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This folder contains all scripts, functions, and documentation for the ingestion and transformation of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U.S. Census American Community Survey (ACS) 5-Year Estimates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into standardized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Silver layer tables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  <w:br w:type="textWrapping"/>
        <w:t xml:space="preserve"> The ACS provides the demographic, economic, housing, and social backbone of the Metro Deep Dive project.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hn9rkp6oftsp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📂 Repository Structure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2.022233986237"/>
        <w:gridCol w:w="5177.977766013764"/>
        <w:tblGridChange w:id="0">
          <w:tblGrid>
            <w:gridCol w:w="4182.022233986237"/>
            <w:gridCol w:w="5177.9777660137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scripts/ingest_acs.R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Generic ACS ingestion function and per-topic pulls from the Census API (via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tidycensus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scripts/model_acs_to_silver.R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Silver layer modeling script — reads staging data, cleans, reshapes, and computes KPI buckets.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data/bronze/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Raw downloaded ACS CSV/XLSX files (optional if using API).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data/silver/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Standardized Silver tables output to DuckDB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silver.*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scripts/utils.R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Shared helper functions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standardize_acs_df()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file paths, logging).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data/duckdb/metro_deep_dive.duckdb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Primary analytical database (Bronze → Silver → Gold).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4zl3i6f7pffh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⚙️ Script Overview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21ey1eiqmjev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ingest_acs.R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Purpose: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download ACS data programmatically for multiple years and geographies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standardize variable naming, and write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schema in DuckDB.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Key functions: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get_acs_multi_year(geography, vars, state = NULL, years = 2012:2023)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Wraps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tidycensus::get_acs()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Loops across years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Returns a tidy, wide-format dataset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column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parameter for tract-level pulls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Supports multiple states simultaneously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All outputs are written as: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staging.acs_{theme}_{geo}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{theme}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demographic area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race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  <w:br w:type="textWrapping"/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{geo}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geographic level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tract_nc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p8sz80xbzipj" w:id="4"/>
      <w:bookmarkEnd w:id="4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model_acs_to_silver.R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Purpose: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transform staging ACS data into standardized Silver KPIs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Each theme follows a six-step structure: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1. Setup environment and DB connection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2. Read staging tables (by geo)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3. Standardize columns, drop MOEs, add geo_level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4. Union all geographies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5. Compute KPI buckets (per theme)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6. Write Silver base and KPI tables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Standardized helper: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standardize_acs_df(df, geo_level, drop_e = TRUE)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Renames GEOID/NAME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geo_id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geo_name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geo_level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Drops all MOE columns and trailing “E” suffixes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Ensures consistent column order before union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All Silver tables are written as: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silver.{theme}_base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silver.{theme}_kpi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dr6ary8ubi16" w:id="5"/>
      <w:bookmarkEnd w:id="5"/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🧱 Silver Layer Architecture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Schema: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Core Columns (all themes):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geo_level, geo_id, geo_name, year, [metrics...]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Each Silver table is wide (one row per geography-year)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_base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table (raw estimates) and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_kpi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table (derived metrics)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Consistent design → simplifies Gold layer joins</w:t>
        <w:br w:type="textWrapping"/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38iz1ylc4kkp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📊 Themes &amp; KPIs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Below are the standardized ACS themes, source tables, and key Silver KPIs.</w:t>
        <w:br w:type="textWrapping"/>
        <w:t xml:space="preserve"> All cover 2012–2023 unless otherwise noted.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gtljs5a55zlz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🧑‍🤝‍🧑 Demographics &amp; Age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B01001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KPIs: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pop_total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Age group counts (under 18, 18–64, 65+)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youth_dependency_ratio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old_age_dependency_ratio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aging_index</w:t>
        <w:br w:type="textWrapping"/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zhnhut9wmobw" w:id="8"/>
      <w:bookmarkEnd w:id="8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🌎 Race &amp; Ethnicity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B03002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KPIs: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White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Black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Hispanic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Asian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Other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diversity_index = 1 - Σ(pᵢ²)</w:t>
        <w:br w:type="textWrapping"/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y3gmbwts8i4p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🎓 Education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B15003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KPIs: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&lt; High School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HS / GED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Some College / Associate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Bachelor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Graduate+</w:t>
        <w:br w:type="textWrapping"/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hd5w3pqgg704" w:id="10"/>
      <w:bookmarkEnd w:id="10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💵 Income &amp; Poverty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B19013, B17001, B19083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KPIs: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median_hh_income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poverty_rate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gini_income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5- and 10-year income growth (Gold)</w:t>
        <w:br w:type="textWrapping"/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tkzfmnsw5nqs" w:id="11"/>
      <w:bookmarkEnd w:id="11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🏗️ Labor, Industry &amp; Occupation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B23025, C24010, C24030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KPIs: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lfpr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unemp_rate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emp_pop_ratio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Professional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Service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Construction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Production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Education/Health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Finance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Manufacturing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industry_diversity = 1 - Σ(pct_ind_*²)</w:t>
        <w:br w:type="textWrapping"/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t9iqibaxqbi3" w:id="12"/>
      <w:bookmarkEnd w:id="12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🏠 Housing &amp; Structure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B25001–B25077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KPIs: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vacancy_rate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owner_occ_rate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median_home_value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median_rent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rent_burden_30plus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rent_to_income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value_to_income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(Gold)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structure_type_share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(1–unit, 2–4, 5+ units)</w:t>
        <w:br w:type="textWrapping"/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bu9154xudwed" w:id="13"/>
      <w:bookmarkEnd w:id="13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🚚 Migration &amp; Nativity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B07003, B05002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KPIs: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same_house_last_year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moved_within_state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moved_out_state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foreign_born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mobility_rate = 1 - same_house</w:t>
        <w:br w:type="textWrapping"/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7ot5xpjgy7r7" w:id="14"/>
      <w:bookmarkEnd w:id="14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🚗 Transportation &amp; Accessibility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B08301, B08201, B08013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KPIs: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drive_alone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carpool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transit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WFH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households_no_vehicle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mean_travel_time</w:t>
        <w:br w:type="textWrapping"/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i w:val="1"/>
          <w:color w:val="000000"/>
          <w:sz w:val="26"/>
          <w:szCs w:val="26"/>
        </w:rPr>
      </w:pPr>
      <w:bookmarkStart w:colFirst="0" w:colLast="0" w:name="_9vhqgqeft3ua" w:id="15"/>
      <w:bookmarkEnd w:id="15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🧑‍💻 Social &amp; Digital Infrastructure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00"/>
          <w:sz w:val="26"/>
          <w:szCs w:val="26"/>
          <w:rtl w:val="0"/>
        </w:rPr>
        <w:t xml:space="preserve">(2015–2023 only)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B11001, B28002, B27010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KPIs: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family_households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single_households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broadband_access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health_insured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digital_inclusion_index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(Gold candidate)</w:t>
        <w:br w:type="textWrapping"/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84uix5x7xr17" w:id="16"/>
      <w:bookmarkEnd w:id="16"/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🧩 Metadata &amp; Documentation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Two supporting tables describe the Silver layer: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4.7114875595553"/>
        <w:gridCol w:w="6575.288512440446"/>
        <w:tblGridChange w:id="0">
          <w:tblGrid>
            <w:gridCol w:w="2784.7114875595553"/>
            <w:gridCol w:w="6575.28851244044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silver.metadata_topics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One row per Silver table — counts, coverage, year range, geos.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silver.metadata_vars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One row per column per Silver table — name, type, description.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silver.kpi_dictionary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KPI name, business definition, formula notes, and source ACS table.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These tables power documentation and ensure full lineage from variable → KPI → Gold metric.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6dv621xgzv2n" w:id="17"/>
      <w:bookmarkEnd w:id="17"/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🧠 Future Gold KPIs (ACS-based)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These are derived metrics planned for the Gold layer, combining multiple Silver themes: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1.560062402496"/>
        <w:gridCol w:w="4400.1248049922"/>
        <w:gridCol w:w="2998.315132605304"/>
        <w:tblGridChange w:id="0">
          <w:tblGrid>
            <w:gridCol w:w="1961.560062402496"/>
            <w:gridCol w:w="4400.1248049922"/>
            <w:gridCol w:w="2998.3151326053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Population Dynamics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pop_growth_5yr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Δ population / prior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migration_rate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% moved / total pop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Affordability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rent_to_income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value_to_income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median_rent * 12 / income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Labor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lfpr_change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unemp_rate_change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Δ year-over-year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share_ba_plus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% BA + Grad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gini_income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poverty_rate_change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inequality tracking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Diversity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diversity_index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sine" w:cs="Cousine" w:eastAsia="Cousine" w:hAnsi="Cousine"/>
                <w:rtl w:val="0"/>
              </w:rPr>
              <w:t xml:space="preserve">1 - Σ(pᵢ²)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pct_wfh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pct_hh_no_vehicle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accessibility indicators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Composite 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affordability_index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mobility_index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overheating_score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cross-domain indices for investment ranking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llmrpyfyy1jw" w:id="18"/>
      <w:bookmarkEnd w:id="18"/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🗂️ Example Output Schema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silver.housing_kpi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9.375"/>
        <w:gridCol w:w="1218.75"/>
        <w:gridCol w:w="5971.875"/>
        <w:tblGridChange w:id="0">
          <w:tblGrid>
            <w:gridCol w:w="2169.375"/>
            <w:gridCol w:w="1218.75"/>
            <w:gridCol w:w="5971.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geo_level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Geographic level (US, region, division, state, county, place, zcta, tract)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geo_id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FIPS or GEOID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geo_name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Name of area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ACS 5-year vintage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hu_total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Total housing units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occ_occupied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Occupied units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occ_vacant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Vacant units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owner_occ_rate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Share of occupied units that are owner-occupied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median_home_value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Median owner-occupied home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rent_burden_30plus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% of renters paying &gt;30% income on rent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1v62k761kzku" w:id="19"/>
      <w:bookmarkEnd w:id="19"/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🧩 Key Design Notes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Wide format in Silver: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simplifies KPI computation and joins; Gold will pivot long.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Consistent column order: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ensures reliable binding across geographies.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Versioned DuckDB storage: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all ACS vintages (2012–2023) preserved.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Staging schema mirrors Census variables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for easy re-ingestion.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Metadata tables auto-generated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to keep documentation current.</w:t>
        <w:br w:type="textWrapping"/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iyozli3w2z2s" w:id="20"/>
      <w:bookmarkEnd w:id="20"/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🚀 Next Steps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Finalize crosswalk documentation (County↔CBSA, ZCTA↔County/CBSA, Tract↔County).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Begin Gold ACS builders (Population Growth, Affordability, Mobility).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Integrate BLS, BEA, and HUD data into the Gold schema.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Develop Shiny dashboards for ACS exploration and Gold KPI comparison.</w:t>
        <w:br w:type="textWrapping"/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Cousine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Cousine-boldItalic.ttf"/><Relationship Id="rId5" Type="http://schemas.openxmlformats.org/officeDocument/2006/relationships/font" Target="fonts/FiraMono-bold.ttf"/><Relationship Id="rId6" Type="http://schemas.openxmlformats.org/officeDocument/2006/relationships/font" Target="fonts/Cousine-regular.ttf"/><Relationship Id="rId7" Type="http://schemas.openxmlformats.org/officeDocument/2006/relationships/font" Target="fonts/Cousine-bold.ttf"/><Relationship Id="rId8" Type="http://schemas.openxmlformats.org/officeDocument/2006/relationships/font" Target="fonts/Cousin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