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Olga Moranchel Sánchez</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IMO1105231Q5</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 AR431/2021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4700001633</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ODSO000253</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SERV-CUE-051/02-2022</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para instalación de alumbrado nuevo en área Steelastic #6.</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2-4</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28/04/2022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28/04/2022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21993.4</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21993.4</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VEINTIUN MIL NOVECIENTOS NOVENTA Y TRES PESOS 40/100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4700001633</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SERV-CUE-051/02-2022</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ODSO000253</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4700001633</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SERV-CUE-051/02-2022</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ODSO000253</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Olga Moranchel Sánchez</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gerencia@innovacionmonroy.com.mx</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