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NEUMÁTICOS DE MONTERREY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Jonhattan Daniel Herrera Vazquez </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PRO160707R43 </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Monterrey</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AR62838/2021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5000185450</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ODSO000258</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 SERV-MTY-035/01-2022</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Mantenimiento de carros “SU” Incluye: llantas nuevas, pintura, nivelación, reparación o instalación de topes, colocación de freno de seguridad en caso de requerir.</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5</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09/05/2022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23/05/2022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38000</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38000</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TREINTA Y OCHO MIL PESOS 00/100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5000185450</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 SERV-MTY-035/01-2022</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ODSO000258</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5000185450</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 SERV-MTY-035/01-2022</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ODSO000258</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NEUMÁTICOS DE MONTERREY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OMAR DÍAZ SOLANO</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diazomar@bfusa.com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Jonhattan Daniel Herrera Vazquez </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jherrera@proadinsa.com </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EDGAR ERNESTO HERRERA HERNÁNDEZ</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herreraedgar@bfusa.com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