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Arturo Salgado Avila</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CME091031BI3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AR3949/2021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4400110451</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ODSO000264</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SERV-CUE-013/12-2021</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Servicio de fabricación de letreros, suministro de mano de obra y servicio de Instalación de letreros.</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2</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02/05/2022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06/05/2022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11500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11500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ONCE MIL QUINIENTOS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4400110451</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SERV-CUE-013/12-2021</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ODSO000264</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4400110451</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SERV-CUE-013/12-2021</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ODSO000264</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Arturo Salgado Avila</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mersa2009@live.com.mx</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