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dave-bettner"/>
    <w:p>
      <w:pPr>
        <w:pStyle w:val="Heading1"/>
      </w:pPr>
      <w:r>
        <w:t xml:space="preserve">Dave Bettner</w:t>
      </w:r>
    </w:p>
    <w:p>
      <w:pPr>
        <w:pStyle w:val="FirstParagraph"/>
      </w:pPr>
      <w:r>
        <w:t xml:space="preserve">Product Design &amp; Engineering</w:t>
      </w:r>
    </w:p>
    <w:p>
      <w:pPr>
        <w:pStyle w:val="BodyText"/>
      </w:pPr>
      <w:r>
        <w:t xml:space="preserve">Des Moines, Iowa · Open to relocation · dbett4@gmail.com · 815.440.1756</w:t>
      </w:r>
      <w:r>
        <w:br/>
      </w:r>
      <w:hyperlink r:id="rId20">
        <w:r>
          <w:rPr>
            <w:rStyle w:val="Hyperlink"/>
          </w:rPr>
          <w:t xml:space="preserve">davebettner.com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I design and build Passal’s study experience and Leasekite’s vehicle comparison and lease-request workflows, working through AI coding tools. My product decisions draw on 10+ years in financial-reporting software and customer delivery.</w:t>
      </w:r>
    </w:p>
    <w:bookmarkStart w:id="32" w:name="selected-product-technical-work"/>
    <w:p>
      <w:pPr>
        <w:pStyle w:val="Heading2"/>
      </w:pPr>
      <w:r>
        <w:t xml:space="preserve">Selected Product &amp; Technical Work</w:t>
      </w:r>
    </w:p>
    <w:bookmarkStart w:id="24" w:name="passal-study-product"/>
    <w:p>
      <w:pPr>
        <w:pStyle w:val="Heading3"/>
      </w:pPr>
      <w:hyperlink r:id="rId23">
        <w:r>
          <w:rPr>
            <w:rStyle w:val="Hyperlink"/>
          </w:rPr>
          <w:t xml:space="preserve">Passal</w:t>
        </w:r>
      </w:hyperlink>
      <w:r>
        <w:t xml:space="preserve"> </w:t>
      </w:r>
      <w:r>
        <w:t xml:space="preserve">— Study product</w:t>
      </w:r>
    </w:p>
    <w:p>
      <w:pPr>
        <w:numPr>
          <w:ilvl w:val="0"/>
          <w:numId w:val="1001"/>
        </w:numPr>
        <w:pStyle w:val="Compact"/>
      </w:pPr>
      <w:r>
        <w:t xml:space="preserve">Own product direction, interface design, and implementation through AI coding tools for a study app that helps students choose what to study next, with practice tied to lecture sources.</w:t>
      </w:r>
    </w:p>
    <w:p>
      <w:pPr>
        <w:numPr>
          <w:ilvl w:val="0"/>
          <w:numId w:val="1001"/>
        </w:numPr>
        <w:pStyle w:val="Compact"/>
      </w:pPr>
      <w:r>
        <w:t xml:space="preserve">Project stack: React, Next.js, TypeScript, and SQLite.</w:t>
      </w:r>
    </w:p>
    <w:bookmarkEnd w:id="24"/>
    <w:bookmarkStart w:id="25" w:name="leasekite-product-in-development"/>
    <w:p>
      <w:pPr>
        <w:pStyle w:val="Heading3"/>
      </w:pPr>
      <w:r>
        <w:t xml:space="preserve">Leasekite — Product in development</w:t>
      </w:r>
    </w:p>
    <w:p>
      <w:pPr>
        <w:numPr>
          <w:ilvl w:val="0"/>
          <w:numId w:val="1002"/>
        </w:numPr>
        <w:pStyle w:val="Compact"/>
      </w:pPr>
      <w:r>
        <w:t xml:space="preserve">Own product direction, interface design, and implementation through AI coding tools for vehicle comparison and lease-request workflows.</w:t>
      </w:r>
    </w:p>
    <w:p>
      <w:pPr>
        <w:numPr>
          <w:ilvl w:val="0"/>
          <w:numId w:val="1002"/>
        </w:numPr>
        <w:pStyle w:val="Compact"/>
      </w:pPr>
      <w:r>
        <w:t xml:space="preserve">Keep requests as drafts for review and negotiation decisions with the user.</w:t>
      </w:r>
    </w:p>
    <w:p>
      <w:pPr>
        <w:numPr>
          <w:ilvl w:val="0"/>
          <w:numId w:val="1002"/>
        </w:numPr>
        <w:pStyle w:val="Compact"/>
      </w:pPr>
      <w:r>
        <w:t xml:space="preserve">Project stack: HTML, CSS, JavaScript, and Python/SQLite supporting services. In development; private preview.</w:t>
      </w:r>
    </w:p>
    <w:bookmarkEnd w:id="25"/>
    <w:bookmarkStart w:id="27" w:name="X023ebf9608ffcb79592b20d26066519b52a53a7"/>
    <w:p>
      <w:pPr>
        <w:pStyle w:val="Heading3"/>
      </w:pPr>
      <w:hyperlink r:id="rId26">
        <w:r>
          <w:rPr>
            <w:rStyle w:val="Hyperlink"/>
          </w:rPr>
          <w:t xml:space="preserve">Accounting Acceptance Lab</w:t>
        </w:r>
      </w:hyperlink>
      <w:r>
        <w:t xml:space="preserve"> </w:t>
      </w:r>
      <w:r>
        <w:t xml:space="preserve">— Synthetic evaluation</w:t>
      </w:r>
    </w:p>
    <w:p>
      <w:pPr>
        <w:numPr>
          <w:ilvl w:val="0"/>
          <w:numId w:val="1003"/>
        </w:numPr>
        <w:pStyle w:val="Compact"/>
      </w:pPr>
      <w:r>
        <w:t xml:space="preserve">Built a Python/SQLite lab that tests accounting agents on synthetic reconciliation cases, including supporting evidence, approval before changes, and recovery from failed writes.</w:t>
      </w:r>
    </w:p>
    <w:bookmarkEnd w:id="27"/>
    <w:bookmarkStart w:id="29" w:name="X55a4a08b4bcdaa02459ee593ff6849dd07daa8d"/>
    <w:p>
      <w:pPr>
        <w:pStyle w:val="Heading3"/>
      </w:pPr>
      <w:hyperlink r:id="rId28">
        <w:r>
          <w:rPr>
            <w:rStyle w:val="Hyperlink"/>
          </w:rPr>
          <w:t xml:space="preserve">Regulated Reporting MCP</w:t>
        </w:r>
      </w:hyperlink>
      <w:r>
        <w:t xml:space="preserve"> </w:t>
      </w:r>
      <w:r>
        <w:t xml:space="preserve">— Mock-data integration demo</w:t>
      </w:r>
    </w:p>
    <w:p>
      <w:pPr>
        <w:numPr>
          <w:ilvl w:val="0"/>
          <w:numId w:val="1004"/>
        </w:numPr>
        <w:pStyle w:val="Compact"/>
      </w:pPr>
      <w:r>
        <w:t xml:space="preserve">Built an MCP server for AI access to reporting APIs through OAuth, with caller confirmation and verification according to each tool’s contract. Public demo uses mock data.</w:t>
      </w:r>
    </w:p>
    <w:bookmarkEnd w:id="29"/>
    <w:bookmarkStart w:id="31" w:name="lockfield-workiva-consulting-practice"/>
    <w:p>
      <w:pPr>
        <w:pStyle w:val="Heading3"/>
      </w:pPr>
      <w:hyperlink r:id="rId30">
        <w:r>
          <w:rPr>
            <w:rStyle w:val="Hyperlink"/>
          </w:rPr>
          <w:t xml:space="preserve">Lockfield</w:t>
        </w:r>
      </w:hyperlink>
      <w:r>
        <w:t xml:space="preserve"> </w:t>
      </w:r>
      <w:r>
        <w:t xml:space="preserve">— Workiva consulting practice</w:t>
      </w:r>
    </w:p>
    <w:p>
      <w:pPr>
        <w:numPr>
          <w:ilvl w:val="0"/>
          <w:numId w:val="1005"/>
        </w:numPr>
        <w:pStyle w:val="Compact"/>
      </w:pPr>
      <w:r>
        <w:t xml:space="preserve">Shaped the positioning, website, and reporting resources around training and client ownership.</w:t>
      </w:r>
    </w:p>
    <w:bookmarkEnd w:id="31"/>
    <w:bookmarkEnd w:id="32"/>
    <w:bookmarkStart w:id="33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React, Next.js, TypeScript, HTML/CSS/JavaScript, Python, SQL/SQLite, REST APIs, OAuth/SSO, MCP, Docker Compose, and GitHub Actions. Development uses AI coding tools throughout.</w:t>
      </w:r>
    </w:p>
    <w:bookmarkEnd w:id="33"/>
    <w:bookmarkStart w:id="3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Iowa State University</w:t>
      </w:r>
      <w:r>
        <w:t xml:space="preserve"> </w:t>
      </w:r>
      <w:r>
        <w:t xml:space="preserve">— Master of Accounting, 2017 · B.S. Accounting, 2016</w:t>
      </w:r>
    </w:p>
    <w:p>
      <w:pPr>
        <w:pageBreakBefore/>
      </w:pPr>
    </w:p>
    <w:bookmarkEnd w:id="34"/>
    <w:bookmarkStart w:id="40" w:name="experience"/>
    <w:p>
      <w:pPr>
        <w:pStyle w:val="Heading2"/>
      </w:pPr>
      <w:r>
        <w:t xml:space="preserve">Experience</w:t>
      </w:r>
    </w:p>
    <w:bookmarkStart w:id="35" w:name="lsl-llp-senior-manager"/>
    <w:p>
      <w:pPr>
        <w:pStyle w:val="Heading3"/>
      </w:pPr>
      <w:r>
        <w:t xml:space="preserve">LSL, LLP — Senior Manager</w:t>
      </w:r>
    </w:p>
    <w:p>
      <w:pPr>
        <w:pStyle w:val="FirstParagraph"/>
      </w:pPr>
      <w:r>
        <w:t xml:space="preserve">Nov 2025–Present</w:t>
      </w:r>
    </w:p>
    <w:p>
      <w:pPr>
        <w:numPr>
          <w:ilvl w:val="0"/>
          <w:numId w:val="1006"/>
        </w:numPr>
        <w:pStyle w:val="Compact"/>
      </w:pPr>
      <w:r>
        <w:t xml:space="preserve">Lead Workiva delivery for city and county finance teams, mapping source-ledger data into financial reports and budget books and running user sessions and testing through client sign-off.</w:t>
      </w:r>
    </w:p>
    <w:p>
      <w:pPr>
        <w:numPr>
          <w:ilvl w:val="0"/>
          <w:numId w:val="1006"/>
        </w:numPr>
        <w:pStyle w:val="Compact"/>
      </w:pPr>
      <w:r>
        <w:t xml:space="preserve">Scope consulting engagements, prepare estimates and statements of work, respond to RFPs, and demonstrate proposed solutions to customers.</w:t>
      </w:r>
    </w:p>
    <w:p>
      <w:pPr>
        <w:numPr>
          <w:ilvl w:val="0"/>
          <w:numId w:val="1006"/>
        </w:numPr>
        <w:pStyle w:val="Compact"/>
      </w:pPr>
      <w:r>
        <w:t xml:space="preserve">Reset implementation expectations around client ownership: our team would enable the client team and help them become comfortable doing the work themselves.</w:t>
      </w:r>
    </w:p>
    <w:p>
      <w:pPr>
        <w:numPr>
          <w:ilvl w:val="0"/>
          <w:numId w:val="1006"/>
        </w:numPr>
        <w:pStyle w:val="Compact"/>
      </w:pPr>
      <w:r>
        <w:t xml:space="preserve">Develop Python tools that generate Workiva data links, formulas, and validation checks from client ledgers, reused across financial-reporting and budgeting engagements.</w:t>
      </w:r>
    </w:p>
    <w:p>
      <w:pPr>
        <w:numPr>
          <w:ilvl w:val="0"/>
          <w:numId w:val="1006"/>
        </w:numPr>
        <w:pStyle w:val="Compact"/>
      </w:pPr>
      <w:r>
        <w:t xml:space="preserve">Build AI-assisted workflows that compare reports with source records and flag accounting discrepancies for review, with human review before client changes.</w:t>
      </w:r>
    </w:p>
    <w:bookmarkEnd w:id="35"/>
    <w:bookmarkStart w:id="36" w:name="X2788b6bbaadc881c547b04acf52e15d9c15e896"/>
    <w:p>
      <w:pPr>
        <w:pStyle w:val="Heading3"/>
      </w:pPr>
      <w:r>
        <w:t xml:space="preserve">Citrin Cooperman — Manager of Digital Services, Workiva</w:t>
      </w:r>
    </w:p>
    <w:p>
      <w:pPr>
        <w:pStyle w:val="FirstParagraph"/>
      </w:pPr>
      <w:r>
        <w:t xml:space="preserve">Dec 2024–Oct 2025</w:t>
      </w:r>
    </w:p>
    <w:p>
      <w:pPr>
        <w:numPr>
          <w:ilvl w:val="0"/>
          <w:numId w:val="1007"/>
        </w:numPr>
        <w:pStyle w:val="Compact"/>
      </w:pPr>
      <w:r>
        <w:t xml:space="preserve">Managed a five-person Workiva implementation team. Coached consultants, resolved customer escalations, and led testing and training through go-live.</w:t>
      </w:r>
    </w:p>
    <w:p>
      <w:pPr>
        <w:numPr>
          <w:ilvl w:val="0"/>
          <w:numId w:val="1007"/>
        </w:numPr>
        <w:pStyle w:val="Compact"/>
      </w:pPr>
      <w:r>
        <w:t xml:space="preserve">Led a data-collection and reporting implementation with bidirectional API integration to the customer’s system of record, SSO, and an audit trail. Led user acceptance testing through go-live and executive sign-off.</w:t>
      </w:r>
    </w:p>
    <w:bookmarkEnd w:id="36"/>
    <w:bookmarkStart w:id="37" w:name="workiva-solutions-architect"/>
    <w:p>
      <w:pPr>
        <w:pStyle w:val="Heading3"/>
      </w:pPr>
      <w:r>
        <w:t xml:space="preserve">Workiva — Solutions Architect</w:t>
      </w:r>
    </w:p>
    <w:p>
      <w:pPr>
        <w:pStyle w:val="FirstParagraph"/>
      </w:pPr>
      <w:r>
        <w:t xml:space="preserve">Oct 2022–Oct 2024</w:t>
      </w:r>
    </w:p>
    <w:p>
      <w:pPr>
        <w:numPr>
          <w:ilvl w:val="0"/>
          <w:numId w:val="1008"/>
        </w:numPr>
        <w:pStyle w:val="Compact"/>
      </w:pPr>
      <w:r>
        <w:t xml:space="preserve">Led 6–12 concurrent financial-reporting and governance, risk, and compliance implementations from customer onboarding through production use.</w:t>
      </w:r>
    </w:p>
    <w:p>
      <w:pPr>
        <w:numPr>
          <w:ilvl w:val="0"/>
          <w:numId w:val="1008"/>
        </w:numPr>
        <w:pStyle w:val="Compact"/>
      </w:pPr>
      <w:r>
        <w:t xml:space="preserve">Ran requirements workshops and translated reporting, data, and access needs into implementation designs and test plans, including API, SSO, and ERP integration requirements.</w:t>
      </w:r>
    </w:p>
    <w:p>
      <w:pPr>
        <w:numPr>
          <w:ilvl w:val="0"/>
          <w:numId w:val="1008"/>
        </w:numPr>
        <w:pStyle w:val="Compact"/>
      </w:pPr>
      <w:r>
        <w:t xml:space="preserve">Worked with Sales and Customer Success on technical evaluations and delivery handoffs. Brought recurring customer issues to Product and Engineering and developed repeatable delivery guidance.</w:t>
      </w:r>
    </w:p>
    <w:bookmarkEnd w:id="37"/>
    <w:bookmarkStart w:id="38" w:name="ambra-health-solutions-consultant"/>
    <w:p>
      <w:pPr>
        <w:pStyle w:val="Heading3"/>
      </w:pPr>
      <w:r>
        <w:t xml:space="preserve">Ambra Health — Solutions Consultant</w:t>
      </w:r>
    </w:p>
    <w:p>
      <w:pPr>
        <w:pStyle w:val="FirstParagraph"/>
      </w:pPr>
      <w:r>
        <w:t xml:space="preserve">Sep 2021–Oct 2022</w:t>
      </w:r>
    </w:p>
    <w:p>
      <w:pPr>
        <w:numPr>
          <w:ilvl w:val="0"/>
          <w:numId w:val="1009"/>
        </w:numPr>
        <w:pStyle w:val="Compact"/>
      </w:pPr>
      <w:r>
        <w:t xml:space="preserve">Implemented medical-imaging and EHR workflows in HIPAA-controlled environments. Worked with customer IT teams to resolve API, SFTP, webhook, and access issues through go-live.</w:t>
      </w:r>
    </w:p>
    <w:bookmarkEnd w:id="38"/>
    <w:bookmarkStart w:id="39" w:name="workiva-sec-reporting-consultant"/>
    <w:p>
      <w:pPr>
        <w:pStyle w:val="Heading3"/>
      </w:pPr>
      <w:r>
        <w:t xml:space="preserve">Workiva — SEC Reporting Consultant</w:t>
      </w:r>
    </w:p>
    <w:p>
      <w:pPr>
        <w:pStyle w:val="FirstParagraph"/>
      </w:pPr>
      <w:r>
        <w:t xml:space="preserve">Sep 2015–Sep 2021</w:t>
      </w:r>
    </w:p>
    <w:p>
      <w:pPr>
        <w:numPr>
          <w:ilvl w:val="0"/>
          <w:numId w:val="1010"/>
        </w:numPr>
        <w:pStyle w:val="Compact"/>
      </w:pPr>
      <w:r>
        <w:t xml:space="preserve">Delivered SEC reporting and XBRL services for 20+ public-company customers each quarter. Managed review cycles, resolved reporting issues, and helped customers meet filing deadlines.</w:t>
      </w:r>
    </w:p>
    <w:bookmarkEnd w:id="39"/>
    <w:bookmarkEnd w:id="40"/>
    <w:bookmarkEnd w:id="41"/>
    <w:sectPr>
      <w:pgSz w:h="15840" w:w="12240"/>
      <w:pgMar w:bottom="820" w:footer="0" w:gutter="0" w:header="0" w:left="864" w:right="864" w:top="8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nrope" w:asciiTheme="minorHAnsi" w:cs="Manrope" w:cstheme="minorBidi" w:eastAsiaTheme="minorHAnsi" w:hAnsi="Manrope" w:hAnsiTheme="minorHAnsi"/>
        <w:sz w:val="21"/>
        <w:szCs w:val="24"/>
        <w:lang w:bidi="ar-SA" w:eastAsia="en-US" w:val="en-US"/>
        <w:color w:val="202020"/>
      </w:rPr>
    </w:rPrDefault>
    <w:pPrDefault>
      <w:pPr>
        <w:spacing w:after="80" w:before="0" w:line="265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nrope" w:cs="Manrope" w:hAnsi="Manrope"/>
      <w:sz w:val="21"/>
    </w:rPr>
    <w:pPr>
      <w:spacing w:after="75" w:before="0" w:line="265" w:lineRule="auto"/>
    </w:pPr>
  </w:style>
  <w:style w:styleId="BodyText" w:type="paragraph">
    <w:name w:val="Body Text"/>
    <w:basedOn w:val="Normal"/>
    <w:link w:val="BodyTextChar"/>
    <w:pPr>
      <w:spacing w:after="75" w:before="0" w:line="265" w:lineRule="auto"/>
    </w:pPr>
    <w:qFormat/>
    <w:rPr>
      <w:rFonts w:ascii="Manrope" w:cs="Manrope" w:hAnsi="Manrope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Manrope" w:cs="Manrope" w:hAnsi="Manrope"/>
      <w:sz w:val="21"/>
    </w:rPr>
    <w:pPr>
      <w:spacing w:after="75" w:before="0" w:line="265" w:lineRule="auto"/>
    </w:pPr>
  </w:style>
  <w:style w:customStyle="1" w:styleId="Compact" w:type="paragraph">
    <w:name w:val="Compact"/>
    <w:basedOn w:val="BodyText"/>
    <w:qFormat/>
    <w:pPr>
      <w:spacing w:after="75" w:before="0" w:line="265" w:lineRule="auto"/>
    </w:pPr>
    <w:rPr>
      <w:rFonts w:ascii="Manrope" w:cs="Manrope" w:hAnsi="Manrope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70" w:before="0"/>
      <w:outlineLvl w:val="0"/>
    </w:pPr>
    <w:rPr>
      <w:rFonts w:ascii="Manrope" w:cstheme="majorBidi" w:hAnsi="Manrope"/>
      <w:b/>
      <w:bCs/>
      <w:color w:themeColor="accent1" w:val="181818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70" w:before="200"/>
      <w:outlineLvl w:val="1"/>
    </w:pPr>
    <w:rPr>
      <w:rFonts w:ascii="Manrope" w:cstheme="majorBidi" w:hAnsi="Manrope"/>
      <w:b/>
      <w:bCs/>
      <w:color w:themeColor="accent1" w:val="181818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70" w:before="120"/>
      <w:outlineLvl w:val="2"/>
    </w:pPr>
    <w:rPr>
      <w:rFonts w:ascii="Manrope" w:cstheme="majorBidi" w:hAnsi="Manrope"/>
      <w:b/>
      <w:bCs/>
      <w:color w:themeColor="accent1" w:val="181818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202A3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avebettner.com/" TargetMode="External" /><Relationship Type="http://schemas.openxmlformats.org/officeDocument/2006/relationships/hyperlink" Id="rId22" Target="https://github.com/dbett4" TargetMode="External" /><Relationship Type="http://schemas.openxmlformats.org/officeDocument/2006/relationships/hyperlink" Id="rId26" Target="https://github.com/dbett4/accounting-acceptance-lab" TargetMode="External" /><Relationship Type="http://schemas.openxmlformats.org/officeDocument/2006/relationships/hyperlink" Id="rId28" Target="https://github.com/dbett4/regulated-reporting-mcp" TargetMode="External" /><Relationship Type="http://schemas.openxmlformats.org/officeDocument/2006/relationships/hyperlink" Id="rId30" Target="https://lockfield.co/" TargetMode="External" /><Relationship Type="http://schemas.openxmlformats.org/officeDocument/2006/relationships/hyperlink" Id="rId23" Target="https://passal.app/" TargetMode="External" /><Relationship Type="http://schemas.openxmlformats.org/officeDocument/2006/relationships/hyperlink" Id="rId21" Target="https://www.linkedin.com/in/dave-bettn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vebettner.com/" TargetMode="External" /><Relationship Type="http://schemas.openxmlformats.org/officeDocument/2006/relationships/hyperlink" Id="rId22" Target="https://github.com/dbett4" TargetMode="External" /><Relationship Type="http://schemas.openxmlformats.org/officeDocument/2006/relationships/hyperlink" Id="rId26" Target="https://github.com/dbett4/accounting-acceptance-lab" TargetMode="External" /><Relationship Type="http://schemas.openxmlformats.org/officeDocument/2006/relationships/hyperlink" Id="rId28" Target="https://github.com/dbett4/regulated-reporting-mcp" TargetMode="External" /><Relationship Type="http://schemas.openxmlformats.org/officeDocument/2006/relationships/hyperlink" Id="rId30" Target="https://lockfield.co/" TargetMode="External" /><Relationship Type="http://schemas.openxmlformats.org/officeDocument/2006/relationships/hyperlink" Id="rId23" Target="https://passal.app/" TargetMode="External" /><Relationship Type="http://schemas.openxmlformats.org/officeDocument/2006/relationships/hyperlink" Id="rId21" Target="https://www.linkedin.com/in/dave-bett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2026-10-12T11:40:29Z</dcterms:created>
  <dcterms:modified xsi:type="dcterms:W3CDTF">2026-10-12T11:40:29Z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