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Style w:val="TableGrid"/>
        <w:tblW w:w="0" w:type="auto"/>
        <w:jc w:val="center"/>
        <w:tblLook w:val="04A0" w:firstRow="1" w:lastRow="0" w:firstColumn="1" w:lastColumn="0" w:noHBand="0" w:noVBand="1"/>
      </w:tblPr>
      <w:tblGrid>
        <w:gridCol w:w="1525"/>
        <w:gridCol w:w="7825"/>
      </w:tblGrid>
      <w:tr w:rsidR="00D87468" w14:paraId="4B564E65" w14:textId="77777777">
        <w:trPr>
          <w:jc w:val="center"/>
        </w:trPr>
        <w:tc>
          <w:tcPr>
            <w:tcW w:w="1525" w:type="dxa"/>
          </w:tcPr>
          <w:p w14:paraId="077AF8D5" w14:textId="77777777" w:rsidR="00D87468" w:rsidRPr="00845B3E" w:rsidRDefault="00D87468">
            <w:pPr>
              <w:spacing w:before="40" w:after="40"/>
              <w:jc w:val="center"/>
              <w:rPr>
                <w:rFonts w:ascii="Calisto MT" w:hAnsi="Calisto MT"/>
                <w:b/>
                <w:bCs/>
                <w:sz w:val="22"/>
                <w:szCs w:val="22"/>
              </w:rPr>
            </w:pPr>
            <w:r w:rsidRPr="00845B3E">
              <w:rPr>
                <w:rFonts w:ascii="Calisto MT" w:hAnsi="Calisto MT"/>
                <w:b/>
                <w:bCs/>
                <w:sz w:val="22"/>
                <w:szCs w:val="22"/>
              </w:rPr>
              <w:t>Name:</w:t>
            </w:r>
          </w:p>
        </w:tc>
        <w:tc>
          <w:tcPr>
            <w:tcW w:w="7825" w:type="dxa"/>
          </w:tcPr>
          <w:p w14:paraId="13A8BC8E" w14:textId="3AD6CE64" w:rsidR="00D87468" w:rsidRPr="0055605B" w:rsidRDefault="00D87468">
            <w:pPr>
              <w:spacing w:before="40" w:after="40"/>
              <w:rPr>
                <w:rFonts w:ascii="Calisto MT" w:hAnsi="Calisto MT"/>
                <w:sz w:val="22"/>
                <w:szCs w:val="22"/>
              </w:rPr>
            </w:pPr>
            <w:r/>
          </w:p>
        </w:tc>
      </w:tr>
    </w:tbl>
    <w:p w14:paraId="490A59D6" w14:textId="77777777" w:rsidR="00D87468" w:rsidRPr="00B67C79" w:rsidRDefault="00D87468" w:rsidP="00D87468">
      <w:pPr>
        <w:spacing w:after="0"/>
        <w:jc w:val="center"/>
        <w:rPr>
          <w:rFonts w:ascii="Rockwell" w:hAnsi="Rockwell"/>
          <w:sz w:val="21"/>
          <w:szCs w:val="21"/>
        </w:rPr>
      </w:pPr>
    </w:p>
    <w:p w14:paraId="2D254082" w14:textId="1600356F" w:rsidR="00D87468" w:rsidRPr="00D87468" w:rsidRDefault="00D87468" w:rsidP="00D87468">
      <w:pPr>
        <w:jc w:val="center"/>
        <w:rPr>
          <w:rFonts w:ascii="Rockwell" w:hAnsi="Rockwell"/>
          <w:b/>
          <w:bCs/>
        </w:rPr>
      </w:pPr>
      <w:r w:rsidRPr="00B67C79">
        <w:rPr>
          <w:rFonts w:ascii="Rockwell" w:hAnsi="Rockwell"/>
          <w:b/>
          <w:bCs/>
        </w:rPr>
        <w:t xml:space="preserve">Assignment </w:t>
      </w:r>
      <w:r>
        <w:rPr>
          <w:rFonts w:ascii="Rockwell" w:hAnsi="Rockwell"/>
          <w:b/>
          <w:bCs/>
        </w:rPr>
        <w:t>2</w:t>
      </w:r>
      <w:r w:rsidRPr="00B67C79">
        <w:rPr>
          <w:rFonts w:ascii="Rockwell" w:hAnsi="Rockwell"/>
          <w:b/>
          <w:bCs/>
        </w:rPr>
        <w:t>.</w:t>
      </w:r>
      <w:r w:rsidR="00AC424E">
        <w:rPr>
          <w:rFonts w:ascii="Rockwell" w:hAnsi="Rockwell"/>
          <w:b/>
          <w:bCs/>
        </w:rPr>
        <w:t>4.3</w:t>
      </w:r>
      <w:r w:rsidRPr="00B67C79">
        <w:rPr>
          <w:rFonts w:ascii="Rockwell" w:hAnsi="Rockwell"/>
          <w:b/>
          <w:bCs/>
        </w:rPr>
        <w:t xml:space="preserve">: </w:t>
      </w:r>
      <w:r w:rsidR="00AC424E">
        <w:rPr>
          <w:rFonts w:ascii="Rockwell" w:hAnsi="Rockwell"/>
          <w:b/>
          <w:bCs/>
        </w:rPr>
        <w:t>Characterization Activity [Montag Evidence Tracker]</w:t>
      </w:r>
    </w:p>
    <w:p w14:paraId="6A77E87C" w14:textId="3C26026F" w:rsidR="007F58A2" w:rsidRPr="007F58A2" w:rsidRDefault="00433AB2" w:rsidP="00841E3D">
      <w:pPr>
        <w:spacing w:after="60"/>
        <w:rPr>
          <w:rFonts w:ascii="Calisto MT" w:hAnsi="Calisto MT"/>
          <w:sz w:val="22"/>
          <w:szCs w:val="22"/>
        </w:rPr>
      </w:pPr>
      <w:r>
        <w:rPr>
          <w:rFonts w:ascii="Calisto MT" w:hAnsi="Calisto MT"/>
          <w:b/>
          <w:bCs/>
          <w:sz w:val="22"/>
          <w:szCs w:val="22"/>
          <w:u w:val="single"/>
        </w:rPr>
        <w:t>Step 1</w:t>
      </w:r>
      <w:r w:rsidR="00C3383E" w:rsidRPr="00C3383E">
        <w:rPr>
          <w:rFonts w:ascii="Calisto MT" w:hAnsi="Calisto MT"/>
          <w:b/>
          <w:bCs/>
          <w:sz w:val="22"/>
          <w:szCs w:val="22"/>
          <w:u w:val="single"/>
        </w:rPr>
        <w:t>:</w:t>
      </w:r>
      <w:r w:rsidR="00C3383E">
        <w:rPr>
          <w:rFonts w:ascii="Calisto MT" w:hAnsi="Calisto MT"/>
          <w:sz w:val="22"/>
          <w:szCs w:val="22"/>
        </w:rPr>
        <w:t xml:space="preserve"> </w:t>
      </w:r>
      <w:r w:rsidR="00841E3D">
        <w:rPr>
          <w:rFonts w:ascii="Calisto MT" w:hAnsi="Calisto MT"/>
          <w:sz w:val="22"/>
          <w:szCs w:val="22"/>
        </w:rPr>
        <w:t>As you are reading, collect five key moments that reveal Montag under pressure, and record them below. You may track moments related to moral choice</w:t>
      </w:r>
      <w:r w:rsidR="00AE20FE">
        <w:rPr>
          <w:rFonts w:ascii="Calisto MT" w:hAnsi="Calisto MT"/>
          <w:sz w:val="22"/>
          <w:szCs w:val="22"/>
        </w:rPr>
        <w:t>;</w:t>
      </w:r>
      <w:r w:rsidR="00841E3D">
        <w:rPr>
          <w:rFonts w:ascii="Calisto MT" w:hAnsi="Calisto MT"/>
          <w:sz w:val="22"/>
          <w:szCs w:val="22"/>
        </w:rPr>
        <w:t xml:space="preserve"> violence vs. restraint</w:t>
      </w:r>
      <w:r w:rsidR="00AE20FE">
        <w:rPr>
          <w:rFonts w:ascii="Calisto MT" w:hAnsi="Calisto MT"/>
          <w:sz w:val="22"/>
          <w:szCs w:val="22"/>
        </w:rPr>
        <w:t>;</w:t>
      </w:r>
      <w:r w:rsidR="00841E3D">
        <w:rPr>
          <w:rFonts w:ascii="Calisto MT" w:hAnsi="Calisto MT"/>
          <w:sz w:val="22"/>
          <w:szCs w:val="22"/>
        </w:rPr>
        <w:t xml:space="preserve"> authority</w:t>
      </w:r>
      <w:r w:rsidR="00AE20FE">
        <w:rPr>
          <w:rFonts w:ascii="Calisto MT" w:hAnsi="Calisto MT"/>
          <w:sz w:val="22"/>
          <w:szCs w:val="22"/>
        </w:rPr>
        <w:t>;</w:t>
      </w:r>
      <w:r w:rsidR="00841E3D">
        <w:rPr>
          <w:rFonts w:ascii="Calisto MT" w:hAnsi="Calisto MT"/>
          <w:sz w:val="22"/>
          <w:szCs w:val="22"/>
        </w:rPr>
        <w:t xml:space="preserve"> fire symbolism</w:t>
      </w:r>
      <w:r w:rsidR="00AE20FE">
        <w:rPr>
          <w:rFonts w:ascii="Calisto MT" w:hAnsi="Calisto MT"/>
          <w:sz w:val="22"/>
          <w:szCs w:val="22"/>
        </w:rPr>
        <w:t>;</w:t>
      </w:r>
      <w:r w:rsidR="00841E3D">
        <w:rPr>
          <w:rFonts w:ascii="Calisto MT" w:hAnsi="Calisto MT"/>
          <w:sz w:val="22"/>
          <w:szCs w:val="22"/>
        </w:rPr>
        <w:t xml:space="preserve"> knowledge/books</w:t>
      </w:r>
      <w:r w:rsidR="00AE20FE">
        <w:rPr>
          <w:rFonts w:ascii="Calisto MT" w:hAnsi="Calisto MT"/>
          <w:sz w:val="22"/>
          <w:szCs w:val="22"/>
        </w:rPr>
        <w:t>;</w:t>
      </w:r>
      <w:r w:rsidR="00841E3D">
        <w:rPr>
          <w:rFonts w:ascii="Calisto MT" w:hAnsi="Calisto MT"/>
          <w:sz w:val="22"/>
          <w:szCs w:val="22"/>
        </w:rPr>
        <w:t xml:space="preserve"> or </w:t>
      </w:r>
      <w:r w:rsidR="00AE20FE">
        <w:rPr>
          <w:rFonts w:ascii="Calisto MT" w:hAnsi="Calisto MT"/>
          <w:sz w:val="22"/>
          <w:szCs w:val="22"/>
        </w:rPr>
        <w:t>identity, resolve, or loss.</w:t>
      </w:r>
    </w:p>
    <w:tbl>
      <w:tblPr>
        <w:tblStyle w:val="TableGrid"/>
        <w:tblW w:w="0" w:type="auto"/>
        <w:tblLook w:val="04A0" w:firstRow="1" w:lastRow="0" w:firstColumn="1" w:lastColumn="0" w:noHBand="0" w:noVBand="1"/>
      </w:tblPr>
      <w:tblGrid>
        <w:gridCol w:w="4045"/>
        <w:gridCol w:w="1957"/>
        <w:gridCol w:w="4183"/>
        <w:gridCol w:w="4184"/>
      </w:tblGrid>
      <w:tr w:rsidR="00AE20FE" w14:paraId="55F06C86" w14:textId="77777777" w:rsidTr="001323E4">
        <w:trPr>
          <w:trHeight w:val="803"/>
        </w:trPr>
        <w:tc>
          <w:tcPr>
            <w:tcW w:w="4045" w:type="dxa"/>
            <w:shd w:val="clear" w:color="auto" w:fill="153D63" w:themeFill="text2" w:themeFillTint="E6"/>
            <w:vAlign w:val="center"/>
          </w:tcPr>
          <w:p w14:paraId="245BEA0F" w14:textId="419E0FCB" w:rsidR="00AE20FE" w:rsidRPr="007F58A2" w:rsidRDefault="00AE20FE">
            <w:pPr>
              <w:rPr>
                <w:rFonts w:ascii="Calisto MT" w:hAnsi="Calisto MT"/>
                <w:b/>
                <w:bCs/>
                <w:color w:val="FFFFFF" w:themeColor="background1"/>
                <w:sz w:val="22"/>
                <w:szCs w:val="22"/>
              </w:rPr>
            </w:pPr>
            <w:r>
              <w:rPr>
                <w:rFonts w:ascii="Calisto MT" w:hAnsi="Calisto MT"/>
                <w:b/>
                <w:bCs/>
                <w:color w:val="FFFFFF" w:themeColor="background1"/>
                <w:sz w:val="22"/>
                <w:szCs w:val="22"/>
              </w:rPr>
              <w:t xml:space="preserve">Quotation </w:t>
            </w:r>
            <w:r>
              <w:rPr>
                <w:rFonts w:ascii="Calisto MT" w:hAnsi="Calisto MT"/>
                <w:b/>
                <w:bCs/>
                <w:color w:val="FFFFFF" w:themeColor="background1"/>
                <w:sz w:val="22"/>
                <w:szCs w:val="22"/>
              </w:rPr>
              <w:br/>
              <w:t>(with citation)</w:t>
            </w:r>
          </w:p>
        </w:tc>
        <w:tc>
          <w:tcPr>
            <w:tcW w:w="1957" w:type="dxa"/>
            <w:shd w:val="clear" w:color="auto" w:fill="153D63" w:themeFill="text2" w:themeFillTint="E6"/>
            <w:vAlign w:val="center"/>
          </w:tcPr>
          <w:p w14:paraId="6E7101C1" w14:textId="7700FB93" w:rsidR="00AE20FE" w:rsidRDefault="00196062">
            <w:pPr>
              <w:rPr>
                <w:rFonts w:ascii="Calisto MT" w:hAnsi="Calisto MT"/>
                <w:b/>
                <w:bCs/>
                <w:color w:val="FFFFFF" w:themeColor="background1"/>
                <w:sz w:val="22"/>
                <w:szCs w:val="22"/>
              </w:rPr>
            </w:pPr>
            <w:r>
              <w:rPr>
                <w:rFonts w:ascii="Calisto MT" w:hAnsi="Calisto MT"/>
                <w:b/>
                <w:bCs/>
                <w:color w:val="FFFFFF" w:themeColor="background1"/>
                <w:sz w:val="22"/>
                <w:szCs w:val="22"/>
              </w:rPr>
              <w:t>Literary element or authorial choice present</w:t>
            </w:r>
          </w:p>
        </w:tc>
        <w:tc>
          <w:tcPr>
            <w:tcW w:w="4183" w:type="dxa"/>
            <w:shd w:val="clear" w:color="auto" w:fill="153D63" w:themeFill="text2" w:themeFillTint="E6"/>
            <w:vAlign w:val="center"/>
          </w:tcPr>
          <w:p w14:paraId="752EFAFE" w14:textId="3755B798" w:rsidR="00AE20FE" w:rsidRPr="007F58A2" w:rsidRDefault="00AE20FE">
            <w:pPr>
              <w:rPr>
                <w:rFonts w:ascii="Calisto MT" w:hAnsi="Calisto MT"/>
                <w:b/>
                <w:bCs/>
                <w:color w:val="FFFFFF" w:themeColor="background1"/>
                <w:sz w:val="22"/>
                <w:szCs w:val="22"/>
              </w:rPr>
            </w:pPr>
            <w:r>
              <w:rPr>
                <w:rFonts w:ascii="Calisto MT" w:hAnsi="Calisto MT"/>
                <w:b/>
                <w:bCs/>
                <w:color w:val="FFFFFF" w:themeColor="background1"/>
                <w:sz w:val="22"/>
                <w:szCs w:val="22"/>
              </w:rPr>
              <w:t>What is the pressure Montag is facing?</w:t>
            </w:r>
          </w:p>
        </w:tc>
        <w:tc>
          <w:tcPr>
            <w:tcW w:w="4184" w:type="dxa"/>
            <w:shd w:val="clear" w:color="auto" w:fill="153D63" w:themeFill="text2" w:themeFillTint="E6"/>
            <w:vAlign w:val="center"/>
          </w:tcPr>
          <w:p w14:paraId="265FCF4C" w14:textId="1BBA23A1" w:rsidR="00AE20FE" w:rsidRPr="007F58A2" w:rsidRDefault="00AE20FE">
            <w:pPr>
              <w:rPr>
                <w:rFonts w:ascii="Calisto MT" w:hAnsi="Calisto MT"/>
                <w:b/>
                <w:bCs/>
                <w:color w:val="FFFFFF" w:themeColor="background1"/>
                <w:sz w:val="22"/>
                <w:szCs w:val="22"/>
              </w:rPr>
            </w:pPr>
            <w:r>
              <w:rPr>
                <w:rFonts w:ascii="Calisto MT" w:hAnsi="Calisto MT"/>
                <w:b/>
                <w:bCs/>
                <w:color w:val="FFFFFF" w:themeColor="background1"/>
                <w:sz w:val="22"/>
                <w:szCs w:val="22"/>
              </w:rPr>
              <w:t>What does this moment reveal about Montag’s character</w:t>
            </w:r>
            <w:r w:rsidR="001323E4">
              <w:rPr>
                <w:rFonts w:ascii="Calisto MT" w:hAnsi="Calisto MT"/>
                <w:b/>
                <w:bCs/>
                <w:color w:val="FFFFFF" w:themeColor="background1"/>
                <w:sz w:val="22"/>
                <w:szCs w:val="22"/>
              </w:rPr>
              <w:t>?</w:t>
            </w:r>
          </w:p>
        </w:tc>
      </w:tr>
      <w:tr w:rsidR="00AE20FE" w14:paraId="680303D4" w14:textId="77777777" w:rsidTr="001323E4">
        <w:trPr>
          <w:trHeight w:val="387"/>
        </w:trPr>
        <w:tc>
          <w:tcPr>
            <w:tcW w:w="4045" w:type="dxa"/>
            <w:vAlign w:val="center"/>
          </w:tcPr>
          <w:p w14:paraId="67703C0A" w14:textId="4AF2AFF9" w:rsidR="00AE20FE" w:rsidRPr="007F58A2" w:rsidRDefault="00AE20FE" w:rsidP="00D47609">
            <w:pPr>
              <w:spacing w:before="60" w:after="60"/>
              <w:rPr>
                <w:rFonts w:ascii="Calisto MT" w:hAnsi="Calisto MT"/>
                <w:sz w:val="22"/>
                <w:szCs w:val="22"/>
              </w:rPr>
            </w:pPr>
            <w:r>
              <w:rPr>
                <w:sz w:val="19"/>
              </w:rPr>
              <w:t>“He burnt the bedroom walls and the cosmetics chest because he wanted to change everything . . . everything that showed that he had lived here in this empty house with a strange woman who would forget him tomorrow” (Bradbury 113).</w:t>
            </w:r>
          </w:p>
        </w:tc>
        <w:tc>
          <w:tcPr>
            <w:tcW w:w="1957" w:type="dxa"/>
          </w:tcPr>
          <w:p w14:paraId="16156DB0" w14:textId="77777777" w:rsidR="00AE20FE" w:rsidRPr="007F58A2" w:rsidRDefault="00AE20FE" w:rsidP="00D47609">
            <w:pPr>
              <w:spacing w:before="60" w:after="60"/>
              <w:rPr>
                <w:rFonts w:ascii="Calisto MT" w:hAnsi="Calisto MT"/>
                <w:sz w:val="22"/>
                <w:szCs w:val="22"/>
              </w:rPr>
            </w:pPr>
            <w:r>
              <w:rPr>
                <w:sz w:val="19"/>
              </w:rPr>
              <w:t>Fire symbolism + imagery and diction (“change everything,” “empty house”). Bradbury lets Montag use the flamethrower one last time, but for a new purpose.</w:t>
            </w:r>
          </w:p>
        </w:tc>
        <w:tc>
          <w:tcPr>
            <w:tcW w:w="4183" w:type="dxa"/>
            <w:vAlign w:val="center"/>
          </w:tcPr>
          <w:p w14:paraId="57BC2745" w14:textId="2B0C6899" w:rsidR="00AE20FE" w:rsidRPr="007F58A2" w:rsidRDefault="00AE20FE" w:rsidP="00D47609">
            <w:pPr>
              <w:spacing w:before="60" w:after="60"/>
              <w:rPr>
                <w:rFonts w:ascii="Calisto MT" w:hAnsi="Calisto MT"/>
                <w:sz w:val="22"/>
                <w:szCs w:val="22"/>
              </w:rPr>
            </w:pPr>
            <w:r>
              <w:rPr>
                <w:sz w:val="19"/>
              </w:rPr>
              <w:t>Mildred has turned him in, and Beatty forces Montag to burn his own house while the neighbors watch. He has no choice about the fire, only about how he feels while doing it.</w:t>
            </w:r>
          </w:p>
        </w:tc>
        <w:tc>
          <w:tcPr>
            <w:tcW w:w="4184" w:type="dxa"/>
            <w:vAlign w:val="center"/>
          </w:tcPr>
          <w:p w14:paraId="683B6186" w14:textId="77777777" w:rsidR="00AE20FE" w:rsidRPr="007F58A2" w:rsidRDefault="00AE20FE" w:rsidP="00D47609">
            <w:pPr>
              <w:spacing w:before="60" w:after="60"/>
              <w:rPr>
                <w:rFonts w:ascii="Calisto MT" w:hAnsi="Calisto MT"/>
                <w:sz w:val="22"/>
                <w:szCs w:val="22"/>
              </w:rPr>
            </w:pPr>
            <w:r>
              <w:rPr>
                <w:sz w:val="19"/>
              </w:rPr>
              <w:t>Montag is beginning to separate himself from his old life. Instead of feeling guilt, he burns away the hollow, TV-filled existence he shared with Mildred. Fire is still destruction here, but now it is personal and purifying, showing he is ready to let go of who he was.</w:t>
            </w:r>
          </w:p>
        </w:tc>
      </w:tr>
      <w:tr w:rsidR="00AE20FE" w14:paraId="3A9C159C" w14:textId="77777777" w:rsidTr="001323E4">
        <w:trPr>
          <w:trHeight w:val="387"/>
        </w:trPr>
        <w:tc>
          <w:tcPr>
            <w:tcW w:w="4045" w:type="dxa"/>
            <w:vAlign w:val="center"/>
          </w:tcPr>
          <w:p w14:paraId="16BB8255" w14:textId="5B55C35D" w:rsidR="00AE20FE" w:rsidRDefault="00AE20FE" w:rsidP="00D47609">
            <w:pPr>
              <w:spacing w:before="60" w:after="60"/>
              <w:rPr>
                <w:rFonts w:ascii="Calisto MT" w:hAnsi="Calisto MT"/>
                <w:sz w:val="22"/>
                <w:szCs w:val="22"/>
              </w:rPr>
            </w:pPr>
            <w:r>
              <w:rPr>
                <w:sz w:val="19"/>
              </w:rPr>
              <w:t>“. . . and then he was a shrieking blaze, a jumping, sprawling, gibbering mannikin, no longer human or known, all writhing flame on the lawn as Montag shot one continuous pulse of liquid fire on him” (Bradbury 119).</w:t>
            </w:r>
          </w:p>
        </w:tc>
        <w:tc>
          <w:tcPr>
            <w:tcW w:w="1957" w:type="dxa"/>
          </w:tcPr>
          <w:p w14:paraId="50932408" w14:textId="77777777" w:rsidR="00AE20FE" w:rsidRPr="007F58A2" w:rsidRDefault="00AE20FE" w:rsidP="00D47609">
            <w:pPr>
              <w:spacing w:before="60" w:after="60"/>
              <w:rPr>
                <w:rFonts w:ascii="Calisto MT" w:hAnsi="Calisto MT"/>
                <w:sz w:val="22"/>
                <w:szCs w:val="22"/>
              </w:rPr>
            </w:pPr>
            <w:r>
              <w:rPr>
                <w:sz w:val="19"/>
              </w:rPr>
              <w:t>Imagery and violent, fragmented syntax (a long run-on list of participles) that mirrors the chaos of the moment.</w:t>
            </w:r>
          </w:p>
        </w:tc>
        <w:tc>
          <w:tcPr>
            <w:tcW w:w="4183" w:type="dxa"/>
            <w:vAlign w:val="center"/>
          </w:tcPr>
          <w:p w14:paraId="3283A3C3" w14:textId="1142F3E4" w:rsidR="00AE20FE" w:rsidRPr="007F58A2" w:rsidRDefault="00AE20FE" w:rsidP="00D47609">
            <w:pPr>
              <w:spacing w:before="60" w:after="60"/>
              <w:rPr>
                <w:rFonts w:ascii="Calisto MT" w:hAnsi="Calisto MT"/>
                <w:sz w:val="22"/>
                <w:szCs w:val="22"/>
              </w:rPr>
            </w:pPr>
            <w:r>
              <w:rPr>
                <w:sz w:val="19"/>
              </w:rPr>
              <w:t>Beatty taunts Montag with quotations, threatens Faber, and dares him to act. Montag is under total pressure from authority and has seconds to decide.</w:t>
            </w:r>
          </w:p>
        </w:tc>
        <w:tc>
          <w:tcPr>
            <w:tcW w:w="4184" w:type="dxa"/>
            <w:vAlign w:val="center"/>
          </w:tcPr>
          <w:p w14:paraId="7F2E421C" w14:textId="77777777" w:rsidR="00AE20FE" w:rsidRPr="007F58A2" w:rsidRDefault="00AE20FE" w:rsidP="00D47609">
            <w:pPr>
              <w:spacing w:before="60" w:after="60"/>
              <w:rPr>
                <w:rFonts w:ascii="Calisto MT" w:hAnsi="Calisto MT"/>
                <w:sz w:val="22"/>
                <w:szCs w:val="22"/>
              </w:rPr>
            </w:pPr>
            <w:r>
              <w:rPr>
                <w:sz w:val="19"/>
              </w:rPr>
              <w:t>Montag finally refuses to obey authority, but he does it through the same violence he was trained in. The horrifying imagery shows that his rebellion has a dark cost. He is no longer a passive fireman, yet he is not yet the thoughtful person he wants to be.</w:t>
            </w:r>
          </w:p>
        </w:tc>
      </w:tr>
      <w:tr w:rsidR="00AE20FE" w14:paraId="7024DE24" w14:textId="77777777" w:rsidTr="001323E4">
        <w:trPr>
          <w:trHeight w:val="387"/>
        </w:trPr>
        <w:tc>
          <w:tcPr>
            <w:tcW w:w="4045" w:type="dxa"/>
            <w:vAlign w:val="center"/>
          </w:tcPr>
          <w:p w14:paraId="125FCCBA" w14:textId="7BC01AE1" w:rsidR="00AE20FE" w:rsidRDefault="00AE20FE" w:rsidP="00D47609">
            <w:pPr>
              <w:spacing w:before="60" w:after="60"/>
              <w:rPr>
                <w:rFonts w:ascii="Calisto MT" w:hAnsi="Calisto MT"/>
                <w:sz w:val="22"/>
                <w:szCs w:val="22"/>
              </w:rPr>
            </w:pPr>
            <w:r>
              <w:rPr>
                <w:sz w:val="19"/>
              </w:rPr>
              <w:t>“Beatty wanted to die. . . . He just stood there, not really trying to save himself” (Bradbury 122).</w:t>
            </w:r>
          </w:p>
        </w:tc>
        <w:tc>
          <w:tcPr>
            <w:tcW w:w="1957" w:type="dxa"/>
          </w:tcPr>
          <w:p w14:paraId="4C89D81B" w14:textId="77777777" w:rsidR="00AE20FE" w:rsidRPr="007F58A2" w:rsidRDefault="00AE20FE" w:rsidP="00D47609">
            <w:pPr>
              <w:spacing w:before="60" w:after="60"/>
              <w:rPr>
                <w:rFonts w:ascii="Calisto MT" w:hAnsi="Calisto MT"/>
                <w:sz w:val="22"/>
                <w:szCs w:val="22"/>
              </w:rPr>
            </w:pPr>
            <w:r>
              <w:rPr>
                <w:sz w:val="19"/>
              </w:rPr>
              <w:t>Internal monologue / point of view (third-person limited inside Montag’s thoughts) and characterization of a foil (Beatty).</w:t>
            </w:r>
          </w:p>
        </w:tc>
        <w:tc>
          <w:tcPr>
            <w:tcW w:w="4183" w:type="dxa"/>
            <w:vAlign w:val="center"/>
          </w:tcPr>
          <w:p w14:paraId="003DB259" w14:textId="0D6A92AE" w:rsidR="00AE20FE" w:rsidRPr="007F58A2" w:rsidRDefault="00AE20FE" w:rsidP="00D47609">
            <w:pPr>
              <w:spacing w:before="60" w:after="60"/>
              <w:rPr>
                <w:rFonts w:ascii="Calisto MT" w:hAnsi="Calisto MT"/>
                <w:sz w:val="22"/>
                <w:szCs w:val="22"/>
              </w:rPr>
            </w:pPr>
            <w:r>
              <w:rPr>
                <w:sz w:val="19"/>
              </w:rPr>
              <w:t>Wounded and running from the Mechanical Hound, Montag must process that he has killed a man, the very man who represented everything he used to be.</w:t>
            </w:r>
          </w:p>
        </w:tc>
        <w:tc>
          <w:tcPr>
            <w:tcW w:w="4184" w:type="dxa"/>
            <w:vAlign w:val="center"/>
          </w:tcPr>
          <w:p w14:paraId="59EFAB57" w14:textId="77777777" w:rsidR="00AE20FE" w:rsidRPr="007F58A2" w:rsidRDefault="00AE20FE" w:rsidP="00D47609">
            <w:pPr>
              <w:spacing w:before="60" w:after="60"/>
              <w:rPr>
                <w:rFonts w:ascii="Calisto MT" w:hAnsi="Calisto MT"/>
                <w:sz w:val="22"/>
                <w:szCs w:val="22"/>
              </w:rPr>
            </w:pPr>
            <w:r>
              <w:rPr>
                <w:sz w:val="19"/>
              </w:rPr>
              <w:t>Montag shows a conscience and the ability to reflect, which separates him from the thoughtless society around him. He realizes Beatty was empty inside, and that realization pushes Montag to escape before he ends up the same way.</w:t>
            </w:r>
          </w:p>
        </w:tc>
      </w:tr>
      <w:tr w:rsidR="00AE20FE" w14:paraId="7EE901ED" w14:textId="77777777" w:rsidTr="001323E4">
        <w:trPr>
          <w:trHeight w:val="374"/>
        </w:trPr>
        <w:tc>
          <w:tcPr>
            <w:tcW w:w="4045" w:type="dxa"/>
            <w:vAlign w:val="center"/>
          </w:tcPr>
          <w:p w14:paraId="4466033D" w14:textId="13D419E9" w:rsidR="00AE20FE" w:rsidRDefault="00AE20FE" w:rsidP="00D47609">
            <w:pPr>
              <w:spacing w:before="60" w:after="60"/>
              <w:rPr>
                <w:rFonts w:ascii="Calisto MT" w:hAnsi="Calisto MT"/>
                <w:sz w:val="22"/>
                <w:szCs w:val="22"/>
              </w:rPr>
            </w:pPr>
            <w:r>
              <w:rPr>
                <w:sz w:val="19"/>
              </w:rPr>
              <w:t>“He was moving from an unreality that was frightening into a reality that was unreal because it was new” (Bradbury 141).</w:t>
            </w:r>
          </w:p>
        </w:tc>
        <w:tc>
          <w:tcPr>
            <w:tcW w:w="1957" w:type="dxa"/>
          </w:tcPr>
          <w:p w14:paraId="0E01C7FF" w14:textId="77777777" w:rsidR="00AE20FE" w:rsidRPr="007F58A2" w:rsidRDefault="00AE20FE" w:rsidP="00D47609">
            <w:pPr>
              <w:spacing w:before="60" w:after="60"/>
              <w:rPr>
                <w:rFonts w:ascii="Calisto MT" w:hAnsi="Calisto MT"/>
                <w:sz w:val="22"/>
                <w:szCs w:val="22"/>
              </w:rPr>
            </w:pPr>
            <w:r>
              <w:rPr>
                <w:sz w:val="19"/>
              </w:rPr>
              <w:t>Paradox and the river as a symbol of rebirth/baptism; sensory imagery of the natural world after the city.</w:t>
            </w:r>
          </w:p>
        </w:tc>
        <w:tc>
          <w:tcPr>
            <w:tcW w:w="4183" w:type="dxa"/>
            <w:vAlign w:val="center"/>
          </w:tcPr>
          <w:p w14:paraId="189719DF" w14:textId="077AD31E" w:rsidR="00AE20FE" w:rsidRPr="007F58A2" w:rsidRDefault="00AE20FE" w:rsidP="00D47609">
            <w:pPr>
              <w:spacing w:before="60" w:after="60"/>
              <w:rPr>
                <w:rFonts w:ascii="Calisto MT" w:hAnsi="Calisto MT"/>
                <w:sz w:val="22"/>
                <w:szCs w:val="22"/>
              </w:rPr>
            </w:pPr>
            <w:r>
              <w:rPr>
                <w:sz w:val="19"/>
              </w:rPr>
              <w:t>Montag has escaped the Hound and the televised manhunt by floating down the river, leaving the city and every identity he had behind him.</w:t>
            </w:r>
          </w:p>
        </w:tc>
        <w:tc>
          <w:tcPr>
            <w:tcW w:w="4184" w:type="dxa"/>
            <w:vAlign w:val="center"/>
          </w:tcPr>
          <w:p w14:paraId="77C84A43" w14:textId="77777777" w:rsidR="00AE20FE" w:rsidRPr="007F58A2" w:rsidRDefault="00AE20FE" w:rsidP="00D47609">
            <w:pPr>
              <w:spacing w:before="60" w:after="60"/>
              <w:rPr>
                <w:rFonts w:ascii="Calisto MT" w:hAnsi="Calisto MT"/>
                <w:sz w:val="22"/>
                <w:szCs w:val="22"/>
              </w:rPr>
            </w:pPr>
            <w:r>
              <w:rPr>
                <w:sz w:val="19"/>
              </w:rPr>
              <w:t>Montag is reborn. Stripped of his name, job, and home, he becomes open and curious. Bradbury uses the river to wash away the fireman so that a learner can emerge, revealing that real change requires giving up the familiar.</w:t>
            </w:r>
          </w:p>
        </w:tc>
      </w:tr>
      <w:tr w:rsidR="00196062" w14:paraId="5796D833" w14:textId="77777777" w:rsidTr="001323E4">
        <w:trPr>
          <w:trHeight w:val="374"/>
        </w:trPr>
        <w:tc>
          <w:tcPr>
            <w:tcW w:w="4045" w:type="dxa"/>
            <w:vAlign w:val="center"/>
          </w:tcPr>
          <w:p w14:paraId="40C60FA8" w14:textId="77777777" w:rsidR="00196062" w:rsidRDefault="00196062" w:rsidP="00D47609">
            <w:pPr>
              <w:spacing w:before="60" w:after="60"/>
              <w:rPr>
                <w:rFonts w:ascii="Calisto MT" w:hAnsi="Calisto MT"/>
                <w:sz w:val="22"/>
                <w:szCs w:val="22"/>
              </w:rPr>
            </w:pPr>
            <w:r>
              <w:rPr>
                <w:sz w:val="19"/>
              </w:rPr>
              <w:t>“It was not burning. It was warming” (Bradbury 145).</w:t>
            </w:r>
          </w:p>
        </w:tc>
        <w:tc>
          <w:tcPr>
            <w:tcW w:w="1957" w:type="dxa"/>
          </w:tcPr>
          <w:p w14:paraId="09537B13" w14:textId="77777777" w:rsidR="00196062" w:rsidRPr="007F58A2" w:rsidRDefault="00196062" w:rsidP="00D47609">
            <w:pPr>
              <w:spacing w:before="60" w:after="60"/>
              <w:rPr>
                <w:rFonts w:ascii="Calisto MT" w:hAnsi="Calisto MT"/>
                <w:sz w:val="22"/>
                <w:szCs w:val="22"/>
              </w:rPr>
            </w:pPr>
            <w:r>
              <w:rPr>
                <w:sz w:val="19"/>
              </w:rPr>
              <w:t>Fire symbolism and parallel structure (short, contrasting sentences that redefine the same word).</w:t>
            </w:r>
          </w:p>
        </w:tc>
        <w:tc>
          <w:tcPr>
            <w:tcW w:w="4183" w:type="dxa"/>
            <w:vAlign w:val="center"/>
          </w:tcPr>
          <w:p w14:paraId="62A52F9D" w14:textId="77777777" w:rsidR="00196062" w:rsidRPr="007F58A2" w:rsidRDefault="00196062" w:rsidP="00D47609">
            <w:pPr>
              <w:spacing w:before="60" w:after="60"/>
              <w:rPr>
                <w:rFonts w:ascii="Calisto MT" w:hAnsi="Calisto MT"/>
                <w:sz w:val="22"/>
                <w:szCs w:val="22"/>
              </w:rPr>
            </w:pPr>
            <w:r>
              <w:rPr>
                <w:sz w:val="19"/>
              </w:rPr>
              <w:t>Lost and alone in the countryside, Montag sees the hobos’ campfire and must decide whether to trust strangers after being hunted by everyone.</w:t>
            </w:r>
          </w:p>
        </w:tc>
        <w:tc>
          <w:tcPr>
            <w:tcW w:w="4184" w:type="dxa"/>
            <w:vAlign w:val="center"/>
          </w:tcPr>
          <w:p w14:paraId="76207E36" w14:textId="77777777" w:rsidR="00196062" w:rsidRPr="007F58A2" w:rsidRDefault="00196062" w:rsidP="00D47609">
            <w:pPr>
              <w:spacing w:before="60" w:after="60"/>
              <w:rPr>
                <w:rFonts w:ascii="Calisto MT" w:hAnsi="Calisto MT"/>
                <w:sz w:val="22"/>
                <w:szCs w:val="22"/>
              </w:rPr>
            </w:pPr>
            <w:r>
              <w:rPr>
                <w:sz w:val="19"/>
              </w:rPr>
              <w:t>Montag can now see fire, and himself, differently. Fire that once destroyed now gives warmth and community, which shows that he has moved from destroyer to preserver. This moment prepares him to join Granger’s book people and to carry knowledge instead of burning it.</w:t>
            </w:r>
          </w:p>
        </w:tc>
      </w:tr>
    </w:tbl>
    <w:p w14:paraId="1B32F391" w14:textId="77777777" w:rsidR="008F2411" w:rsidRDefault="008F2411" w:rsidP="006C162B">
      <w:pPr>
        <w:spacing w:after="60"/>
        <w:rPr>
          <w:rFonts w:ascii="Calisto MT" w:hAnsi="Calisto MT"/>
          <w:sz w:val="22"/>
          <w:szCs w:val="22"/>
        </w:rPr>
      </w:pPr>
    </w:p>
    <w:p w14:paraId="4D755BA5" w14:textId="33B25E06" w:rsidR="006A02A6" w:rsidRDefault="006A02A6" w:rsidP="006A02A6">
      <w:pPr>
        <w:spacing w:after="60"/>
        <w:jc w:val="center"/>
        <w:rPr>
          <w:rFonts w:ascii="Calisto MT" w:hAnsi="Calisto MT"/>
          <w:sz w:val="22"/>
          <w:szCs w:val="22"/>
        </w:rPr>
      </w:pPr>
      <w:r>
        <w:rPr>
          <w:rFonts w:ascii="Calisto MT" w:hAnsi="Calisto MT"/>
          <w:sz w:val="22"/>
          <w:szCs w:val="22"/>
        </w:rPr>
        <w:t>Highlight the lens you have chosen to frame your Canva visual around</w:t>
      </w:r>
      <w:r w:rsidR="00D55DE6">
        <w:rPr>
          <w:rFonts w:ascii="Calisto MT" w:hAnsi="Calisto MT"/>
          <w:sz w:val="22"/>
          <w:szCs w:val="22"/>
        </w:rPr>
        <w:t>:</w:t>
      </w:r>
    </w:p>
    <w:tbl>
      <w:tblPr>
        <w:tblStyle w:val="TableGrid"/>
        <w:tblW w:w="0" w:type="auto"/>
        <w:tblLook w:val="04A0" w:firstRow="1" w:lastRow="0" w:firstColumn="1" w:lastColumn="0" w:noHBand="0" w:noVBand="1"/>
      </w:tblPr>
      <w:tblGrid>
        <w:gridCol w:w="3587"/>
        <w:gridCol w:w="3587"/>
        <w:gridCol w:w="3587"/>
        <w:gridCol w:w="3587"/>
      </w:tblGrid>
      <w:tr w:rsidR="00914D7D" w14:paraId="48A9AD23" w14:textId="77777777" w:rsidTr="00914D7D">
        <w:trPr>
          <w:trHeight w:val="600"/>
        </w:trPr>
        <w:tc>
          <w:tcPr>
            <w:tcW w:w="3587" w:type="dxa"/>
            <w:vAlign w:val="center"/>
          </w:tcPr>
          <w:p w14:paraId="0ABFCF0D" w14:textId="2E1BB48D" w:rsidR="00914D7D" w:rsidRPr="00AF1FAF" w:rsidRDefault="00914D7D" w:rsidP="00E75821">
            <w:pPr>
              <w:spacing w:before="60" w:after="60"/>
              <w:jc w:val="center"/>
              <w:rPr>
                <w:rFonts w:ascii="Calisto MT" w:hAnsi="Calisto MT"/>
                <w:sz w:val="22"/>
                <w:szCs w:val="22"/>
              </w:rPr>
            </w:pPr>
            <w:r>
              <w:rPr>
                <w:rFonts w:ascii="Calisto MT" w:hAnsi="Calisto MT"/>
                <w:b/>
                <w:bCs/>
                <w:sz w:val="22"/>
                <w:szCs w:val="22"/>
              </w:rPr>
              <w:t xml:space="preserve">Option A: </w:t>
            </w:r>
            <w:r>
              <w:rPr>
                <w:rFonts w:ascii="Calisto MT" w:hAnsi="Calisto MT"/>
                <w:b/>
                <w:bCs/>
                <w:sz w:val="22"/>
                <w:szCs w:val="22"/>
              </w:rPr>
              <w:br/>
            </w:r>
            <w:r w:rsidRPr="00C836E0">
              <w:rPr>
                <w:rFonts w:ascii="Calisto MT" w:hAnsi="Calisto MT"/>
                <w:sz w:val="22"/>
                <w:szCs w:val="22"/>
              </w:rPr>
              <w:t>Montag's Breaking Point Map</w:t>
            </w:r>
          </w:p>
        </w:tc>
        <w:tc>
          <w:tcPr>
            <w:tcW w:w="3587" w:type="dxa"/>
            <w:vAlign w:val="center"/>
          </w:tcPr>
          <w:p w14:paraId="7B76E21D" w14:textId="77EA3E3D" w:rsidR="00914D7D" w:rsidRDefault="00914D7D" w:rsidP="00E75821">
            <w:pPr>
              <w:spacing w:before="60" w:after="60"/>
              <w:jc w:val="center"/>
              <w:rPr>
                <w:rFonts w:ascii="Calisto MT" w:hAnsi="Calisto MT"/>
                <w:sz w:val="22"/>
                <w:szCs w:val="22"/>
              </w:rPr>
            </w:pPr>
            <w:r w:rsidRPr="00914D7D">
              <w:rPr>
                <w:rFonts w:ascii="Calisto MT" w:hAnsi="Calisto MT"/>
                <w:b/>
                <w:bCs/>
                <w:sz w:val="22"/>
                <w:szCs w:val="22"/>
              </w:rPr>
              <w:t>Option B:</w:t>
            </w:r>
            <w:r w:rsidRPr="00914D7D">
              <w:rPr>
                <w:rFonts w:ascii="Calisto MT" w:hAnsi="Calisto MT"/>
                <w:sz w:val="22"/>
                <w:szCs w:val="22"/>
              </w:rPr>
              <w:t xml:space="preserve"> </w:t>
            </w:r>
            <w:r>
              <w:rPr>
                <w:rFonts w:ascii="Calisto MT" w:hAnsi="Calisto MT"/>
                <w:sz w:val="22"/>
                <w:szCs w:val="22"/>
              </w:rPr>
              <w:br/>
            </w:r>
            <w:r w:rsidRPr="00914D7D">
              <w:rPr>
                <w:rFonts w:ascii="Calisto MT" w:hAnsi="Calisto MT"/>
                <w:sz w:val="22"/>
                <w:szCs w:val="22"/>
              </w:rPr>
              <w:t>Contrast Map</w:t>
            </w:r>
          </w:p>
        </w:tc>
        <w:tc>
          <w:tcPr>
            <w:tcW w:w="3587" w:type="dxa"/>
            <w:vAlign w:val="center"/>
            <w:shd w:val="clear" w:color="auto" w:fill="FFFF00"/>
          </w:tcPr>
          <w:p w14:paraId="1ACD5BD0" w14:textId="7062B320" w:rsidR="00914D7D" w:rsidRDefault="00914D7D" w:rsidP="00E75821">
            <w:pPr>
              <w:spacing w:before="60" w:after="60"/>
              <w:jc w:val="center"/>
              <w:rPr>
                <w:rFonts w:ascii="Calisto MT" w:hAnsi="Calisto MT"/>
                <w:sz w:val="22"/>
                <w:szCs w:val="22"/>
              </w:rPr>
            </w:pPr>
            <w:r w:rsidRPr="00914D7D">
              <w:rPr>
                <w:rFonts w:ascii="Calisto MT" w:hAnsi="Calisto MT"/>
                <w:b/>
                <w:bCs/>
                <w:sz w:val="22"/>
                <w:szCs w:val="22"/>
              </w:rPr>
              <w:t>Option C:</w:t>
            </w:r>
            <w:r w:rsidRPr="00914D7D">
              <w:rPr>
                <w:rFonts w:ascii="Calisto MT" w:hAnsi="Calisto MT"/>
                <w:sz w:val="22"/>
                <w:szCs w:val="22"/>
              </w:rPr>
              <w:t> </w:t>
            </w:r>
            <w:r>
              <w:rPr>
                <w:rFonts w:ascii="Calisto MT" w:hAnsi="Calisto MT"/>
                <w:sz w:val="22"/>
                <w:szCs w:val="22"/>
              </w:rPr>
              <w:br/>
            </w:r>
            <w:r w:rsidRPr="00914D7D">
              <w:rPr>
                <w:rFonts w:ascii="Calisto MT" w:hAnsi="Calisto MT"/>
                <w:sz w:val="22"/>
                <w:szCs w:val="22"/>
              </w:rPr>
              <w:t>Fire Reimagined</w:t>
            </w:r>
          </w:p>
        </w:tc>
        <w:tc>
          <w:tcPr>
            <w:tcW w:w="3587" w:type="dxa"/>
            <w:vAlign w:val="center"/>
          </w:tcPr>
          <w:p w14:paraId="5347F5FB" w14:textId="1B15CB0F" w:rsidR="00914D7D" w:rsidRDefault="00914D7D" w:rsidP="00E75821">
            <w:pPr>
              <w:spacing w:before="60" w:after="60"/>
              <w:jc w:val="center"/>
              <w:rPr>
                <w:rFonts w:ascii="Calisto MT" w:hAnsi="Calisto MT"/>
                <w:sz w:val="22"/>
                <w:szCs w:val="22"/>
              </w:rPr>
            </w:pPr>
            <w:r w:rsidRPr="00914D7D">
              <w:rPr>
                <w:rFonts w:ascii="Calisto MT" w:hAnsi="Calisto MT"/>
                <w:b/>
                <w:bCs/>
                <w:sz w:val="22"/>
                <w:szCs w:val="22"/>
              </w:rPr>
              <w:t>Option D:</w:t>
            </w:r>
            <w:r w:rsidRPr="00914D7D">
              <w:rPr>
                <w:rFonts w:ascii="Calisto MT" w:hAnsi="Calisto MT"/>
                <w:sz w:val="22"/>
                <w:szCs w:val="22"/>
              </w:rPr>
              <w:t> </w:t>
            </w:r>
            <w:r>
              <w:rPr>
                <w:rFonts w:ascii="Calisto MT" w:hAnsi="Calisto MT"/>
                <w:sz w:val="22"/>
                <w:szCs w:val="22"/>
              </w:rPr>
              <w:br/>
            </w:r>
            <w:r w:rsidRPr="00914D7D">
              <w:rPr>
                <w:rFonts w:ascii="Calisto MT" w:hAnsi="Calisto MT"/>
                <w:sz w:val="22"/>
                <w:szCs w:val="22"/>
              </w:rPr>
              <w:t>Authority versus Individual</w:t>
            </w:r>
          </w:p>
        </w:tc>
      </w:tr>
    </w:tbl>
    <w:p w14:paraId="5E0A6403" w14:textId="77777777" w:rsidR="00D55DE6" w:rsidRDefault="00D55DE6" w:rsidP="006A02A6">
      <w:pPr>
        <w:spacing w:after="60"/>
        <w:jc w:val="center"/>
        <w:rPr>
          <w:rFonts w:ascii="Calisto MT" w:hAnsi="Calisto MT"/>
          <w:sz w:val="22"/>
          <w:szCs w:val="22"/>
        </w:rPr>
      </w:pPr>
    </w:p>
    <w:p w14:paraId="249ED6F8" w14:textId="218204E6" w:rsidR="00C3383E" w:rsidRDefault="00433AB2" w:rsidP="006C162B">
      <w:pPr>
        <w:spacing w:after="60"/>
        <w:rPr>
          <w:rFonts w:ascii="Calisto MT" w:hAnsi="Calisto MT"/>
          <w:sz w:val="22"/>
          <w:szCs w:val="22"/>
        </w:rPr>
      </w:pPr>
      <w:r>
        <w:rPr>
          <w:rFonts w:ascii="Calisto MT" w:hAnsi="Calisto MT"/>
          <w:b/>
          <w:bCs/>
          <w:sz w:val="22"/>
          <w:szCs w:val="22"/>
          <w:u w:val="single"/>
        </w:rPr>
        <w:t>Step 4</w:t>
      </w:r>
      <w:r w:rsidR="008058F8">
        <w:rPr>
          <w:rFonts w:ascii="Calisto MT" w:hAnsi="Calisto MT"/>
          <w:b/>
          <w:bCs/>
          <w:sz w:val="22"/>
          <w:szCs w:val="22"/>
          <w:u w:val="single"/>
        </w:rPr>
        <w:t>:</w:t>
      </w:r>
      <w:r w:rsidR="008058F8">
        <w:rPr>
          <w:rFonts w:ascii="Calisto MT" w:hAnsi="Calisto MT"/>
          <w:sz w:val="22"/>
          <w:szCs w:val="22"/>
        </w:rPr>
        <w:t xml:space="preserve"> Complete the reflection </w:t>
      </w:r>
      <w:r w:rsidR="007E7CD7">
        <w:rPr>
          <w:rFonts w:ascii="Calisto MT" w:hAnsi="Calisto MT"/>
          <w:sz w:val="22"/>
          <w:szCs w:val="22"/>
        </w:rPr>
        <w:t>question below. Stellar responses will be at least five thoughtful sentences that include both text evidence and analysis.</w:t>
      </w:r>
    </w:p>
    <w:tbl>
      <w:tblPr>
        <w:tblStyle w:val="TableGrid"/>
        <w:tblW w:w="0" w:type="auto"/>
        <w:tblLook w:val="04A0" w:firstRow="1" w:lastRow="0" w:firstColumn="1" w:lastColumn="0" w:noHBand="0" w:noVBand="1"/>
      </w:tblPr>
      <w:tblGrid>
        <w:gridCol w:w="14390"/>
      </w:tblGrid>
      <w:tr w:rsidR="00616D9E" w14:paraId="5526A34C" w14:textId="77777777" w:rsidTr="00616D9E">
        <w:tc>
          <w:tcPr>
            <w:tcW w:w="14390" w:type="dxa"/>
            <w:shd w:val="clear" w:color="auto" w:fill="153D63" w:themeFill="text2" w:themeFillTint="E6"/>
          </w:tcPr>
          <w:p w14:paraId="306606FB" w14:textId="377FD3C4" w:rsidR="00616D9E" w:rsidRPr="00616D9E" w:rsidRDefault="00933854" w:rsidP="00B228D2">
            <w:pPr>
              <w:spacing w:before="60" w:after="60"/>
              <w:rPr>
                <w:rFonts w:ascii="Calisto MT" w:hAnsi="Calisto MT"/>
                <w:color w:val="FFFFFF" w:themeColor="background1"/>
                <w:sz w:val="22"/>
                <w:szCs w:val="22"/>
              </w:rPr>
            </w:pPr>
            <w:r w:rsidRPr="00933854">
              <w:rPr>
                <w:rFonts w:ascii="Calisto MT" w:hAnsi="Calisto MT"/>
                <w:color w:val="FFFFFF" w:themeColor="background1"/>
                <w:sz w:val="22"/>
                <w:szCs w:val="22"/>
              </w:rPr>
              <w:t>Which moment in Part III most defines who Montag becomes</w:t>
            </w:r>
            <w:r>
              <w:rPr>
                <w:rFonts w:ascii="Calisto MT" w:hAnsi="Calisto MT"/>
                <w:color w:val="FFFFFF" w:themeColor="background1"/>
                <w:sz w:val="22"/>
                <w:szCs w:val="22"/>
              </w:rPr>
              <w:t xml:space="preserve">, </w:t>
            </w:r>
            <w:r w:rsidRPr="00933854">
              <w:rPr>
                <w:rFonts w:ascii="Calisto MT" w:hAnsi="Calisto MT"/>
                <w:color w:val="FFFFFF" w:themeColor="background1"/>
                <w:sz w:val="22"/>
                <w:szCs w:val="22"/>
              </w:rPr>
              <w:t>and why did Bradbury need that moment to happen?</w:t>
            </w:r>
          </w:p>
        </w:tc>
      </w:tr>
      <w:tr w:rsidR="005A221F" w14:paraId="19076271" w14:textId="77777777" w:rsidTr="00616D9E">
        <w:tc>
          <w:tcPr>
            <w:tcW w:w="14390" w:type="dxa"/>
          </w:tcPr>
          <w:p w14:paraId="0BD582CB" w14:textId="1426A86F" w:rsidR="005A221F" w:rsidRDefault="005A221F" w:rsidP="005A221F">
            <w:pPr>
              <w:spacing w:before="60" w:after="60"/>
              <w:ind w:left="163"/>
              <w:rPr>
                <w:rFonts w:ascii="Calisto MT" w:hAnsi="Calisto MT"/>
                <w:sz w:val="22"/>
                <w:szCs w:val="22"/>
              </w:rPr>
            </w:pPr>
            <w:r>
              <w:t>The moment that most defines who Montag becomes is when he sees the hobos’ campfire and realizes, “It was not burning. It was warming” (Bradbury 145). For the entire novel, Montag has known fire only as a weapon, from the opening line, “It was a pleasure to burn,” to the moment he turns the flamethrower on Beatty (119). Bradbury needed this quiet moment after all the violence because killing Beatty only showed what Montag was against, not what he was for. By using short, parallel sentences to redefine the same symbol, Bradbury shows that Montag’s mind has changed at its core; he can finally see that fire, like knowledge, can be used to create rather than destroy. This realization leads directly to Montag joining Granger’s group and becoming a living copy of Ecclesiastes, someone who preserves ideas instead of erasing them. Without this moment, Montag would just be a man running from the law, but because of it, he becomes a man with a purpose: helping to rebuild a society that has burned itself down.</w:t>
            </w:r>
          </w:p>
        </w:tc>
      </w:tr>
    </w:tbl>
    <w:p w14:paraId="7D807712" w14:textId="77777777" w:rsidR="00616D9E" w:rsidRPr="008058F8" w:rsidRDefault="00616D9E">
      <w:pPr>
        <w:rPr>
          <w:rFonts w:ascii="Calisto MT" w:hAnsi="Calisto MT"/>
          <w:sz w:val="22"/>
          <w:szCs w:val="22"/>
        </w:rPr>
      </w:pPr>
    </w:p>
    <w:sectPr w:rsidR="00616D9E" w:rsidRPr="008058F8" w:rsidSect="007F58A2">
      <w:pgSz w:w="15840" w:h="12240" w:orient="landscape"/>
      <w:pgMar w:top="720" w:right="720" w:bottom="720" w:left="72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53E7510" w14:textId="77777777" w:rsidR="0026518A" w:rsidRDefault="0026518A" w:rsidP="0026518A">
      <w:pPr>
        <w:spacing w:after="0" w:line="240" w:lineRule="auto"/>
      </w:pPr>
      <w:r>
        <w:separator/>
      </w:r>
    </w:p>
  </w:endnote>
  <w:endnote w:type="continuationSeparator" w:id="0">
    <w:p w14:paraId="71455B3F" w14:textId="77777777" w:rsidR="0026518A" w:rsidRDefault="0026518A" w:rsidP="0026518A">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sto MT">
    <w:panose1 w:val="02040603050505030304"/>
    <w:charset w:val="00"/>
    <w:family w:val="roman"/>
    <w:pitch w:val="variable"/>
    <w:sig w:usb0="00000003" w:usb1="00000000" w:usb2="00000000" w:usb3="00000000" w:csb0="00000001" w:csb1="00000000"/>
  </w:font>
  <w:font w:name="DengXian">
    <w:altName w:val="等线"/>
    <w:panose1 w:val="02010600030101010101"/>
    <w:charset w:val="86"/>
    <w:family w:val="auto"/>
    <w:pitch w:val="variable"/>
    <w:sig w:usb0="A00002BF" w:usb1="38CF7CFA" w:usb2="00000016" w:usb3="00000000" w:csb0="0004000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DengXian Light">
    <w:altName w:val="等线 Light"/>
    <w:panose1 w:val="02010600030101010101"/>
    <w:charset w:val="86"/>
    <w:family w:val="auto"/>
    <w:pitch w:val="variable"/>
    <w:sig w:usb0="A00002BF" w:usb1="38CF7CFA" w:usb2="00000016" w:usb3="00000000" w:csb0="0004000F" w:csb1="00000000"/>
  </w:font>
  <w:font w:name="Rockwell">
    <w:panose1 w:val="02060603020205020403"/>
    <w:charset w:val="00"/>
    <w:family w:val="roman"/>
    <w:pitch w:val="variable"/>
    <w:sig w:usb0="00000007" w:usb1="00000000" w:usb2="00000000" w:usb3="00000000" w:csb0="00000003"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35F383E" w14:textId="77777777" w:rsidR="0026518A" w:rsidRDefault="0026518A" w:rsidP="0026518A">
      <w:pPr>
        <w:spacing w:after="0" w:line="240" w:lineRule="auto"/>
      </w:pPr>
      <w:r>
        <w:separator/>
      </w:r>
    </w:p>
  </w:footnote>
  <w:footnote w:type="continuationSeparator" w:id="0">
    <w:p w14:paraId="37D40E5B" w14:textId="77777777" w:rsidR="0026518A" w:rsidRDefault="0026518A" w:rsidP="0026518A">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D3E32F3"/>
    <w:multiLevelType w:val="hybridMultilevel"/>
    <w:tmpl w:val="5CF23A3E"/>
    <w:lvl w:ilvl="0" w:tplc="0409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 w15:restartNumberingAfterBreak="0">
    <w:nsid w:val="0EEC3513"/>
    <w:multiLevelType w:val="hybridMultilevel"/>
    <w:tmpl w:val="AA90E832"/>
    <w:lvl w:ilvl="0" w:tplc="31EC768E">
      <w:numFmt w:val="bullet"/>
      <w:lvlText w:val=""/>
      <w:lvlJc w:val="left"/>
      <w:pPr>
        <w:ind w:left="720" w:hanging="360"/>
      </w:pPr>
      <w:rPr>
        <w:rFonts w:ascii="Calisto MT" w:eastAsiaTheme="minorEastAsia" w:hAnsi="Calisto MT"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16377FC4"/>
    <w:multiLevelType w:val="hybridMultilevel"/>
    <w:tmpl w:val="6DAA8A2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1E4751C3"/>
    <w:multiLevelType w:val="hybridMultilevel"/>
    <w:tmpl w:val="DDB27E3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1F4C5595"/>
    <w:multiLevelType w:val="hybridMultilevel"/>
    <w:tmpl w:val="AD5AE5E0"/>
    <w:lvl w:ilvl="0" w:tplc="04090001">
      <w:start w:val="1"/>
      <w:numFmt w:val="bullet"/>
      <w:lvlText w:val=""/>
      <w:lvlJc w:val="left"/>
      <w:pPr>
        <w:ind w:left="1080" w:hanging="360"/>
      </w:pPr>
      <w:rPr>
        <w:rFonts w:ascii="Symbol" w:hAnsi="Symbol" w:hint="default"/>
      </w:rPr>
    </w:lvl>
    <w:lvl w:ilvl="1" w:tplc="FFFFFFFF" w:tentative="1">
      <w:start w:val="1"/>
      <w:numFmt w:val="bullet"/>
      <w:lvlText w:val="o"/>
      <w:lvlJc w:val="left"/>
      <w:pPr>
        <w:ind w:left="1800" w:hanging="360"/>
      </w:pPr>
      <w:rPr>
        <w:rFonts w:ascii="Courier New" w:hAnsi="Courier New" w:cs="Courier New" w:hint="default"/>
      </w:rPr>
    </w:lvl>
    <w:lvl w:ilvl="2" w:tplc="FFFFFFFF" w:tentative="1">
      <w:start w:val="1"/>
      <w:numFmt w:val="bullet"/>
      <w:lvlText w:val=""/>
      <w:lvlJc w:val="left"/>
      <w:pPr>
        <w:ind w:left="2520" w:hanging="360"/>
      </w:pPr>
      <w:rPr>
        <w:rFonts w:ascii="Wingdings" w:hAnsi="Wingdings" w:hint="default"/>
      </w:rPr>
    </w:lvl>
    <w:lvl w:ilvl="3" w:tplc="FFFFFFFF" w:tentative="1">
      <w:start w:val="1"/>
      <w:numFmt w:val="bullet"/>
      <w:lvlText w:val=""/>
      <w:lvlJc w:val="left"/>
      <w:pPr>
        <w:ind w:left="3240" w:hanging="360"/>
      </w:pPr>
      <w:rPr>
        <w:rFonts w:ascii="Symbol" w:hAnsi="Symbol" w:hint="default"/>
      </w:rPr>
    </w:lvl>
    <w:lvl w:ilvl="4" w:tplc="FFFFFFFF" w:tentative="1">
      <w:start w:val="1"/>
      <w:numFmt w:val="bullet"/>
      <w:lvlText w:val="o"/>
      <w:lvlJc w:val="left"/>
      <w:pPr>
        <w:ind w:left="3960" w:hanging="360"/>
      </w:pPr>
      <w:rPr>
        <w:rFonts w:ascii="Courier New" w:hAnsi="Courier New" w:cs="Courier New" w:hint="default"/>
      </w:rPr>
    </w:lvl>
    <w:lvl w:ilvl="5" w:tplc="FFFFFFFF" w:tentative="1">
      <w:start w:val="1"/>
      <w:numFmt w:val="bullet"/>
      <w:lvlText w:val=""/>
      <w:lvlJc w:val="left"/>
      <w:pPr>
        <w:ind w:left="4680" w:hanging="360"/>
      </w:pPr>
      <w:rPr>
        <w:rFonts w:ascii="Wingdings" w:hAnsi="Wingdings" w:hint="default"/>
      </w:rPr>
    </w:lvl>
    <w:lvl w:ilvl="6" w:tplc="FFFFFFFF" w:tentative="1">
      <w:start w:val="1"/>
      <w:numFmt w:val="bullet"/>
      <w:lvlText w:val=""/>
      <w:lvlJc w:val="left"/>
      <w:pPr>
        <w:ind w:left="5400" w:hanging="360"/>
      </w:pPr>
      <w:rPr>
        <w:rFonts w:ascii="Symbol" w:hAnsi="Symbol" w:hint="default"/>
      </w:rPr>
    </w:lvl>
    <w:lvl w:ilvl="7" w:tplc="FFFFFFFF" w:tentative="1">
      <w:start w:val="1"/>
      <w:numFmt w:val="bullet"/>
      <w:lvlText w:val="o"/>
      <w:lvlJc w:val="left"/>
      <w:pPr>
        <w:ind w:left="6120" w:hanging="360"/>
      </w:pPr>
      <w:rPr>
        <w:rFonts w:ascii="Courier New" w:hAnsi="Courier New" w:cs="Courier New" w:hint="default"/>
      </w:rPr>
    </w:lvl>
    <w:lvl w:ilvl="8" w:tplc="FFFFFFFF" w:tentative="1">
      <w:start w:val="1"/>
      <w:numFmt w:val="bullet"/>
      <w:lvlText w:val=""/>
      <w:lvlJc w:val="left"/>
      <w:pPr>
        <w:ind w:left="6840" w:hanging="360"/>
      </w:pPr>
      <w:rPr>
        <w:rFonts w:ascii="Wingdings" w:hAnsi="Wingdings" w:hint="default"/>
      </w:rPr>
    </w:lvl>
  </w:abstractNum>
  <w:abstractNum w:abstractNumId="5" w15:restartNumberingAfterBreak="0">
    <w:nsid w:val="45FF09C5"/>
    <w:multiLevelType w:val="hybridMultilevel"/>
    <w:tmpl w:val="E13A0D28"/>
    <w:lvl w:ilvl="0" w:tplc="04404F1A">
      <w:start w:val="1"/>
      <w:numFmt w:val="decimal"/>
      <w:lvlText w:val="%1"/>
      <w:lvlJc w:val="left"/>
      <w:pPr>
        <w:ind w:left="1050" w:hanging="360"/>
      </w:pPr>
      <w:rPr>
        <w:rFonts w:hint="default"/>
        <w:color w:val="215E99" w:themeColor="text2" w:themeTint="BF"/>
      </w:rPr>
    </w:lvl>
    <w:lvl w:ilvl="1" w:tplc="04090019" w:tentative="1">
      <w:start w:val="1"/>
      <w:numFmt w:val="lowerLetter"/>
      <w:lvlText w:val="%2."/>
      <w:lvlJc w:val="left"/>
      <w:pPr>
        <w:ind w:left="1770" w:hanging="360"/>
      </w:pPr>
    </w:lvl>
    <w:lvl w:ilvl="2" w:tplc="0409001B" w:tentative="1">
      <w:start w:val="1"/>
      <w:numFmt w:val="lowerRoman"/>
      <w:lvlText w:val="%3."/>
      <w:lvlJc w:val="right"/>
      <w:pPr>
        <w:ind w:left="2490" w:hanging="180"/>
      </w:pPr>
    </w:lvl>
    <w:lvl w:ilvl="3" w:tplc="0409000F" w:tentative="1">
      <w:start w:val="1"/>
      <w:numFmt w:val="decimal"/>
      <w:lvlText w:val="%4."/>
      <w:lvlJc w:val="left"/>
      <w:pPr>
        <w:ind w:left="3210" w:hanging="360"/>
      </w:pPr>
    </w:lvl>
    <w:lvl w:ilvl="4" w:tplc="04090019" w:tentative="1">
      <w:start w:val="1"/>
      <w:numFmt w:val="lowerLetter"/>
      <w:lvlText w:val="%5."/>
      <w:lvlJc w:val="left"/>
      <w:pPr>
        <w:ind w:left="3930" w:hanging="360"/>
      </w:pPr>
    </w:lvl>
    <w:lvl w:ilvl="5" w:tplc="0409001B" w:tentative="1">
      <w:start w:val="1"/>
      <w:numFmt w:val="lowerRoman"/>
      <w:lvlText w:val="%6."/>
      <w:lvlJc w:val="right"/>
      <w:pPr>
        <w:ind w:left="4650" w:hanging="180"/>
      </w:pPr>
    </w:lvl>
    <w:lvl w:ilvl="6" w:tplc="0409000F" w:tentative="1">
      <w:start w:val="1"/>
      <w:numFmt w:val="decimal"/>
      <w:lvlText w:val="%7."/>
      <w:lvlJc w:val="left"/>
      <w:pPr>
        <w:ind w:left="5370" w:hanging="360"/>
      </w:pPr>
    </w:lvl>
    <w:lvl w:ilvl="7" w:tplc="04090019" w:tentative="1">
      <w:start w:val="1"/>
      <w:numFmt w:val="lowerLetter"/>
      <w:lvlText w:val="%8."/>
      <w:lvlJc w:val="left"/>
      <w:pPr>
        <w:ind w:left="6090" w:hanging="360"/>
      </w:pPr>
    </w:lvl>
    <w:lvl w:ilvl="8" w:tplc="0409001B" w:tentative="1">
      <w:start w:val="1"/>
      <w:numFmt w:val="lowerRoman"/>
      <w:lvlText w:val="%9."/>
      <w:lvlJc w:val="right"/>
      <w:pPr>
        <w:ind w:left="6810" w:hanging="180"/>
      </w:pPr>
    </w:lvl>
  </w:abstractNum>
  <w:abstractNum w:abstractNumId="6" w15:restartNumberingAfterBreak="0">
    <w:nsid w:val="7BAE15FA"/>
    <w:multiLevelType w:val="hybridMultilevel"/>
    <w:tmpl w:val="F19EC0E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7FA82143"/>
    <w:multiLevelType w:val="hybridMultilevel"/>
    <w:tmpl w:val="829E63D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119302437">
    <w:abstractNumId w:val="5"/>
  </w:num>
  <w:num w:numId="2" w16cid:durableId="1999309836">
    <w:abstractNumId w:val="4"/>
  </w:num>
  <w:num w:numId="3" w16cid:durableId="1159805022">
    <w:abstractNumId w:val="2"/>
  </w:num>
  <w:num w:numId="4" w16cid:durableId="2031755305">
    <w:abstractNumId w:val="6"/>
  </w:num>
  <w:num w:numId="5" w16cid:durableId="1058624227">
    <w:abstractNumId w:val="3"/>
  </w:num>
  <w:num w:numId="6" w16cid:durableId="228926049">
    <w:abstractNumId w:val="1"/>
  </w:num>
  <w:num w:numId="7" w16cid:durableId="1525290759">
    <w:abstractNumId w:val="0"/>
  </w:num>
  <w:num w:numId="8" w16cid:durableId="1114323657">
    <w:abstractNumId w:val="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2"/>
  <w:proofState w:spelling="clean" w:grammar="clean"/>
  <w:defaultTabStop w:val="720"/>
  <w:characterSpacingControl w:val="doNotCompress"/>
  <w:hdrShapeDefaults>
    <o:shapedefaults v:ext="edit" spidmax="6145"/>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87468"/>
    <w:rsid w:val="001323E4"/>
    <w:rsid w:val="00196062"/>
    <w:rsid w:val="0026518A"/>
    <w:rsid w:val="002B7669"/>
    <w:rsid w:val="00433AB2"/>
    <w:rsid w:val="0046759E"/>
    <w:rsid w:val="004C2423"/>
    <w:rsid w:val="00572E4E"/>
    <w:rsid w:val="005A221F"/>
    <w:rsid w:val="00616D9E"/>
    <w:rsid w:val="006A02A6"/>
    <w:rsid w:val="006C162B"/>
    <w:rsid w:val="006C7281"/>
    <w:rsid w:val="007076DD"/>
    <w:rsid w:val="007D007A"/>
    <w:rsid w:val="007D2485"/>
    <w:rsid w:val="007E7CD7"/>
    <w:rsid w:val="007F58A2"/>
    <w:rsid w:val="008058F8"/>
    <w:rsid w:val="00841E3D"/>
    <w:rsid w:val="00845B3E"/>
    <w:rsid w:val="00884EEA"/>
    <w:rsid w:val="008F2411"/>
    <w:rsid w:val="00914D7D"/>
    <w:rsid w:val="00933854"/>
    <w:rsid w:val="00945071"/>
    <w:rsid w:val="009815F1"/>
    <w:rsid w:val="00983785"/>
    <w:rsid w:val="009B7DEE"/>
    <w:rsid w:val="009D0A85"/>
    <w:rsid w:val="00A902EE"/>
    <w:rsid w:val="00AC424E"/>
    <w:rsid w:val="00AE20FE"/>
    <w:rsid w:val="00AF1FAF"/>
    <w:rsid w:val="00B228D2"/>
    <w:rsid w:val="00B62B8F"/>
    <w:rsid w:val="00C3383E"/>
    <w:rsid w:val="00C836E0"/>
    <w:rsid w:val="00CF0368"/>
    <w:rsid w:val="00D008A8"/>
    <w:rsid w:val="00D35073"/>
    <w:rsid w:val="00D46B97"/>
    <w:rsid w:val="00D47609"/>
    <w:rsid w:val="00D55DE6"/>
    <w:rsid w:val="00D87468"/>
    <w:rsid w:val="00DF05E2"/>
    <w:rsid w:val="00DF4132"/>
    <w:rsid w:val="00E149BA"/>
    <w:rsid w:val="00E75821"/>
    <w:rsid w:val="00E97840"/>
    <w:rsid w:val="00EB7242"/>
    <w:rsid w:val="00F11FD6"/>
    <w:rsid w:val="00F67271"/>
    <w:rsid w:val="00FA0770"/>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6145"/>
    <o:shapelayout v:ext="edit">
      <o:idmap v:ext="edit" data="1"/>
    </o:shapelayout>
  </w:shapeDefaults>
  <w:decimalSymbol w:val="."/>
  <w:listSeparator w:val=","/>
  <w14:docId w14:val="6F61534C"/>
  <w15:chartTrackingRefBased/>
  <w15:docId w15:val="{F10966EA-5453-4C52-B2D2-FD748531172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US" w:eastAsia="zh-CN"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87468"/>
  </w:style>
  <w:style w:type="paragraph" w:styleId="Heading1">
    <w:name w:val="heading 1"/>
    <w:basedOn w:val="Normal"/>
    <w:next w:val="Normal"/>
    <w:link w:val="Heading1Char"/>
    <w:uiPriority w:val="9"/>
    <w:qFormat/>
    <w:rsid w:val="00D87468"/>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D87468"/>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D87468"/>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D87468"/>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D87468"/>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D87468"/>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D87468"/>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D87468"/>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D87468"/>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D87468"/>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D87468"/>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D87468"/>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D87468"/>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D87468"/>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D87468"/>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D87468"/>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D87468"/>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D87468"/>
    <w:rPr>
      <w:rFonts w:eastAsiaTheme="majorEastAsia" w:cstheme="majorBidi"/>
      <w:color w:val="272727" w:themeColor="text1" w:themeTint="D8"/>
    </w:rPr>
  </w:style>
  <w:style w:type="paragraph" w:styleId="Title">
    <w:name w:val="Title"/>
    <w:basedOn w:val="Normal"/>
    <w:next w:val="Normal"/>
    <w:link w:val="TitleChar"/>
    <w:uiPriority w:val="10"/>
    <w:qFormat/>
    <w:rsid w:val="00D87468"/>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D87468"/>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D87468"/>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D87468"/>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D87468"/>
    <w:pPr>
      <w:spacing w:before="160"/>
      <w:jc w:val="center"/>
    </w:pPr>
    <w:rPr>
      <w:i/>
      <w:iCs/>
      <w:color w:val="404040" w:themeColor="text1" w:themeTint="BF"/>
    </w:rPr>
  </w:style>
  <w:style w:type="character" w:customStyle="1" w:styleId="QuoteChar">
    <w:name w:val="Quote Char"/>
    <w:basedOn w:val="DefaultParagraphFont"/>
    <w:link w:val="Quote"/>
    <w:uiPriority w:val="29"/>
    <w:rsid w:val="00D87468"/>
    <w:rPr>
      <w:i/>
      <w:iCs/>
      <w:color w:val="404040" w:themeColor="text1" w:themeTint="BF"/>
    </w:rPr>
  </w:style>
  <w:style w:type="paragraph" w:styleId="ListParagraph">
    <w:name w:val="List Paragraph"/>
    <w:basedOn w:val="Normal"/>
    <w:uiPriority w:val="34"/>
    <w:qFormat/>
    <w:rsid w:val="00D87468"/>
    <w:pPr>
      <w:ind w:left="720"/>
      <w:contextualSpacing/>
    </w:pPr>
  </w:style>
  <w:style w:type="character" w:styleId="IntenseEmphasis">
    <w:name w:val="Intense Emphasis"/>
    <w:basedOn w:val="DefaultParagraphFont"/>
    <w:uiPriority w:val="21"/>
    <w:qFormat/>
    <w:rsid w:val="00D87468"/>
    <w:rPr>
      <w:i/>
      <w:iCs/>
      <w:color w:val="0F4761" w:themeColor="accent1" w:themeShade="BF"/>
    </w:rPr>
  </w:style>
  <w:style w:type="paragraph" w:styleId="IntenseQuote">
    <w:name w:val="Intense Quote"/>
    <w:basedOn w:val="Normal"/>
    <w:next w:val="Normal"/>
    <w:link w:val="IntenseQuoteChar"/>
    <w:uiPriority w:val="30"/>
    <w:qFormat/>
    <w:rsid w:val="00D87468"/>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D87468"/>
    <w:rPr>
      <w:i/>
      <w:iCs/>
      <w:color w:val="0F4761" w:themeColor="accent1" w:themeShade="BF"/>
    </w:rPr>
  </w:style>
  <w:style w:type="character" w:styleId="IntenseReference">
    <w:name w:val="Intense Reference"/>
    <w:basedOn w:val="DefaultParagraphFont"/>
    <w:uiPriority w:val="32"/>
    <w:qFormat/>
    <w:rsid w:val="00D87468"/>
    <w:rPr>
      <w:b/>
      <w:bCs/>
      <w:smallCaps/>
      <w:color w:val="0F4761" w:themeColor="accent1" w:themeShade="BF"/>
      <w:spacing w:val="5"/>
    </w:rPr>
  </w:style>
  <w:style w:type="table" w:styleId="TableGrid">
    <w:name w:val="Table Grid"/>
    <w:basedOn w:val="TableNormal"/>
    <w:uiPriority w:val="39"/>
    <w:rsid w:val="00D87468"/>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Header">
    <w:name w:val="header"/>
    <w:basedOn w:val="Normal"/>
    <w:link w:val="HeaderChar"/>
    <w:uiPriority w:val="99"/>
    <w:unhideWhenUsed/>
    <w:rsid w:val="0026518A"/>
    <w:pPr>
      <w:tabs>
        <w:tab w:val="center" w:pos="4680"/>
        <w:tab w:val="right" w:pos="9360"/>
      </w:tabs>
      <w:spacing w:after="0" w:line="240" w:lineRule="auto"/>
    </w:pPr>
  </w:style>
  <w:style w:type="character" w:customStyle="1" w:styleId="HeaderChar">
    <w:name w:val="Header Char"/>
    <w:basedOn w:val="DefaultParagraphFont"/>
    <w:link w:val="Header"/>
    <w:uiPriority w:val="99"/>
    <w:rsid w:val="0026518A"/>
  </w:style>
  <w:style w:type="paragraph" w:styleId="Footer">
    <w:name w:val="footer"/>
    <w:basedOn w:val="Normal"/>
    <w:link w:val="FooterChar"/>
    <w:uiPriority w:val="99"/>
    <w:unhideWhenUsed/>
    <w:rsid w:val="0026518A"/>
    <w:pPr>
      <w:tabs>
        <w:tab w:val="center" w:pos="4680"/>
        <w:tab w:val="right" w:pos="9360"/>
      </w:tabs>
      <w:spacing w:after="0" w:line="240" w:lineRule="auto"/>
    </w:pPr>
  </w:style>
  <w:style w:type="character" w:customStyle="1" w:styleId="FooterChar">
    <w:name w:val="Footer Char"/>
    <w:basedOn w:val="DefaultParagraphFont"/>
    <w:link w:val="Footer"/>
    <w:uiPriority w:val="99"/>
    <w:rsid w:val="0026518A"/>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0</TotalTime>
  <Pages>1</Pages>
  <Words>159</Words>
  <Characters>859</Characters>
  <Application>Microsoft Office Word</Application>
  <DocSecurity>0</DocSecurity>
  <Lines>35</Lines>
  <Paragraphs>24</Paragraphs>
  <ScaleCrop>false</ScaleCrop>
  <HeadingPairs>
    <vt:vector size="2" baseType="variant">
      <vt:variant>
        <vt:lpstr>Title</vt:lpstr>
      </vt:variant>
      <vt:variant>
        <vt:i4>1</vt:i4>
      </vt:variant>
    </vt:vector>
  </HeadingPairs>
  <TitlesOfParts>
    <vt:vector size="1" baseType="lpstr">
      <vt:lpstr/>
    </vt:vector>
  </TitlesOfParts>
  <Company>Katy ISD</Company>
  <LinksUpToDate>false</LinksUpToDate>
  <CharactersWithSpaces>994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Hann, Hailey K (SLHS)</dc:creator>
  <cp:keywords/>
  <dc:description/>
  <cp:lastModifiedBy>Hann, Hailey K (SLHS)</cp:lastModifiedBy>
  <cp:revision>16</cp:revision>
  <dcterms:created xsi:type="dcterms:W3CDTF">2025-12-31T17:57:00Z</dcterms:created>
  <dcterms:modified xsi:type="dcterms:W3CDTF">2025-12-31T18:12:00Z</dcterms:modified>
</cp:coreProperties>
</file>