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left"/>
      </w:pPr>
      <w:r>
        <w:drawing>
          <wp:inline xmlns:a="http://schemas.openxmlformats.org/drawingml/2006/main" xmlns:pic="http://schemas.openxmlformats.org/drawingml/2006/picture">
            <wp:extent cx="713232" cy="713232"/>
            <wp:docPr id="1" name="Picture 1"/>
            <wp:cNvGraphicFramePr>
              <a:graphicFrameLocks noChangeAspect="1"/>
            </wp:cNvGraphicFramePr>
            <a:graphic>
              <a:graphicData uri="http://schemas.openxmlformats.org/drawingml/2006/picture">
                <pic:pic>
                  <pic:nvPicPr>
                    <pic:cNvPr id="0" name="vitarich-logo.png"/>
                    <pic:cNvPicPr/>
                  </pic:nvPicPr>
                  <pic:blipFill>
                    <a:blip r:embed="rId9"/>
                    <a:stretch>
                      <a:fillRect/>
                    </a:stretch>
                  </pic:blipFill>
                  <pic:spPr>
                    <a:xfrm>
                      <a:off x="0" y="0"/>
                      <a:ext cx="713232" cy="713232"/>
                    </a:xfrm>
                    <a:prstGeom prst="rect"/>
                  </pic:spPr>
                </pic:pic>
              </a:graphicData>
            </a:graphic>
          </wp:inline>
        </w:drawing>
      </w:r>
    </w:p>
    <w:p>
      <w:pPr>
        <w:spacing w:after="40"/>
      </w:pPr>
      <w:r>
        <w:rPr>
          <w:rFonts w:ascii="Bahnschrift" w:hAnsi="Bahnschrift"/>
          <w:b/>
          <w:i w:val="0"/>
          <w:color w:val="9B7B1B"/>
          <w:sz w:val="22"/>
        </w:rPr>
        <w:t>VITA FMS</w:t>
      </w:r>
    </w:p>
    <w:p>
      <w:pPr>
        <w:spacing w:after="100"/>
      </w:pPr>
      <w:r>
        <w:rPr>
          <w:rFonts w:ascii="Bahnschrift" w:hAnsi="Bahnschrift"/>
          <w:b/>
          <w:i w:val="0"/>
          <w:color w:val="144D32"/>
          <w:sz w:val="68"/>
        </w:rPr>
        <w:t>Total Project Update</w:t>
      </w:r>
    </w:p>
    <w:p>
      <w:pPr>
        <w:spacing w:after="280"/>
      </w:pPr>
      <w:r>
        <w:rPr>
          <w:rFonts w:ascii="Georgia" w:hAnsi="Georgia"/>
          <w:b w:val="0"/>
          <w:i w:val="0"/>
          <w:color w:val="1F2933"/>
          <w:sz w:val="30"/>
        </w:rPr>
        <w:t>From process digitization to a connected farm-management operating platform</w:t>
      </w:r>
    </w:p>
    <w:p>
      <w:pPr>
        <w:spacing w:after="240"/>
      </w:pPr>
      <w:r>
        <w:drawing>
          <wp:inline xmlns:a="http://schemas.openxmlformats.org/drawingml/2006/main" xmlns:pic="http://schemas.openxmlformats.org/drawingml/2006/picture">
            <wp:extent cx="6236208" cy="3509732"/>
            <wp:docPr id="2" name="Picture 2"/>
            <wp:cNvGraphicFramePr>
              <a:graphicFrameLocks noChangeAspect="1"/>
            </wp:cNvGraphicFramePr>
            <a:graphic>
              <a:graphicData uri="http://schemas.openxmlformats.org/drawingml/2006/picture">
                <pic:pic>
                  <pic:nvPicPr>
                    <pic:cNvPr id="0" name="integrated-campus.png"/>
                    <pic:cNvPicPr/>
                  </pic:nvPicPr>
                  <pic:blipFill>
                    <a:blip r:embed="rId10"/>
                    <a:stretch>
                      <a:fillRect/>
                    </a:stretch>
                  </pic:blipFill>
                  <pic:spPr>
                    <a:xfrm>
                      <a:off x="0" y="0"/>
                      <a:ext cx="6236208" cy="3509732"/>
                    </a:xfrm>
                    <a:prstGeom prst="rect"/>
                  </pic:spPr>
                </pic:pic>
              </a:graphicData>
            </a:graphic>
          </wp:inline>
        </w:drawing>
      </w:r>
    </w:p>
    <w:tbl>
      <w:tblPr>
        <w:tblW w:type="auto" w:w="0"/>
        <w:tblLayout w:type="fixed"/>
        <w:tblLook w:firstColumn="1" w:firstRow="1" w:lastColumn="0" w:lastRow="0" w:noHBand="0" w:noVBand="1" w:val="04A0"/>
      </w:tblPr>
      <w:tblGrid>
        <w:gridCol w:w="5083"/>
        <w:gridCol w:w="5083"/>
      </w:tblGrid>
      <w:tr>
        <w:tc>
          <w:tcPr>
            <w:tcW w:type="dxa" w:w="1944"/>
            <w:tcMar>
              <w:top w:w="80" w:type="dxa"/>
              <w:start w:w="60" w:type="dxa"/>
              <w:bottom w:w="80" w:type="dxa"/>
              <w:end w:w="60" w:type="dxa"/>
            </w:tcMar>
          </w:tcPr>
          <w:p>
            <w:r>
              <w:rPr>
                <w:rFonts w:ascii="Bahnschrift" w:hAnsi="Bahnschrift"/>
                <w:b/>
                <w:i w:val="0"/>
                <w:color w:val="9B7B1B"/>
                <w:sz w:val="15"/>
              </w:rPr>
              <w:t>REPORTING PERIOD</w:t>
            </w:r>
          </w:p>
        </w:tc>
        <w:tc>
          <w:tcPr>
            <w:tcW w:type="dxa" w:w="7200"/>
            <w:tcMar>
              <w:top w:w="80" w:type="dxa"/>
              <w:start w:w="60" w:type="dxa"/>
              <w:bottom w:w="80" w:type="dxa"/>
              <w:end w:w="60" w:type="dxa"/>
            </w:tcMar>
          </w:tcPr>
          <w:p>
            <w:r>
              <w:rPr>
                <w:rFonts w:ascii="Segoe UI" w:hAnsi="Segoe UI"/>
                <w:b/>
                <w:i w:val="0"/>
                <w:color w:val="1F2933"/>
                <w:sz w:val="19"/>
              </w:rPr>
              <w:t>01 May–25 August 2026</w:t>
            </w:r>
          </w:p>
        </w:tc>
      </w:tr>
      <w:tr>
        <w:tc>
          <w:tcPr>
            <w:tcW w:type="dxa" w:w="1944"/>
            <w:tcMar>
              <w:top w:w="80" w:type="dxa"/>
              <w:start w:w="60" w:type="dxa"/>
              <w:bottom w:w="80" w:type="dxa"/>
              <w:end w:w="60" w:type="dxa"/>
            </w:tcMar>
          </w:tcPr>
          <w:p>
            <w:r>
              <w:rPr>
                <w:rFonts w:ascii="Bahnschrift" w:hAnsi="Bahnschrift"/>
                <w:b/>
                <w:i w:val="0"/>
                <w:color w:val="9B7B1B"/>
                <w:sz w:val="15"/>
              </w:rPr>
              <w:t>PREPARED FOR</w:t>
            </w:r>
          </w:p>
        </w:tc>
        <w:tc>
          <w:tcPr>
            <w:tcW w:type="dxa" w:w="7200"/>
            <w:tcMar>
              <w:top w:w="80" w:type="dxa"/>
              <w:start w:w="60" w:type="dxa"/>
              <w:bottom w:w="80" w:type="dxa"/>
              <w:end w:w="60" w:type="dxa"/>
            </w:tcMar>
          </w:tcPr>
          <w:p>
            <w:r>
              <w:rPr>
                <w:rFonts w:ascii="Segoe UI" w:hAnsi="Segoe UI"/>
                <w:b/>
                <w:i w:val="0"/>
                <w:color w:val="1F2933"/>
                <w:sz w:val="19"/>
              </w:rPr>
              <w:t>Chief Executive Officer</w:t>
            </w:r>
          </w:p>
        </w:tc>
      </w:tr>
    </w:tbl>
    <w:p>
      <w:r>
        <w:br w:type="page"/>
      </w:r>
    </w:p>
    <w:p>
      <w:pPr>
        <w:spacing w:after="40"/>
      </w:pPr>
      <w:r>
        <w:rPr>
          <w:rFonts w:ascii="Bahnschrift" w:hAnsi="Bahnschrift"/>
          <w:b/>
          <w:i w:val="0"/>
          <w:color w:val="9B7B1B"/>
          <w:sz w:val="17"/>
        </w:rPr>
        <w:t>CEO READOUT</w:t>
      </w:r>
    </w:p>
    <w:p>
      <w:pPr>
        <w:pStyle w:val="Heading1"/>
        <w:keepNext/>
        <w:spacing w:before="240" w:after="120"/>
      </w:pPr>
      <w:r>
        <w:rPr>
          <w:rFonts w:ascii="Bahnschrift" w:hAnsi="Bahnschrift"/>
          <w:b/>
          <w:color w:val="144D32"/>
          <w:sz w:val="40"/>
        </w:rPr>
        <w:t>Executive summary</w:t>
      </w:r>
    </w:p>
    <w:tbl>
      <w:tblPr>
        <w:tblW w:type="auto" w:w="0"/>
        <w:tblLayout w:type="fixed"/>
        <w:tblLook w:firstColumn="1" w:firstRow="1" w:lastColumn="0" w:lastRow="0" w:noHBand="0" w:noVBand="1" w:val="04A0"/>
      </w:tblPr>
      <w:tblGrid>
        <w:gridCol w:w="5083"/>
        <w:gridCol w:w="5083"/>
      </w:tblGrid>
      <w:tr>
        <w:tc>
          <w:tcPr>
            <w:tcW w:type="dxa" w:w="144"/>
            <w:shd w:fill="144D32"/>
            <w:tcMar>
              <w:top w:w="80" w:type="dxa"/>
              <w:start w:w="20" w:type="dxa"/>
              <w:bottom w:w="80" w:type="dxa"/>
              <w:end w:w="20" w:type="dxa"/>
            </w:tcMar>
          </w:tcPr>
          <w:p/>
        </w:tc>
        <w:tc>
          <w:tcPr>
            <w:tcW w:type="dxa" w:w="9000"/>
            <w:shd w:fill="F2F6F3"/>
            <w:tcMar>
              <w:top w:w="150" w:type="dxa"/>
              <w:start w:w="180" w:type="dxa"/>
              <w:bottom w:w="150" w:type="dxa"/>
              <w:end w:w="180" w:type="dxa"/>
            </w:tcMar>
          </w:tcPr>
          <w:p>
            <w:pPr>
              <w:spacing w:after="60"/>
            </w:pPr>
            <w:r>
              <w:rPr>
                <w:rFonts w:ascii="Bahnschrift" w:hAnsi="Bahnschrift"/>
                <w:b/>
                <w:i w:val="0"/>
                <w:color w:val="144D32"/>
                <w:sz w:val="22"/>
              </w:rPr>
              <w:t>Headline</w:t>
            </w:r>
          </w:p>
          <w:p>
            <w:pPr>
              <w:spacing w:after="0" w:line="269" w:lineRule="auto"/>
            </w:pPr>
            <w:r>
              <w:rPr>
                <w:rFonts w:ascii="Segoe UI" w:hAnsi="Segoe UI"/>
                <w:b w:val="0"/>
                <w:i w:val="0"/>
                <w:color w:val="1F2933"/>
                <w:sz w:val="20"/>
              </w:rPr>
              <w:t>Between May and August, Vita FMS moved from a collection of operational screens toward an increasingly connected platform spanning Hatchery, Breeder, Broiler, Inventory, and shared governance. The strongest progress is the connection of operational events to farm, warehouse, batch, cycle, permission, approval, reporting, and notification structures.</w:t>
            </w:r>
          </w:p>
        </w:tc>
      </w:tr>
    </w:tbl>
    <w:p>
      <w:pPr>
        <w:spacing w:after="0"/>
      </w:pPr>
    </w:p>
    <w:tbl>
      <w:tblPr>
        <w:tblW w:type="auto" w:w="0"/>
        <w:tblLayout w:type="fixed"/>
        <w:tblLook w:firstColumn="1" w:firstRow="1" w:lastColumn="0" w:lastRow="0" w:noHBand="0" w:noVBand="1" w:val="04A0"/>
      </w:tblPr>
      <w:tblGrid>
        <w:gridCol w:w="2541"/>
        <w:gridCol w:w="2541"/>
        <w:gridCol w:w="2541"/>
        <w:gridCol w:w="2541"/>
      </w:tblGrid>
      <w:tr>
        <w:tc>
          <w:tcPr>
            <w:tcW w:type="dxa" w:w="2289"/>
            <w:shd w:fill="F2F6F3"/>
            <w:tcMar>
              <w:top w:w="150" w:type="dxa"/>
              <w:start w:w="120" w:type="dxa"/>
              <w:bottom w:w="150" w:type="dxa"/>
              <w:end w:w="120" w:type="dxa"/>
            </w:tcMar>
            <w:vAlign w:val="center"/>
          </w:tcPr>
          <w:p>
            <w:pPr>
              <w:spacing w:after="40"/>
              <w:jc w:val="center"/>
            </w:pPr>
            <w:r>
              <w:rPr>
                <w:rFonts w:ascii="Bahnschrift" w:hAnsi="Bahnschrift"/>
                <w:b/>
                <w:i w:val="0"/>
                <w:color w:val="144D32"/>
                <w:sz w:val="50"/>
              </w:rPr>
              <w:t>98</w:t>
            </w:r>
          </w:p>
          <w:p>
            <w:pPr>
              <w:spacing w:after="0"/>
              <w:jc w:val="center"/>
            </w:pPr>
            <w:r>
              <w:rPr>
                <w:rFonts w:ascii="Segoe UI" w:hAnsi="Segoe UI"/>
                <w:b w:val="0"/>
                <w:i w:val="0"/>
                <w:color w:val="5B6670"/>
                <w:sz w:val="17"/>
              </w:rPr>
              <w:t>integrated commits</w:t>
              <w:br/>
              <w:t>in dev-main</w:t>
            </w:r>
          </w:p>
        </w:tc>
        <w:tc>
          <w:tcPr>
            <w:tcW w:type="dxa" w:w="2289"/>
            <w:shd w:fill="F7F3E5"/>
            <w:tcMar>
              <w:top w:w="150" w:type="dxa"/>
              <w:start w:w="120" w:type="dxa"/>
              <w:bottom w:w="150" w:type="dxa"/>
              <w:end w:w="120" w:type="dxa"/>
            </w:tcMar>
            <w:vAlign w:val="center"/>
          </w:tcPr>
          <w:p>
            <w:pPr>
              <w:spacing w:after="40"/>
              <w:jc w:val="center"/>
            </w:pPr>
            <w:r>
              <w:rPr>
                <w:rFonts w:ascii="Bahnschrift" w:hAnsi="Bahnschrift"/>
                <w:b/>
                <w:i w:val="0"/>
                <w:color w:val="144D32"/>
                <w:sz w:val="50"/>
              </w:rPr>
              <w:t>469</w:t>
            </w:r>
          </w:p>
          <w:p>
            <w:pPr>
              <w:spacing w:after="0"/>
              <w:jc w:val="center"/>
            </w:pPr>
            <w:r>
              <w:rPr>
                <w:rFonts w:ascii="Segoe UI" w:hAnsi="Segoe UI"/>
                <w:b w:val="0"/>
                <w:i w:val="0"/>
                <w:color w:val="5B6670"/>
                <w:sz w:val="17"/>
              </w:rPr>
              <w:t>files changed</w:t>
              <w:br/>
              <w:t>since May 1</w:t>
            </w:r>
          </w:p>
        </w:tc>
        <w:tc>
          <w:tcPr>
            <w:tcW w:type="dxa" w:w="2289"/>
            <w:shd w:fill="F2F6F3"/>
            <w:tcMar>
              <w:top w:w="150" w:type="dxa"/>
              <w:start w:w="120" w:type="dxa"/>
              <w:bottom w:w="150" w:type="dxa"/>
              <w:end w:w="120" w:type="dxa"/>
            </w:tcMar>
            <w:vAlign w:val="center"/>
          </w:tcPr>
          <w:p>
            <w:pPr>
              <w:spacing w:after="40"/>
              <w:jc w:val="center"/>
            </w:pPr>
            <w:r>
              <w:rPr>
                <w:rFonts w:ascii="Bahnschrift" w:hAnsi="Bahnschrift"/>
                <w:b/>
                <w:i w:val="0"/>
                <w:color w:val="144D32"/>
                <w:sz w:val="50"/>
              </w:rPr>
              <w:t>4</w:t>
            </w:r>
          </w:p>
          <w:p>
            <w:pPr>
              <w:spacing w:after="0"/>
              <w:jc w:val="center"/>
            </w:pPr>
            <w:r>
              <w:rPr>
                <w:rFonts w:ascii="Segoe UI" w:hAnsi="Segoe UI"/>
                <w:b w:val="0"/>
                <w:i w:val="0"/>
                <w:color w:val="5B6670"/>
                <w:sz w:val="17"/>
              </w:rPr>
              <w:t>monthly delivery</w:t>
              <w:br/>
              <w:t>cycles covered</w:t>
            </w:r>
          </w:p>
        </w:tc>
        <w:tc>
          <w:tcPr>
            <w:tcW w:type="dxa" w:w="2289"/>
            <w:shd w:fill="F7F3E5"/>
            <w:tcMar>
              <w:top w:w="150" w:type="dxa"/>
              <w:start w:w="120" w:type="dxa"/>
              <w:bottom w:w="150" w:type="dxa"/>
              <w:end w:w="120" w:type="dxa"/>
            </w:tcMar>
            <w:vAlign w:val="center"/>
          </w:tcPr>
          <w:p>
            <w:pPr>
              <w:spacing w:after="40"/>
              <w:jc w:val="center"/>
            </w:pPr>
            <w:r>
              <w:rPr>
                <w:rFonts w:ascii="Bahnschrift" w:hAnsi="Bahnschrift"/>
                <w:b/>
                <w:i w:val="0"/>
                <w:color w:val="144D32"/>
                <w:sz w:val="50"/>
              </w:rPr>
              <w:t>5</w:t>
            </w:r>
          </w:p>
          <w:p>
            <w:pPr>
              <w:spacing w:after="0"/>
              <w:jc w:val="center"/>
            </w:pPr>
            <w:r>
              <w:rPr>
                <w:rFonts w:ascii="Segoe UI" w:hAnsi="Segoe UI"/>
                <w:b w:val="0"/>
                <w:i w:val="0"/>
                <w:color w:val="5B6670"/>
                <w:sz w:val="17"/>
              </w:rPr>
              <w:t>portfolio categories</w:t>
              <w:br/>
              <w:t>mapped end to end</w:t>
            </w:r>
          </w:p>
        </w:tc>
      </w:tr>
    </w:tbl>
    <w:p>
      <w:pPr>
        <w:spacing w:after="20"/>
      </w:pPr>
    </w:p>
    <w:p>
      <w:pPr>
        <w:spacing w:after="120" w:line="269" w:lineRule="auto"/>
      </w:pPr>
      <w:r>
        <w:rPr>
          <w:rFonts w:ascii="Segoe UI" w:hAnsi="Segoe UI"/>
          <w:b w:val="0"/>
          <w:i w:val="0"/>
          <w:color w:val="1F2933"/>
          <w:sz w:val="21"/>
        </w:rPr>
        <w:t>The most material business advance is the Broiler lifecycle: DOC Placement can establish farm and building cycles; Growing &amp; Farm Condition carries daily flock and inventory activity; Harvest &amp; Delivery uses eligible flock and batch data; Clean up closes participating cycles; and inventory reports reconcile the resulting ledger movements.</w:t>
      </w:r>
    </w:p>
    <w:p>
      <w:pPr>
        <w:spacing w:after="120" w:line="269" w:lineRule="auto"/>
      </w:pPr>
      <w:r>
        <w:rPr>
          <w:rFonts w:ascii="Segoe UI" w:hAnsi="Segoe UI"/>
          <w:b w:val="0"/>
          <w:i w:val="0"/>
          <w:color w:val="1F2933"/>
          <w:sz w:val="21"/>
        </w:rPr>
        <w:t>The second major advance is the Inventory backbone. Item, group, UoM, warehouse, batch, receipt, issue, transfer, audit, and warehouse-report capabilities now provide a common transaction layer used directly by operating modules.</w:t>
      </w:r>
    </w:p>
    <w:p>
      <w:pPr>
        <w:spacing w:after="120" w:line="269" w:lineRule="auto"/>
      </w:pPr>
      <w:r>
        <w:rPr>
          <w:rFonts w:ascii="Segoe UI" w:hAnsi="Segoe UI"/>
          <w:b w:val="0"/>
          <w:i w:val="0"/>
          <w:color w:val="1F2933"/>
          <w:sz w:val="21"/>
        </w:rPr>
        <w:t>Governance also matured through FMS-scoped user roles, standalone permission management, approval workflows, centralized notification rules, safer navigation enforcement, farm-authorized data filtering, and shared user-experience improvements.</w:t>
      </w:r>
    </w:p>
    <w:tbl>
      <w:tblPr>
        <w:tblW w:type="auto" w:w="0"/>
        <w:tblLayout w:type="fixed"/>
        <w:tblLook w:firstColumn="1" w:firstRow="1" w:lastColumn="0" w:lastRow="0" w:noHBand="0" w:noVBand="1" w:val="04A0"/>
      </w:tblPr>
      <w:tblGrid>
        <w:gridCol w:w="5083"/>
        <w:gridCol w:w="5083"/>
      </w:tblGrid>
      <w:tr>
        <w:tc>
          <w:tcPr>
            <w:tcW w:type="dxa" w:w="144"/>
            <w:shd w:fill="9B7B1B"/>
            <w:tcMar>
              <w:top w:w="80" w:type="dxa"/>
              <w:start w:w="20" w:type="dxa"/>
              <w:bottom w:w="80" w:type="dxa"/>
              <w:end w:w="20" w:type="dxa"/>
            </w:tcMar>
          </w:tcPr>
          <w:p/>
        </w:tc>
        <w:tc>
          <w:tcPr>
            <w:tcW w:type="dxa" w:w="9000"/>
            <w:shd w:fill="F7F3E5"/>
            <w:tcMar>
              <w:top w:w="150" w:type="dxa"/>
              <w:start w:w="180" w:type="dxa"/>
              <w:bottom w:w="150" w:type="dxa"/>
              <w:end w:w="180" w:type="dxa"/>
            </w:tcMar>
          </w:tcPr>
          <w:p>
            <w:pPr>
              <w:spacing w:after="60"/>
            </w:pPr>
            <w:r>
              <w:rPr>
                <w:rFonts w:ascii="Bahnschrift" w:hAnsi="Bahnschrift"/>
                <w:b/>
                <w:i w:val="0"/>
                <w:color w:val="9B7B1B"/>
                <w:sz w:val="22"/>
              </w:rPr>
              <w:t>Executive caution</w:t>
            </w:r>
          </w:p>
          <w:p>
            <w:pPr>
              <w:spacing w:after="0" w:line="269" w:lineRule="auto"/>
            </w:pPr>
            <w:r>
              <w:rPr>
                <w:rFonts w:ascii="Segoe UI" w:hAnsi="Segoe UI"/>
                <w:b w:val="0"/>
                <w:i w:val="0"/>
                <w:color w:val="1F2933"/>
                <w:sz w:val="20"/>
              </w:rPr>
              <w:t>Integrated code is not the same as a production-complete capability. Several migrations, Supabase/RPC changes, browser flows, email delivery, and branch/local work still require controlled deployment and live verification. This report therefore presents delivery status explicitly and avoids treating unverified work as released.</w:t>
            </w:r>
          </w:p>
        </w:tc>
      </w:tr>
    </w:tbl>
    <w:p>
      <w:pPr>
        <w:spacing w:after="0"/>
      </w:pPr>
    </w:p>
    <w:p>
      <w:pPr>
        <w:spacing w:after="40"/>
      </w:pPr>
      <w:r>
        <w:rPr>
          <w:rFonts w:ascii="Bahnschrift" w:hAnsi="Bahnschrift"/>
          <w:b/>
          <w:i w:val="0"/>
          <w:color w:val="9B7B1B"/>
          <w:sz w:val="17"/>
        </w:rPr>
        <w:t>METHOD</w:t>
      </w:r>
    </w:p>
    <w:p>
      <w:pPr>
        <w:pStyle w:val="Heading1"/>
        <w:keepNext/>
        <w:spacing w:before="240" w:after="120"/>
      </w:pPr>
      <w:r>
        <w:rPr>
          <w:rFonts w:ascii="Bahnschrift" w:hAnsi="Bahnschrift"/>
          <w:b/>
          <w:color w:val="144D32"/>
          <w:sz w:val="40"/>
        </w:rPr>
        <w:t>Scope and evidence</w:t>
      </w:r>
    </w:p>
    <w:p>
      <w:pPr>
        <w:pStyle w:val="ListBullet"/>
        <w:spacing w:after="60"/>
        <w:ind w:left="259" w:hanging="144"/>
      </w:pPr>
      <w:r>
        <w:rPr>
          <w:rFonts w:ascii="Segoe UI" w:hAnsi="Segoe UI"/>
          <w:b w:val="0"/>
          <w:i w:val="0"/>
          <w:color w:val="1F2933"/>
          <w:sz w:val="20"/>
        </w:rPr>
        <w:t>GitHub remotes were refreshed on 25 August 2026; the integrated baseline is origin/dev-main.</w:t>
      </w:r>
    </w:p>
    <w:p>
      <w:pPr>
        <w:pStyle w:val="ListBullet"/>
        <w:spacing w:after="60"/>
        <w:ind w:left="259" w:hanging="144"/>
      </w:pPr>
      <w:r>
        <w:rPr>
          <w:rFonts w:ascii="Segoe UI" w:hAnsi="Segoe UI"/>
          <w:b w:val="0"/>
          <w:i w:val="0"/>
          <w:color w:val="1F2933"/>
          <w:sz w:val="20"/>
        </w:rPr>
        <w:t>The integrated period contains 98 commits: May 24, June 27, July 26, and August 21.</w:t>
      </w:r>
    </w:p>
    <w:p>
      <w:pPr>
        <w:pStyle w:val="ListBullet"/>
        <w:spacing w:after="60"/>
        <w:ind w:left="259" w:hanging="144"/>
      </w:pPr>
      <w:r>
        <w:rPr>
          <w:rFonts w:ascii="Segoe UI" w:hAnsi="Segoe UI"/>
          <w:b w:val="0"/>
          <w:i w:val="0"/>
          <w:color w:val="1F2933"/>
          <w:sz w:val="20"/>
        </w:rPr>
        <w:t>The net change from the 29 April baseline to 25 August covers 469 files, 85,930 insertions, and 7,483 deletions. These are engineering-volume indicators, not business-value KPIs.</w:t>
      </w:r>
    </w:p>
    <w:p>
      <w:pPr>
        <w:pStyle w:val="ListBullet"/>
        <w:spacing w:after="60"/>
        <w:ind w:left="259" w:hanging="144"/>
      </w:pPr>
      <w:r>
        <w:rPr>
          <w:rFonts w:ascii="Segoe UI" w:hAnsi="Segoe UI"/>
          <w:b w:val="0"/>
          <w:i w:val="0"/>
          <w:color w:val="1F2933"/>
          <w:sz w:val="20"/>
        </w:rPr>
        <w:t>Branch-only work includes two Breeder commits on dev-baja and a Week Lock module on dev-cris.</w:t>
      </w:r>
    </w:p>
    <w:p>
      <w:pPr>
        <w:pStyle w:val="ListBullet"/>
        <w:spacing w:after="60"/>
        <w:ind w:left="259" w:hanging="144"/>
      </w:pPr>
      <w:r>
        <w:rPr>
          <w:rFonts w:ascii="Segoe UI" w:hAnsi="Segoe UI"/>
          <w:b w:val="0"/>
          <w:i w:val="0"/>
          <w:color w:val="1F2933"/>
          <w:sz w:val="20"/>
        </w:rPr>
        <w:t>The initial worktree snapshot contained 45 modified tracked files and seven pre-existing untracked feature paths; these are reported as In Progress.</w:t>
      </w:r>
    </w:p>
    <w:p>
      <w:pPr>
        <w:pStyle w:val="ListBullet"/>
        <w:spacing w:after="60"/>
        <w:ind w:left="259" w:hanging="144"/>
      </w:pPr>
      <w:r>
        <w:rPr>
          <w:rFonts w:ascii="Segoe UI" w:hAnsi="Segoe UI"/>
          <w:b w:val="0"/>
          <w:i w:val="0"/>
          <w:color w:val="1F2933"/>
          <w:sz w:val="20"/>
        </w:rPr>
        <w:t>Repository history, routes, settings, data-access code, SQL, and prior validation notes were reconciled to identify what each module connects to and where runtime verification remains incomplete.</w:t>
      </w:r>
    </w:p>
    <w:p>
      <w:pPr>
        <w:spacing w:after="100"/>
      </w:pPr>
      <w:r>
        <w:rPr>
          <w:rFonts w:ascii="Segoe UI" w:hAnsi="Segoe UI"/>
          <w:b/>
          <w:i w:val="0"/>
          <w:color w:val="1F2933"/>
          <w:sz w:val="18"/>
        </w:rPr>
        <w:t xml:space="preserve">Status legend: </w:t>
      </w:r>
      <w:r>
        <w:rPr>
          <w:rFonts w:ascii="Segoe UI" w:hAnsi="Segoe UI"/>
          <w:b/>
          <w:i w:val="0"/>
          <w:color w:val="144D32"/>
          <w:sz w:val="18"/>
        </w:rPr>
        <w:t>Integrated</w:t>
      </w:r>
      <w:r>
        <w:rPr>
          <w:rFonts w:ascii="Segoe UI" w:hAnsi="Segoe UI"/>
          <w:b w:val="0"/>
          <w:i w:val="0"/>
          <w:color w:val="5B6670"/>
          <w:sz w:val="18"/>
        </w:rPr>
        <w:t xml:space="preserve"> = committed to dev-main; </w:t>
      </w:r>
      <w:r>
        <w:rPr>
          <w:rFonts w:ascii="Segoe UI" w:hAnsi="Segoe UI"/>
          <w:b/>
          <w:i w:val="0"/>
          <w:color w:val="A76516"/>
          <w:sz w:val="18"/>
        </w:rPr>
        <w:t>Branch-only</w:t>
      </w:r>
      <w:r>
        <w:rPr>
          <w:rFonts w:ascii="Segoe UI" w:hAnsi="Segoe UI"/>
          <w:b w:val="0"/>
          <w:i w:val="0"/>
          <w:color w:val="5B6670"/>
          <w:sz w:val="18"/>
        </w:rPr>
        <w:t xml:space="preserve"> = committed but not integrated; </w:t>
      </w:r>
      <w:r>
        <w:rPr>
          <w:rFonts w:ascii="Segoe UI" w:hAnsi="Segoe UI"/>
          <w:b/>
          <w:i w:val="0"/>
          <w:color w:val="A76516"/>
          <w:sz w:val="18"/>
        </w:rPr>
        <w:t>In Progress</w:t>
      </w:r>
      <w:r>
        <w:rPr>
          <w:rFonts w:ascii="Segoe UI" w:hAnsi="Segoe UI"/>
          <w:b w:val="0"/>
          <w:i w:val="0"/>
          <w:color w:val="5B6670"/>
          <w:sz w:val="18"/>
        </w:rPr>
        <w:t xml:space="preserve"> = local uncommitted work; </w:t>
      </w:r>
      <w:r>
        <w:rPr>
          <w:rFonts w:ascii="Segoe UI" w:hAnsi="Segoe UI"/>
          <w:b/>
          <w:i w:val="0"/>
          <w:color w:val="A13D3D"/>
          <w:sz w:val="18"/>
        </w:rPr>
        <w:t>Verification pending</w:t>
      </w:r>
      <w:r>
        <w:rPr>
          <w:rFonts w:ascii="Segoe UI" w:hAnsi="Segoe UI"/>
          <w:b w:val="0"/>
          <w:i w:val="0"/>
          <w:color w:val="5B6670"/>
          <w:sz w:val="18"/>
        </w:rPr>
        <w:t xml:space="preserve"> = code exists but live deployment or runtime evidence is incomplete.</w:t>
      </w:r>
    </w:p>
    <w:p>
      <w:pPr>
        <w:spacing w:after="40"/>
      </w:pPr>
      <w:r>
        <w:rPr>
          <w:rFonts w:ascii="Bahnschrift" w:hAnsi="Bahnschrift"/>
          <w:b/>
          <w:i w:val="0"/>
          <w:color w:val="9B7B1B"/>
          <w:sz w:val="17"/>
        </w:rPr>
        <w:t>WHAT CONNECTS TO WHAT</w:t>
      </w:r>
    </w:p>
    <w:p>
      <w:pPr>
        <w:pStyle w:val="Heading1"/>
        <w:keepNext/>
        <w:spacing w:before="240" w:after="120"/>
      </w:pPr>
      <w:r>
        <w:rPr>
          <w:rFonts w:ascii="Bahnschrift" w:hAnsi="Bahnschrift"/>
          <w:b/>
          <w:color w:val="144D32"/>
          <w:sz w:val="40"/>
        </w:rPr>
        <w:t>Portfolio architecture</w:t>
      </w:r>
    </w:p>
    <w:tbl>
      <w:tblPr>
        <w:tblW w:type="auto" w:w="0"/>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353"/>
            <w:shd w:fill="F2F6F3"/>
            <w:tcMar>
              <w:top w:w="125" w:type="dxa"/>
              <w:start w:w="75" w:type="dxa"/>
              <w:bottom w:w="125" w:type="dxa"/>
              <w:end w:w="75" w:type="dxa"/>
            </w:tcMar>
            <w:vAlign w:val="center"/>
          </w:tcPr>
          <w:p>
            <w:pPr>
              <w:jc w:val="center"/>
            </w:pPr>
            <w:r>
              <w:rPr>
                <w:rFonts w:ascii="Bahnschrift" w:hAnsi="Bahnschrift"/>
                <w:b/>
                <w:i w:val="0"/>
                <w:color w:val="144D32"/>
                <w:sz w:val="16"/>
              </w:rPr>
              <w:t>Farm &amp; user context</w:t>
            </w:r>
          </w:p>
        </w:tc>
        <w:tc>
          <w:tcPr>
            <w:tcW w:type="dxa" w:w="216"/>
          </w:tcPr>
          <w:p>
            <w:pPr>
              <w:jc w:val="center"/>
            </w:pPr>
            <w:r>
              <w:rPr>
                <w:rFonts w:ascii="Segoe UI" w:hAnsi="Segoe UI"/>
                <w:b/>
                <w:i w:val="0"/>
                <w:color w:val="9B7B1B"/>
                <w:sz w:val="24"/>
              </w:rPr>
              <w:t>→</w:t>
            </w:r>
          </w:p>
        </w:tc>
        <w:tc>
          <w:tcPr>
            <w:tcW w:type="dxa" w:w="1353"/>
            <w:shd w:fill="F7F3E5"/>
            <w:tcMar>
              <w:top w:w="125" w:type="dxa"/>
              <w:start w:w="75" w:type="dxa"/>
              <w:bottom w:w="125" w:type="dxa"/>
              <w:end w:w="75" w:type="dxa"/>
            </w:tcMar>
            <w:vAlign w:val="center"/>
          </w:tcPr>
          <w:p>
            <w:pPr>
              <w:jc w:val="center"/>
            </w:pPr>
            <w:r>
              <w:rPr>
                <w:rFonts w:ascii="Bahnschrift" w:hAnsi="Bahnschrift"/>
                <w:b/>
                <w:i w:val="0"/>
                <w:color w:val="144D32"/>
                <w:sz w:val="16"/>
              </w:rPr>
              <w:t>FMS operating modules</w:t>
            </w:r>
          </w:p>
        </w:tc>
        <w:tc>
          <w:tcPr>
            <w:tcW w:type="dxa" w:w="216"/>
          </w:tcPr>
          <w:p>
            <w:pPr>
              <w:jc w:val="center"/>
            </w:pPr>
            <w:r>
              <w:rPr>
                <w:rFonts w:ascii="Segoe UI" w:hAnsi="Segoe UI"/>
                <w:b/>
                <w:i w:val="0"/>
                <w:color w:val="9B7B1B"/>
                <w:sz w:val="24"/>
              </w:rPr>
              <w:t>→</w:t>
            </w:r>
          </w:p>
        </w:tc>
        <w:tc>
          <w:tcPr>
            <w:tcW w:type="dxa" w:w="1353"/>
            <w:shd w:fill="F2F6F3"/>
            <w:tcMar>
              <w:top w:w="125" w:type="dxa"/>
              <w:start w:w="75" w:type="dxa"/>
              <w:bottom w:w="125" w:type="dxa"/>
              <w:end w:w="75" w:type="dxa"/>
            </w:tcMar>
            <w:vAlign w:val="center"/>
          </w:tcPr>
          <w:p>
            <w:pPr>
              <w:jc w:val="center"/>
            </w:pPr>
            <w:r>
              <w:rPr>
                <w:rFonts w:ascii="Bahnschrift" w:hAnsi="Bahnschrift"/>
                <w:b/>
                <w:i w:val="0"/>
                <w:color w:val="144D32"/>
                <w:sz w:val="16"/>
              </w:rPr>
              <w:t>Inventory ledger</w:t>
            </w:r>
          </w:p>
        </w:tc>
        <w:tc>
          <w:tcPr>
            <w:tcW w:type="dxa" w:w="216"/>
          </w:tcPr>
          <w:p>
            <w:pPr>
              <w:jc w:val="center"/>
            </w:pPr>
            <w:r>
              <w:rPr>
                <w:rFonts w:ascii="Segoe UI" w:hAnsi="Segoe UI"/>
                <w:b/>
                <w:i w:val="0"/>
                <w:color w:val="9B7B1B"/>
                <w:sz w:val="24"/>
              </w:rPr>
              <w:t>→</w:t>
            </w:r>
          </w:p>
        </w:tc>
        <w:tc>
          <w:tcPr>
            <w:tcW w:type="dxa" w:w="1353"/>
            <w:shd w:fill="F7F3E5"/>
            <w:tcMar>
              <w:top w:w="125" w:type="dxa"/>
              <w:start w:w="75" w:type="dxa"/>
              <w:bottom w:w="125" w:type="dxa"/>
              <w:end w:w="75" w:type="dxa"/>
            </w:tcMar>
            <w:vAlign w:val="center"/>
          </w:tcPr>
          <w:p>
            <w:pPr>
              <w:jc w:val="center"/>
            </w:pPr>
            <w:r>
              <w:rPr>
                <w:rFonts w:ascii="Bahnschrift" w:hAnsi="Bahnschrift"/>
                <w:b/>
                <w:i w:val="0"/>
                <w:color w:val="144D32"/>
                <w:sz w:val="16"/>
              </w:rPr>
              <w:t>Reports &amp; trace</w:t>
            </w:r>
          </w:p>
        </w:tc>
        <w:tc>
          <w:tcPr>
            <w:tcW w:type="dxa" w:w="216"/>
          </w:tcPr>
          <w:p>
            <w:pPr>
              <w:jc w:val="center"/>
            </w:pPr>
            <w:r>
              <w:rPr>
                <w:rFonts w:ascii="Segoe UI" w:hAnsi="Segoe UI"/>
                <w:b/>
                <w:i w:val="0"/>
                <w:color w:val="9B7B1B"/>
                <w:sz w:val="24"/>
              </w:rPr>
              <w:t>→</w:t>
            </w:r>
          </w:p>
        </w:tc>
        <w:tc>
          <w:tcPr>
            <w:tcW w:type="dxa" w:w="1353"/>
            <w:shd w:fill="F2F6F3"/>
            <w:tcMar>
              <w:top w:w="125" w:type="dxa"/>
              <w:start w:w="75" w:type="dxa"/>
              <w:bottom w:w="125" w:type="dxa"/>
              <w:end w:w="75" w:type="dxa"/>
            </w:tcMar>
            <w:vAlign w:val="center"/>
          </w:tcPr>
          <w:p>
            <w:pPr>
              <w:jc w:val="center"/>
            </w:pPr>
            <w:r>
              <w:rPr>
                <w:rFonts w:ascii="Bahnschrift" w:hAnsi="Bahnschrift"/>
                <w:b/>
                <w:i w:val="0"/>
                <w:color w:val="144D32"/>
                <w:sz w:val="16"/>
              </w:rPr>
              <w:t>Notifications &amp; approvals</w:t>
            </w:r>
          </w:p>
        </w:tc>
      </w:tr>
    </w:tbl>
    <w:p>
      <w:pPr>
        <w:spacing w:before="60" w:after="120"/>
        <w:jc w:val="center"/>
      </w:pPr>
      <w:r>
        <w:rPr>
          <w:rFonts w:ascii="Segoe UI" w:hAnsi="Segoe UI"/>
          <w:b w:val="0"/>
          <w:i/>
          <w:color w:val="5B6670"/>
          <w:sz w:val="16"/>
        </w:rPr>
        <w:t>Shared master data and governance frame every business workflow; operational posting then flows into ledger, reporting, trace, and communication controls.</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1944"/>
            <w:shd w:fill="144D32"/>
            <w:tcMar>
              <w:top w:w="110" w:type="dxa"/>
              <w:start w:w="100" w:type="dxa"/>
              <w:bottom w:w="110" w:type="dxa"/>
              <w:end w:w="100" w:type="dxa"/>
            </w:tcMar>
            <w:vAlign w:val="center"/>
          </w:tcPr>
          <w:p>
            <w:pPr>
              <w:jc w:val="left"/>
            </w:pPr>
            <w:r>
              <w:rPr>
                <w:rFonts w:ascii="Bahnschrift" w:hAnsi="Bahnschrift"/>
                <w:b/>
                <w:i w:val="0"/>
                <w:color w:val="FFFFFF"/>
                <w:sz w:val="17"/>
              </w:rPr>
              <w:t>Module</w:t>
            </w:r>
          </w:p>
        </w:tc>
        <w:tc>
          <w:tcPr>
            <w:tcW w:type="dxa" w:w="2520"/>
            <w:shd w:fill="144D32"/>
            <w:tcMar>
              <w:top w:w="110" w:type="dxa"/>
              <w:start w:w="100" w:type="dxa"/>
              <w:bottom w:w="110" w:type="dxa"/>
              <w:end w:w="100" w:type="dxa"/>
            </w:tcMar>
            <w:vAlign w:val="center"/>
          </w:tcPr>
          <w:p>
            <w:pPr>
              <w:jc w:val="left"/>
            </w:pPr>
            <w:r>
              <w:rPr>
                <w:rFonts w:ascii="Bahnschrift" w:hAnsi="Bahnschrift"/>
                <w:b/>
                <w:i w:val="0"/>
                <w:color w:val="FFFFFF"/>
                <w:sz w:val="17"/>
              </w:rPr>
              <w:t>What changed</w:t>
            </w:r>
          </w:p>
        </w:tc>
        <w:tc>
          <w:tcPr>
            <w:tcW w:type="dxa" w:w="3528"/>
            <w:shd w:fill="144D32"/>
            <w:tcMar>
              <w:top w:w="110" w:type="dxa"/>
              <w:start w:w="100" w:type="dxa"/>
              <w:bottom w:w="110" w:type="dxa"/>
              <w:end w:w="100" w:type="dxa"/>
            </w:tcMar>
            <w:vAlign w:val="center"/>
          </w:tcPr>
          <w:p>
            <w:pPr>
              <w:jc w:val="left"/>
            </w:pPr>
            <w:r>
              <w:rPr>
                <w:rFonts w:ascii="Bahnschrift" w:hAnsi="Bahnschrift"/>
                <w:b/>
                <w:i w:val="0"/>
                <w:color w:val="FFFFFF"/>
                <w:sz w:val="17"/>
              </w:rPr>
              <w:t>Connected to / business role</w:t>
            </w:r>
          </w:p>
        </w:tc>
        <w:tc>
          <w:tcPr>
            <w:tcW w:type="dxa" w:w="1224"/>
            <w:shd w:fill="144D32"/>
            <w:tcMar>
              <w:top w:w="110" w:type="dxa"/>
              <w:start w:w="100" w:type="dxa"/>
              <w:bottom w:w="110" w:type="dxa"/>
              <w:end w:w="100" w:type="dxa"/>
            </w:tcMar>
            <w:vAlign w:val="center"/>
          </w:tcPr>
          <w:p>
            <w:pPr>
              <w:jc w:val="center"/>
            </w:pPr>
            <w:r>
              <w:rPr>
                <w:rFonts w:ascii="Bahnschrift" w:hAnsi="Bahnschrift"/>
                <w:b/>
                <w:i w:val="0"/>
                <w:color w:val="FFFFFF"/>
                <w:sz w:val="17"/>
              </w:rPr>
              <w:t>Status</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Shared Platform</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Farm setup, users, permissions, approvals, notifications, navigation, reliability</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Controls who can operate, which farm/FMS is in scope, and how actions are governed and communicated.</w:t>
            </w:r>
          </w:p>
        </w:tc>
        <w:tc>
          <w:tcPr>
            <w:tcW w:type="dxa" w:w="1224"/>
            <w:tcMar>
              <w:top w:w="105" w:type="dxa"/>
              <w:start w:w="100" w:type="dxa"/>
              <w:bottom w:w="105" w:type="dxa"/>
              <w:end w:w="100" w:type="dxa"/>
            </w:tcMar>
            <w:vAlign w:val="center"/>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shd w:fill="F8FAF8"/>
          </w:tcPr>
          <w:p>
            <w:pPr>
              <w:spacing w:after="0"/>
            </w:pPr>
            <w:r>
              <w:rPr>
                <w:rFonts w:ascii="Segoe UI" w:hAnsi="Segoe UI"/>
                <w:b/>
                <w:i w:val="0"/>
                <w:color w:val="1F2933"/>
                <w:sz w:val="17"/>
              </w:rPr>
              <w:t>Inventory</w:t>
            </w:r>
          </w:p>
        </w:tc>
        <w:tc>
          <w:tcPr>
            <w:tcW w:type="dxa" w:w="2520"/>
            <w:tcMar>
              <w:top w:w="105" w:type="dxa"/>
              <w:start w:w="100" w:type="dxa"/>
              <w:bottom w:w="105" w:type="dxa"/>
              <w:end w:w="100" w:type="dxa"/>
            </w:tcMar>
            <w:vAlign w:val="center"/>
            <w:shd w:fill="F8FAF8"/>
          </w:tcPr>
          <w:p>
            <w:pPr>
              <w:spacing w:after="0"/>
            </w:pPr>
            <w:r>
              <w:rPr>
                <w:rFonts w:ascii="Segoe UI" w:hAnsi="Segoe UI"/>
                <w:b w:val="0"/>
                <w:i w:val="0"/>
                <w:color w:val="1F2933"/>
                <w:sz w:val="17"/>
              </w:rPr>
              <w:t>Masters, batches, stock in/out, transfers, audit, warehouse reporting</w:t>
            </w:r>
          </w:p>
        </w:tc>
        <w:tc>
          <w:tcPr>
            <w:tcW w:type="dxa" w:w="3528"/>
            <w:tcMar>
              <w:top w:w="105" w:type="dxa"/>
              <w:start w:w="100" w:type="dxa"/>
              <w:bottom w:w="105" w:type="dxa"/>
              <w:end w:w="100" w:type="dxa"/>
            </w:tcMar>
            <w:vAlign w:val="center"/>
            <w:shd w:fill="F8FAF8"/>
          </w:tcPr>
          <w:p>
            <w:pPr>
              <w:spacing w:after="0"/>
            </w:pPr>
            <w:r>
              <w:rPr>
                <w:rFonts w:ascii="Segoe UI" w:hAnsi="Segoe UI"/>
                <w:b w:val="0"/>
                <w:i w:val="0"/>
                <w:color w:val="1F2933"/>
                <w:sz w:val="17"/>
              </w:rPr>
              <w:t>Supplies item/warehouse/batch data and receives postings from operating modules.</w:t>
            </w:r>
          </w:p>
        </w:tc>
        <w:tc>
          <w:tcPr>
            <w:tcW w:type="dxa" w:w="1224"/>
            <w:tcMar>
              <w:top w:w="105" w:type="dxa"/>
              <w:start w:w="100" w:type="dxa"/>
              <w:bottom w:w="105" w:type="dxa"/>
              <w:end w:w="100" w:type="dxa"/>
            </w:tcMar>
            <w:vAlign w:val="center"/>
            <w:shd w:fill="F8FAF8"/>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Broiler</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DOC Placement, Cycle Master, Growing &amp; Farm Condition, Harvest &amp; Delivery, Clean up</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Connected lifecycle from placement through daily growing, delivery, clean-out, and cycle closure.</w:t>
            </w:r>
          </w:p>
        </w:tc>
        <w:tc>
          <w:tcPr>
            <w:tcW w:type="dxa" w:w="1224"/>
            <w:tcMar>
              <w:top w:w="105" w:type="dxa"/>
              <w:start w:w="100" w:type="dxa"/>
              <w:bottom w:w="105" w:type="dxa"/>
              <w:end w:w="100" w:type="dxa"/>
            </w:tcMar>
            <w:vAlign w:val="center"/>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shd w:fill="F8FAF8"/>
          </w:tcPr>
          <w:p>
            <w:pPr>
              <w:spacing w:after="0"/>
            </w:pPr>
            <w:r>
              <w:rPr>
                <w:rFonts w:ascii="Segoe UI" w:hAnsi="Segoe UI"/>
                <w:b/>
                <w:i w:val="0"/>
                <w:color w:val="1F2933"/>
                <w:sz w:val="17"/>
              </w:rPr>
              <w:t>Hatchery</w:t>
            </w:r>
          </w:p>
        </w:tc>
        <w:tc>
          <w:tcPr>
            <w:tcW w:type="dxa" w:w="2520"/>
            <w:tcMar>
              <w:top w:w="105" w:type="dxa"/>
              <w:start w:w="100" w:type="dxa"/>
              <w:bottom w:w="105" w:type="dxa"/>
              <w:end w:w="100" w:type="dxa"/>
            </w:tcMar>
            <w:vAlign w:val="center"/>
            <w:shd w:fill="F8FAF8"/>
          </w:tcPr>
          <w:p>
            <w:pPr>
              <w:spacing w:after="0"/>
            </w:pPr>
            <w:r>
              <w:rPr>
                <w:rFonts w:ascii="Segoe UI" w:hAnsi="Segoe UI"/>
                <w:b w:val="0"/>
                <w:i w:val="0"/>
                <w:color w:val="1F2933"/>
                <w:sz w:val="17"/>
              </w:rPr>
              <w:t>Receiving through DOC Dispatch and Disposal</w:t>
            </w:r>
          </w:p>
        </w:tc>
        <w:tc>
          <w:tcPr>
            <w:tcW w:type="dxa" w:w="3528"/>
            <w:tcMar>
              <w:top w:w="105" w:type="dxa"/>
              <w:start w:w="100" w:type="dxa"/>
              <w:bottom w:w="105" w:type="dxa"/>
              <w:end w:w="100" w:type="dxa"/>
            </w:tcMar>
            <w:vAlign w:val="center"/>
            <w:shd w:fill="F8FAF8"/>
          </w:tcPr>
          <w:p>
            <w:pPr>
              <w:spacing w:after="0"/>
            </w:pPr>
            <w:r>
              <w:rPr>
                <w:rFonts w:ascii="Segoe UI" w:hAnsi="Segoe UI"/>
                <w:b w:val="0"/>
                <w:i w:val="0"/>
                <w:color w:val="1F2933"/>
                <w:sz w:val="17"/>
              </w:rPr>
              <w:t>Sequential egg-to-chick process with shared trace, inventory, and forthcoming process wizard.</w:t>
            </w:r>
          </w:p>
        </w:tc>
        <w:tc>
          <w:tcPr>
            <w:tcW w:type="dxa" w:w="1224"/>
            <w:tcMar>
              <w:top w:w="105" w:type="dxa"/>
              <w:start w:w="100" w:type="dxa"/>
              <w:bottom w:w="105" w:type="dxa"/>
              <w:end w:w="100" w:type="dxa"/>
            </w:tcMar>
            <w:vAlign w:val="center"/>
            <w:shd w:fill="F8FAF8"/>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Breeder</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Placement, population, laying, health, dispatch, clean-up, reports</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Operational chain with additional transfer/history/cleanup work still branch-only.</w:t>
            </w:r>
          </w:p>
        </w:tc>
        <w:tc>
          <w:tcPr>
            <w:tcW w:type="dxa" w:w="1224"/>
            <w:tcMar>
              <w:top w:w="105" w:type="dxa"/>
              <w:start w:w="100" w:type="dxa"/>
              <w:bottom w:w="105" w:type="dxa"/>
              <w:end w:w="100" w:type="dxa"/>
            </w:tcMar>
            <w:vAlign w:val="center"/>
          </w:tcPr>
          <w:p>
            <w:pPr>
              <w:jc w:val="center"/>
            </w:pPr>
            <w:r>
              <w:rPr>
                <w:rFonts w:ascii="Segoe UI" w:hAnsi="Segoe UI"/>
                <w:b/>
                <w:i w:val="0"/>
                <w:color w:val="144D32"/>
                <w:sz w:val="16"/>
              </w:rPr>
              <w:t>Integrated</w:t>
            </w:r>
          </w:p>
        </w:tc>
      </w:tr>
    </w:tbl>
    <w:p>
      <w:pPr>
        <w:spacing w:after="0"/>
      </w:pPr>
    </w:p>
    <w:p>
      <w:r>
        <w:br w:type="page"/>
      </w:r>
    </w:p>
    <w:p>
      <w:pPr>
        <w:spacing w:after="40"/>
      </w:pPr>
      <w:r>
        <w:rPr>
          <w:rFonts w:ascii="Bahnschrift" w:hAnsi="Bahnschrift"/>
          <w:b/>
          <w:i w:val="0"/>
          <w:color w:val="9B7B1B"/>
          <w:sz w:val="17"/>
        </w:rPr>
        <w:t>MAY TO AUGUST</w:t>
      </w:r>
    </w:p>
    <w:p>
      <w:pPr>
        <w:pStyle w:val="Heading1"/>
        <w:keepNext/>
        <w:spacing w:before="240" w:after="120"/>
      </w:pPr>
      <w:r>
        <w:rPr>
          <w:rFonts w:ascii="Bahnschrift" w:hAnsi="Bahnschrift"/>
          <w:b/>
          <w:color w:val="144D32"/>
          <w:sz w:val="40"/>
        </w:rPr>
        <w:t>Delivery timeline</w:t>
      </w:r>
    </w:p>
    <w:tbl>
      <w:tblPr>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936"/>
            <w:shd w:fill="144D32"/>
            <w:tcMar>
              <w:top w:w="100" w:type="dxa"/>
              <w:start w:w="90" w:type="dxa"/>
              <w:bottom w:w="100" w:type="dxa"/>
              <w:end w:w="90" w:type="dxa"/>
            </w:tcMar>
          </w:tcPr>
          <w:p>
            <w:r>
              <w:rPr>
                <w:rFonts w:ascii="Bahnschrift" w:hAnsi="Bahnschrift"/>
                <w:b/>
                <w:i w:val="0"/>
                <w:color w:val="FFFFFF"/>
                <w:sz w:val="17"/>
              </w:rPr>
              <w:t>Month</w:t>
            </w:r>
          </w:p>
        </w:tc>
        <w:tc>
          <w:tcPr>
            <w:tcW w:type="dxa" w:w="864"/>
            <w:shd w:fill="144D32"/>
            <w:tcMar>
              <w:top w:w="100" w:type="dxa"/>
              <w:start w:w="90" w:type="dxa"/>
              <w:bottom w:w="100" w:type="dxa"/>
              <w:end w:w="90" w:type="dxa"/>
            </w:tcMar>
          </w:tcPr>
          <w:p>
            <w:r>
              <w:rPr>
                <w:rFonts w:ascii="Bahnschrift" w:hAnsi="Bahnschrift"/>
                <w:b/>
                <w:i w:val="0"/>
                <w:color w:val="FFFFFF"/>
                <w:sz w:val="17"/>
              </w:rPr>
              <w:t>Commits</w:t>
            </w:r>
          </w:p>
        </w:tc>
        <w:tc>
          <w:tcPr>
            <w:tcW w:type="dxa" w:w="2376"/>
            <w:shd w:fill="144D32"/>
            <w:tcMar>
              <w:top w:w="100" w:type="dxa"/>
              <w:start w:w="90" w:type="dxa"/>
              <w:bottom w:w="100" w:type="dxa"/>
              <w:end w:w="90" w:type="dxa"/>
            </w:tcMar>
          </w:tcPr>
          <w:p>
            <w:r>
              <w:rPr>
                <w:rFonts w:ascii="Bahnschrift" w:hAnsi="Bahnschrift"/>
                <w:b/>
                <w:i w:val="0"/>
                <w:color w:val="FFFFFF"/>
                <w:sz w:val="17"/>
              </w:rPr>
              <w:t>Executive theme</w:t>
            </w:r>
          </w:p>
        </w:tc>
        <w:tc>
          <w:tcPr>
            <w:tcW w:type="dxa" w:w="4896"/>
            <w:shd w:fill="144D32"/>
            <w:tcMar>
              <w:top w:w="100" w:type="dxa"/>
              <w:start w:w="90" w:type="dxa"/>
              <w:bottom w:w="100" w:type="dxa"/>
              <w:end w:w="90" w:type="dxa"/>
            </w:tcMar>
          </w:tcPr>
          <w:p>
            <w:r>
              <w:rPr>
                <w:rFonts w:ascii="Bahnschrift" w:hAnsi="Bahnschrift"/>
                <w:b/>
                <w:i w:val="0"/>
                <w:color w:val="FFFFFF"/>
                <w:sz w:val="17"/>
              </w:rPr>
              <w:t>Representative outcomes</w:t>
            </w:r>
          </w:p>
        </w:tc>
      </w:tr>
      <w:tr>
        <w:tc>
          <w:tcPr>
            <w:tcW w:type="dxa" w:w="936"/>
            <w:tcMar>
              <w:top w:w="110" w:type="dxa"/>
              <w:start w:w="90" w:type="dxa"/>
              <w:bottom w:w="110" w:type="dxa"/>
              <w:end w:w="90" w:type="dxa"/>
            </w:tcMar>
            <w:vAlign w:val="center"/>
          </w:tcPr>
          <w:p>
            <w:pPr>
              <w:jc w:val="center"/>
            </w:pPr>
            <w:r>
              <w:rPr>
                <w:rFonts w:ascii="Segoe UI" w:hAnsi="Segoe UI"/>
                <w:b/>
                <w:i w:val="0"/>
                <w:color w:val="144D32"/>
                <w:sz w:val="17"/>
              </w:rPr>
              <w:t>May</w:t>
            </w:r>
          </w:p>
        </w:tc>
        <w:tc>
          <w:tcPr>
            <w:tcW w:type="dxa" w:w="864"/>
            <w:tcMar>
              <w:top w:w="110" w:type="dxa"/>
              <w:start w:w="90" w:type="dxa"/>
              <w:bottom w:w="110" w:type="dxa"/>
              <w:end w:w="90" w:type="dxa"/>
            </w:tcMar>
            <w:vAlign w:val="center"/>
          </w:tcPr>
          <w:p>
            <w:pPr>
              <w:jc w:val="center"/>
            </w:pPr>
            <w:r>
              <w:rPr>
                <w:rFonts w:ascii="Segoe UI" w:hAnsi="Segoe UI"/>
                <w:b w:val="0"/>
                <w:i w:val="0"/>
                <w:color w:val="1F2933"/>
                <w:sz w:val="17"/>
              </w:rPr>
              <w:t>24</w:t>
            </w:r>
          </w:p>
        </w:tc>
        <w:tc>
          <w:tcPr>
            <w:tcW w:type="dxa" w:w="2376"/>
            <w:tcMar>
              <w:top w:w="110" w:type="dxa"/>
              <w:start w:w="90" w:type="dxa"/>
              <w:bottom w:w="110" w:type="dxa"/>
              <w:end w:w="90" w:type="dxa"/>
            </w:tcMar>
            <w:vAlign w:val="center"/>
          </w:tcPr>
          <w:p>
            <w:r>
              <w:rPr>
                <w:rFonts w:ascii="Segoe UI" w:hAnsi="Segoe UI"/>
                <w:b/>
                <w:i w:val="0"/>
                <w:color w:val="1F2933"/>
                <w:sz w:val="17"/>
              </w:rPr>
              <w:t>Process visibility and control</w:t>
            </w:r>
          </w:p>
        </w:tc>
        <w:tc>
          <w:tcPr>
            <w:tcW w:type="dxa" w:w="4896"/>
            <w:tcMar>
              <w:top w:w="110" w:type="dxa"/>
              <w:start w:w="90" w:type="dxa"/>
              <w:bottom w:w="110" w:type="dxa"/>
              <w:end w:w="90" w:type="dxa"/>
            </w:tcMar>
            <w:vAlign w:val="center"/>
          </w:tcPr>
          <w:p>
            <w:r>
              <w:rPr>
                <w:rFonts w:ascii="Segoe UI" w:hAnsi="Segoe UI"/>
                <w:b w:val="0"/>
                <w:i w:val="0"/>
                <w:color w:val="1F2933"/>
                <w:sz w:val="17"/>
              </w:rPr>
              <w:t>Hatchery views/APIs, receiving trace, system-adoption reporting, permission templates, and standardized operational tables.</w:t>
            </w:r>
          </w:p>
        </w:tc>
      </w:tr>
      <w:tr>
        <w:tc>
          <w:tcPr>
            <w:tcW w:type="dxa" w:w="936"/>
            <w:tcMar>
              <w:top w:w="110" w:type="dxa"/>
              <w:start w:w="90" w:type="dxa"/>
              <w:bottom w:w="110" w:type="dxa"/>
              <w:end w:w="90" w:type="dxa"/>
            </w:tcMar>
            <w:vAlign w:val="center"/>
            <w:shd w:fill="F8FAF8"/>
          </w:tcPr>
          <w:p>
            <w:pPr>
              <w:jc w:val="center"/>
            </w:pPr>
            <w:r>
              <w:rPr>
                <w:rFonts w:ascii="Segoe UI" w:hAnsi="Segoe UI"/>
                <w:b/>
                <w:i w:val="0"/>
                <w:color w:val="144D32"/>
                <w:sz w:val="17"/>
              </w:rPr>
              <w:t>June</w:t>
            </w:r>
          </w:p>
        </w:tc>
        <w:tc>
          <w:tcPr>
            <w:tcW w:type="dxa" w:w="864"/>
            <w:tcMar>
              <w:top w:w="110" w:type="dxa"/>
              <w:start w:w="90" w:type="dxa"/>
              <w:bottom w:w="110" w:type="dxa"/>
              <w:end w:w="90" w:type="dxa"/>
            </w:tcMar>
            <w:vAlign w:val="center"/>
            <w:shd w:fill="F8FAF8"/>
          </w:tcPr>
          <w:p>
            <w:pPr>
              <w:jc w:val="center"/>
            </w:pPr>
            <w:r>
              <w:rPr>
                <w:rFonts w:ascii="Segoe UI" w:hAnsi="Segoe UI"/>
                <w:b w:val="0"/>
                <w:i w:val="0"/>
                <w:color w:val="1F2933"/>
                <w:sz w:val="17"/>
              </w:rPr>
              <w:t>27</w:t>
            </w:r>
          </w:p>
        </w:tc>
        <w:tc>
          <w:tcPr>
            <w:tcW w:type="dxa" w:w="2376"/>
            <w:tcMar>
              <w:top w:w="110" w:type="dxa"/>
              <w:start w:w="90" w:type="dxa"/>
              <w:bottom w:w="110" w:type="dxa"/>
              <w:end w:w="90" w:type="dxa"/>
            </w:tcMar>
            <w:vAlign w:val="center"/>
            <w:shd w:fill="F8FAF8"/>
          </w:tcPr>
          <w:p>
            <w:r>
              <w:rPr>
                <w:rFonts w:ascii="Segoe UI" w:hAnsi="Segoe UI"/>
                <w:b/>
                <w:i w:val="0"/>
                <w:color w:val="1F2933"/>
                <w:sz w:val="17"/>
              </w:rPr>
              <w:t>Transaction and inventory foundations</w:t>
            </w:r>
          </w:p>
        </w:tc>
        <w:tc>
          <w:tcPr>
            <w:tcW w:type="dxa" w:w="4896"/>
            <w:tcMar>
              <w:top w:w="110" w:type="dxa"/>
              <w:start w:w="90" w:type="dxa"/>
              <w:bottom w:w="110" w:type="dxa"/>
              <w:end w:w="90" w:type="dxa"/>
            </w:tcMar>
            <w:vAlign w:val="center"/>
            <w:shd w:fill="F8FAF8"/>
          </w:tcPr>
          <w:p>
            <w:r>
              <w:rPr>
                <w:rFonts w:ascii="Segoe UI" w:hAnsi="Segoe UI"/>
                <w:b w:val="0"/>
                <w:i w:val="0"/>
                <w:color w:val="1F2933"/>
                <w:sz w:val="17"/>
              </w:rPr>
              <w:t>Trace reversal/validation, Breeder growing and grading, farm-aware filters, Item Group/UoM masters, batching, Goods Receipt, and Goods Issue.</w:t>
            </w:r>
          </w:p>
        </w:tc>
      </w:tr>
      <w:tr>
        <w:tc>
          <w:tcPr>
            <w:tcW w:type="dxa" w:w="936"/>
            <w:tcMar>
              <w:top w:w="110" w:type="dxa"/>
              <w:start w:w="90" w:type="dxa"/>
              <w:bottom w:w="110" w:type="dxa"/>
              <w:end w:w="90" w:type="dxa"/>
            </w:tcMar>
            <w:vAlign w:val="center"/>
          </w:tcPr>
          <w:p>
            <w:pPr>
              <w:jc w:val="center"/>
            </w:pPr>
            <w:r>
              <w:rPr>
                <w:rFonts w:ascii="Segoe UI" w:hAnsi="Segoe UI"/>
                <w:b/>
                <w:i w:val="0"/>
                <w:color w:val="144D32"/>
                <w:sz w:val="17"/>
              </w:rPr>
              <w:t>July</w:t>
            </w:r>
          </w:p>
        </w:tc>
        <w:tc>
          <w:tcPr>
            <w:tcW w:type="dxa" w:w="864"/>
            <w:tcMar>
              <w:top w:w="110" w:type="dxa"/>
              <w:start w:w="90" w:type="dxa"/>
              <w:bottom w:w="110" w:type="dxa"/>
              <w:end w:w="90" w:type="dxa"/>
            </w:tcMar>
            <w:vAlign w:val="center"/>
          </w:tcPr>
          <w:p>
            <w:pPr>
              <w:jc w:val="center"/>
            </w:pPr>
            <w:r>
              <w:rPr>
                <w:rFonts w:ascii="Segoe UI" w:hAnsi="Segoe UI"/>
                <w:b w:val="0"/>
                <w:i w:val="0"/>
                <w:color w:val="1F2933"/>
                <w:sz w:val="17"/>
              </w:rPr>
              <w:t>26</w:t>
            </w:r>
          </w:p>
        </w:tc>
        <w:tc>
          <w:tcPr>
            <w:tcW w:type="dxa" w:w="2376"/>
            <w:tcMar>
              <w:top w:w="110" w:type="dxa"/>
              <w:start w:w="90" w:type="dxa"/>
              <w:bottom w:w="110" w:type="dxa"/>
              <w:end w:w="90" w:type="dxa"/>
            </w:tcMar>
            <w:vAlign w:val="center"/>
          </w:tcPr>
          <w:p>
            <w:r>
              <w:rPr>
                <w:rFonts w:ascii="Segoe UI" w:hAnsi="Segoe UI"/>
                <w:b/>
                <w:i w:val="0"/>
                <w:color w:val="1F2933"/>
                <w:sz w:val="17"/>
              </w:rPr>
              <w:t>Connected Broiler operating model</w:t>
            </w:r>
          </w:p>
        </w:tc>
        <w:tc>
          <w:tcPr>
            <w:tcW w:type="dxa" w:w="4896"/>
            <w:tcMar>
              <w:top w:w="110" w:type="dxa"/>
              <w:start w:w="90" w:type="dxa"/>
              <w:bottom w:w="110" w:type="dxa"/>
              <w:end w:w="90" w:type="dxa"/>
            </w:tcMar>
            <w:vAlign w:val="center"/>
          </w:tcPr>
          <w:p>
            <w:r>
              <w:rPr>
                <w:rFonts w:ascii="Segoe UI" w:hAnsi="Segoe UI"/>
                <w:b w:val="0"/>
                <w:i w:val="0"/>
                <w:color w:val="1F2933"/>
                <w:sz w:val="17"/>
              </w:rPr>
              <w:t>DOC Placement, Flock Card, Farm Setup Wizard, approvals, Harvest &amp; Delivery, Clean up, Inventory Transfer, warehouse reporting, and posting lineage.</w:t>
            </w:r>
          </w:p>
        </w:tc>
      </w:tr>
      <w:tr>
        <w:tc>
          <w:tcPr>
            <w:tcW w:type="dxa" w:w="936"/>
            <w:tcMar>
              <w:top w:w="110" w:type="dxa"/>
              <w:start w:w="90" w:type="dxa"/>
              <w:bottom w:w="110" w:type="dxa"/>
              <w:end w:w="90" w:type="dxa"/>
            </w:tcMar>
            <w:vAlign w:val="center"/>
            <w:shd w:fill="F8FAF8"/>
          </w:tcPr>
          <w:p>
            <w:pPr>
              <w:jc w:val="center"/>
            </w:pPr>
            <w:r>
              <w:rPr>
                <w:rFonts w:ascii="Segoe UI" w:hAnsi="Segoe UI"/>
                <w:b/>
                <w:i w:val="0"/>
                <w:color w:val="144D32"/>
                <w:sz w:val="17"/>
              </w:rPr>
              <w:t>August</w:t>
            </w:r>
          </w:p>
        </w:tc>
        <w:tc>
          <w:tcPr>
            <w:tcW w:type="dxa" w:w="864"/>
            <w:tcMar>
              <w:top w:w="110" w:type="dxa"/>
              <w:start w:w="90" w:type="dxa"/>
              <w:bottom w:w="110" w:type="dxa"/>
              <w:end w:w="90" w:type="dxa"/>
            </w:tcMar>
            <w:vAlign w:val="center"/>
            <w:shd w:fill="F8FAF8"/>
          </w:tcPr>
          <w:p>
            <w:pPr>
              <w:jc w:val="center"/>
            </w:pPr>
            <w:r>
              <w:rPr>
                <w:rFonts w:ascii="Segoe UI" w:hAnsi="Segoe UI"/>
                <w:b w:val="0"/>
                <w:i w:val="0"/>
                <w:color w:val="1F2933"/>
                <w:sz w:val="17"/>
              </w:rPr>
              <w:t>21</w:t>
            </w:r>
          </w:p>
        </w:tc>
        <w:tc>
          <w:tcPr>
            <w:tcW w:type="dxa" w:w="2376"/>
            <w:tcMar>
              <w:top w:w="110" w:type="dxa"/>
              <w:start w:w="90" w:type="dxa"/>
              <w:bottom w:w="110" w:type="dxa"/>
              <w:end w:w="90" w:type="dxa"/>
            </w:tcMar>
            <w:vAlign w:val="center"/>
            <w:shd w:fill="F8FAF8"/>
          </w:tcPr>
          <w:p>
            <w:r>
              <w:rPr>
                <w:rFonts w:ascii="Segoe UI" w:hAnsi="Segoe UI"/>
                <w:b/>
                <w:i w:val="0"/>
                <w:color w:val="1F2933"/>
                <w:sz w:val="17"/>
              </w:rPr>
              <w:t>Lifecycle governance and reliability</w:t>
            </w:r>
          </w:p>
        </w:tc>
        <w:tc>
          <w:tcPr>
            <w:tcW w:type="dxa" w:w="4896"/>
            <w:tcMar>
              <w:top w:w="110" w:type="dxa"/>
              <w:start w:w="90" w:type="dxa"/>
              <w:bottom w:w="110" w:type="dxa"/>
              <w:end w:w="90" w:type="dxa"/>
            </w:tcMar>
            <w:vAlign w:val="center"/>
            <w:shd w:fill="F8FAF8"/>
          </w:tcPr>
          <w:p>
            <w:r>
              <w:rPr>
                <w:rFonts w:ascii="Segoe UI" w:hAnsi="Segoe UI"/>
                <w:b w:val="0"/>
                <w:i w:val="0"/>
                <w:color w:val="1F2933"/>
                <w:sz w:val="17"/>
              </w:rPr>
              <w:t>Cycle Master, farm-cycle closure, FMS-scoped access, notifications, network and theme resilience, delivery refinements, and item hierarchy work.</w:t>
            </w:r>
          </w:p>
        </w:tc>
      </w:tr>
    </w:tbl>
    <w:p>
      <w:pPr>
        <w:spacing w:after="0"/>
      </w:pPr>
    </w:p>
    <w:p>
      <w:pPr>
        <w:spacing w:after="120" w:line="269" w:lineRule="auto"/>
      </w:pPr>
      <w:r>
        <w:rPr>
          <w:rFonts w:ascii="Segoe UI" w:hAnsi="Segoe UI"/>
          <w:b w:val="0"/>
          <w:i w:val="0"/>
          <w:color w:val="1F2933"/>
          <w:sz w:val="21"/>
        </w:rPr>
        <w:t>The sequence matters: the project first improved process visibility and access control, then built transaction foundations, then connected Broiler operations, and finally strengthened lifecycle governance and reliability. This is a platform-building pattern rather than a collection of isolated screen changes.</w:t>
      </w:r>
    </w:p>
    <w:p>
      <w:pPr>
        <w:spacing w:after="40"/>
      </w:pPr>
      <w:r>
        <w:rPr>
          <w:rFonts w:ascii="Bahnschrift" w:hAnsi="Bahnschrift"/>
          <w:b/>
          <w:i w:val="0"/>
          <w:color w:val="9B7B1B"/>
          <w:sz w:val="17"/>
        </w:rPr>
        <w:t>CROSS-FMS</w:t>
      </w:r>
    </w:p>
    <w:p>
      <w:pPr>
        <w:pStyle w:val="Heading1"/>
        <w:keepNext/>
        <w:spacing w:before="240" w:after="120"/>
      </w:pPr>
      <w:r>
        <w:rPr>
          <w:rFonts w:ascii="Bahnschrift" w:hAnsi="Bahnschrift"/>
          <w:b/>
          <w:color w:val="144D32"/>
          <w:sz w:val="40"/>
        </w:rPr>
        <w:t>Shared platform and governance</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1944"/>
            <w:shd w:fill="144D32"/>
            <w:tcMar>
              <w:top w:w="110" w:type="dxa"/>
              <w:start w:w="100" w:type="dxa"/>
              <w:bottom w:w="110" w:type="dxa"/>
              <w:end w:w="100" w:type="dxa"/>
            </w:tcMar>
            <w:vAlign w:val="center"/>
          </w:tcPr>
          <w:p>
            <w:pPr>
              <w:jc w:val="left"/>
            </w:pPr>
            <w:r>
              <w:rPr>
                <w:rFonts w:ascii="Bahnschrift" w:hAnsi="Bahnschrift"/>
                <w:b/>
                <w:i w:val="0"/>
                <w:color w:val="FFFFFF"/>
                <w:sz w:val="17"/>
              </w:rPr>
              <w:t>Module</w:t>
            </w:r>
          </w:p>
        </w:tc>
        <w:tc>
          <w:tcPr>
            <w:tcW w:type="dxa" w:w="2520"/>
            <w:shd w:fill="144D32"/>
            <w:tcMar>
              <w:top w:w="110" w:type="dxa"/>
              <w:start w:w="100" w:type="dxa"/>
              <w:bottom w:w="110" w:type="dxa"/>
              <w:end w:w="100" w:type="dxa"/>
            </w:tcMar>
            <w:vAlign w:val="center"/>
          </w:tcPr>
          <w:p>
            <w:pPr>
              <w:jc w:val="left"/>
            </w:pPr>
            <w:r>
              <w:rPr>
                <w:rFonts w:ascii="Bahnschrift" w:hAnsi="Bahnschrift"/>
                <w:b/>
                <w:i w:val="0"/>
                <w:color w:val="FFFFFF"/>
                <w:sz w:val="17"/>
              </w:rPr>
              <w:t>What changed</w:t>
            </w:r>
          </w:p>
        </w:tc>
        <w:tc>
          <w:tcPr>
            <w:tcW w:type="dxa" w:w="3528"/>
            <w:shd w:fill="144D32"/>
            <w:tcMar>
              <w:top w:w="110" w:type="dxa"/>
              <w:start w:w="100" w:type="dxa"/>
              <w:bottom w:w="110" w:type="dxa"/>
              <w:end w:w="100" w:type="dxa"/>
            </w:tcMar>
            <w:vAlign w:val="center"/>
          </w:tcPr>
          <w:p>
            <w:pPr>
              <w:jc w:val="left"/>
            </w:pPr>
            <w:r>
              <w:rPr>
                <w:rFonts w:ascii="Bahnschrift" w:hAnsi="Bahnschrift"/>
                <w:b/>
                <w:i w:val="0"/>
                <w:color w:val="FFFFFF"/>
                <w:sz w:val="17"/>
              </w:rPr>
              <w:t>Connected to / business role</w:t>
            </w:r>
          </w:p>
        </w:tc>
        <w:tc>
          <w:tcPr>
            <w:tcW w:type="dxa" w:w="1224"/>
            <w:shd w:fill="144D32"/>
            <w:tcMar>
              <w:top w:w="110" w:type="dxa"/>
              <w:start w:w="100" w:type="dxa"/>
              <w:bottom w:w="110" w:type="dxa"/>
              <w:end w:w="100" w:type="dxa"/>
            </w:tcMar>
            <w:vAlign w:val="center"/>
          </w:tcPr>
          <w:p>
            <w:pPr>
              <w:jc w:val="center"/>
            </w:pPr>
            <w:r>
              <w:rPr>
                <w:rFonts w:ascii="Bahnschrift" w:hAnsi="Bahnschrift"/>
                <w:b/>
                <w:i w:val="0"/>
                <w:color w:val="FFFFFF"/>
                <w:sz w:val="17"/>
              </w:rPr>
              <w:t>Status</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Farm Management &amp; Setup Wizard</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Farm create/edit workflows, warehouse assignment, Building/Pen structure, and default feed/receiving/disposal warehouses.</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Feeds every farm-scoped form, warehouse selection, Broiler cycle, and recipient-routing decision.</w:t>
            </w:r>
          </w:p>
        </w:tc>
        <w:tc>
          <w:tcPr>
            <w:tcW w:type="dxa" w:w="1224"/>
            <w:tcMar>
              <w:top w:w="105" w:type="dxa"/>
              <w:start w:w="100" w:type="dxa"/>
              <w:bottom w:w="105" w:type="dxa"/>
              <w:end w:w="100" w:type="dxa"/>
            </w:tcMar>
            <w:vAlign w:val="center"/>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shd w:fill="F8FAF8"/>
          </w:tcPr>
          <w:p>
            <w:pPr>
              <w:spacing w:after="0"/>
            </w:pPr>
            <w:r>
              <w:rPr>
                <w:rFonts w:ascii="Segoe UI" w:hAnsi="Segoe UI"/>
                <w:b/>
                <w:i w:val="0"/>
                <w:color w:val="1F2933"/>
                <w:sz w:val="17"/>
              </w:rPr>
              <w:t>User Management</w:t>
            </w:r>
          </w:p>
        </w:tc>
        <w:tc>
          <w:tcPr>
            <w:tcW w:type="dxa" w:w="2520"/>
            <w:tcMar>
              <w:top w:w="105" w:type="dxa"/>
              <w:start w:w="100" w:type="dxa"/>
              <w:bottom w:w="105" w:type="dxa"/>
              <w:end w:w="100" w:type="dxa"/>
            </w:tcMar>
            <w:vAlign w:val="center"/>
            <w:shd w:fill="F8FAF8"/>
          </w:tcPr>
          <w:p>
            <w:pPr>
              <w:spacing w:after="0"/>
            </w:pPr>
            <w:r>
              <w:rPr>
                <w:rFonts w:ascii="Segoe UI" w:hAnsi="Segoe UI"/>
                <w:b w:val="0"/>
                <w:i w:val="0"/>
                <w:color w:val="1F2933"/>
                <w:sz w:val="17"/>
              </w:rPr>
              <w:t>FMS type and three-level user model prepared with server-side management boundaries.</w:t>
            </w:r>
          </w:p>
        </w:tc>
        <w:tc>
          <w:tcPr>
            <w:tcW w:type="dxa" w:w="3528"/>
            <w:tcMar>
              <w:top w:w="105" w:type="dxa"/>
              <w:start w:w="100" w:type="dxa"/>
              <w:bottom w:w="105" w:type="dxa"/>
              <w:end w:w="100" w:type="dxa"/>
            </w:tcMar>
            <w:vAlign w:val="center"/>
            <w:shd w:fill="F8FAF8"/>
          </w:tcPr>
          <w:p>
            <w:pPr>
              <w:spacing w:after="0"/>
            </w:pPr>
            <w:r>
              <w:rPr>
                <w:rFonts w:ascii="Segoe UI" w:hAnsi="Segoe UI"/>
                <w:b w:val="0"/>
                <w:i w:val="0"/>
                <w:color w:val="1F2933"/>
                <w:sz w:val="17"/>
              </w:rPr>
              <w:t>Connects identity to Broiler, Breeder, or Hatchery scope and to manageable users.</w:t>
            </w:r>
          </w:p>
        </w:tc>
        <w:tc>
          <w:tcPr>
            <w:tcW w:type="dxa" w:w="1224"/>
            <w:tcMar>
              <w:top w:w="105" w:type="dxa"/>
              <w:start w:w="100" w:type="dxa"/>
              <w:bottom w:w="105" w:type="dxa"/>
              <w:end w:w="100" w:type="dxa"/>
            </w:tcMar>
            <w:vAlign w:val="center"/>
            <w:shd w:fill="F8FAF8"/>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User Permissions</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Standalone searchable editor, bulk allow/remove, server-preloaded navigation catalog, and layout-matching loading states.</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NavFolders, sidebar visibility, direct-route guards, and API authorization.</w:t>
            </w:r>
          </w:p>
        </w:tc>
        <w:tc>
          <w:tcPr>
            <w:tcW w:type="dxa" w:w="1224"/>
            <w:tcMar>
              <w:top w:w="105" w:type="dxa"/>
              <w:start w:w="100" w:type="dxa"/>
              <w:bottom w:w="105" w:type="dxa"/>
              <w:end w:w="100" w:type="dxa"/>
            </w:tcMar>
            <w:vAlign w:val="center"/>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shd w:fill="F8FAF8"/>
          </w:tcPr>
          <w:p>
            <w:pPr>
              <w:spacing w:after="0"/>
            </w:pPr>
            <w:r>
              <w:rPr>
                <w:rFonts w:ascii="Segoe UI" w:hAnsi="Segoe UI"/>
                <w:b/>
                <w:i w:val="0"/>
                <w:color w:val="1F2933"/>
                <w:sz w:val="17"/>
              </w:rPr>
              <w:t>Approval</w:t>
            </w:r>
          </w:p>
        </w:tc>
        <w:tc>
          <w:tcPr>
            <w:tcW w:type="dxa" w:w="2520"/>
            <w:tcMar>
              <w:top w:w="105" w:type="dxa"/>
              <w:start w:w="100" w:type="dxa"/>
              <w:bottom w:w="105" w:type="dxa"/>
              <w:end w:w="100" w:type="dxa"/>
            </w:tcMar>
            <w:vAlign w:val="center"/>
            <w:shd w:fill="F8FAF8"/>
          </w:tcPr>
          <w:p>
            <w:pPr>
              <w:spacing w:after="0"/>
            </w:pPr>
            <w:r>
              <w:rPr>
                <w:rFonts w:ascii="Segoe UI" w:hAnsi="Segoe UI"/>
                <w:b w:val="0"/>
                <w:i w:val="0"/>
                <w:color w:val="1F2933"/>
                <w:sz w:val="17"/>
              </w:rPr>
              <w:t>Approval templates, management, activation, and password-reset authorization improvements.</w:t>
            </w:r>
          </w:p>
        </w:tc>
        <w:tc>
          <w:tcPr>
            <w:tcW w:type="dxa" w:w="3528"/>
            <w:tcMar>
              <w:top w:w="105" w:type="dxa"/>
              <w:start w:w="100" w:type="dxa"/>
              <w:bottom w:w="105" w:type="dxa"/>
              <w:end w:w="100" w:type="dxa"/>
            </w:tcMar>
            <w:vAlign w:val="center"/>
            <w:shd w:fill="F8FAF8"/>
          </w:tcPr>
          <w:p>
            <w:pPr>
              <w:spacing w:after="0"/>
            </w:pPr>
            <w:r>
              <w:rPr>
                <w:rFonts w:ascii="Segoe UI" w:hAnsi="Segoe UI"/>
                <w:b w:val="0"/>
                <w:i w:val="0"/>
                <w:color w:val="1F2933"/>
                <w:sz w:val="17"/>
              </w:rPr>
              <w:t>Shared approval states and supervisors used by supported business and administrative actions.</w:t>
            </w:r>
          </w:p>
        </w:tc>
        <w:tc>
          <w:tcPr>
            <w:tcW w:type="dxa" w:w="1224"/>
            <w:tcMar>
              <w:top w:w="105" w:type="dxa"/>
              <w:start w:w="100" w:type="dxa"/>
              <w:bottom w:w="105" w:type="dxa"/>
              <w:end w:w="100" w:type="dxa"/>
            </w:tcMar>
            <w:vAlign w:val="center"/>
            <w:shd w:fill="F8FAF8"/>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Notification Setup</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Central event catalog, rules, outbox/delivery processing, inbox, templates, placeholders, retries, and email controls.</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Module Post/Edit/Void events → permission-aware recipients → in-app and optional email delivery.</w:t>
            </w:r>
          </w:p>
        </w:tc>
        <w:tc>
          <w:tcPr>
            <w:tcW w:type="dxa" w:w="1224"/>
            <w:tcMar>
              <w:top w:w="105" w:type="dxa"/>
              <w:start w:w="100" w:type="dxa"/>
              <w:bottom w:w="105" w:type="dxa"/>
              <w:end w:w="100" w:type="dxa"/>
            </w:tcMar>
            <w:vAlign w:val="center"/>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shd w:fill="F8FAF8"/>
          </w:tcPr>
          <w:p>
            <w:pPr>
              <w:spacing w:after="0"/>
            </w:pPr>
            <w:r>
              <w:rPr>
                <w:rFonts w:ascii="Segoe UI" w:hAnsi="Segoe UI"/>
                <w:b/>
                <w:i w:val="0"/>
                <w:color w:val="1F2933"/>
                <w:sz w:val="17"/>
              </w:rPr>
              <w:t>Trace &amp; Validate</w:t>
            </w:r>
          </w:p>
        </w:tc>
        <w:tc>
          <w:tcPr>
            <w:tcW w:type="dxa" w:w="2520"/>
            <w:tcMar>
              <w:top w:w="105" w:type="dxa"/>
              <w:start w:w="100" w:type="dxa"/>
              <w:bottom w:w="105" w:type="dxa"/>
              <w:end w:w="100" w:type="dxa"/>
            </w:tcMar>
            <w:vAlign w:val="center"/>
            <w:shd w:fill="F8FAF8"/>
          </w:tcPr>
          <w:p>
            <w:pPr>
              <w:spacing w:after="0"/>
            </w:pPr>
            <w:r>
              <w:rPr>
                <w:rFonts w:ascii="Segoe UI" w:hAnsi="Segoe UI"/>
                <w:b w:val="0"/>
                <w:i w:val="0"/>
                <w:color w:val="1F2933"/>
                <w:sz w:val="17"/>
              </w:rPr>
              <w:t>Transaction graph, node arrangement, modal detail, reversal/cancellation visibility, and route validation.</w:t>
            </w:r>
          </w:p>
        </w:tc>
        <w:tc>
          <w:tcPr>
            <w:tcW w:type="dxa" w:w="3528"/>
            <w:tcMar>
              <w:top w:w="105" w:type="dxa"/>
              <w:start w:w="100" w:type="dxa"/>
              <w:bottom w:w="105" w:type="dxa"/>
              <w:end w:w="100" w:type="dxa"/>
            </w:tcMar>
            <w:vAlign w:val="center"/>
            <w:shd w:fill="F8FAF8"/>
          </w:tcPr>
          <w:p>
            <w:pPr>
              <w:spacing w:after="0"/>
            </w:pPr>
            <w:r>
              <w:rPr>
                <w:rFonts w:ascii="Segoe UI" w:hAnsi="Segoe UI"/>
                <w:b w:val="0"/>
                <w:i w:val="0"/>
                <w:color w:val="1F2933"/>
                <w:sz w:val="17"/>
              </w:rPr>
              <w:t>Hatchery Receiving and downstream process records; disposal and reverse-transaction paths.</w:t>
            </w:r>
          </w:p>
        </w:tc>
        <w:tc>
          <w:tcPr>
            <w:tcW w:type="dxa" w:w="1224"/>
            <w:tcMar>
              <w:top w:w="105" w:type="dxa"/>
              <w:start w:w="100" w:type="dxa"/>
              <w:bottom w:w="105" w:type="dxa"/>
              <w:end w:w="100" w:type="dxa"/>
            </w:tcMar>
            <w:vAlign w:val="center"/>
            <w:shd w:fill="F8FAF8"/>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Navigation, Search &amp; UI</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FMS-scoped navigation, new-document actions, route repairs, breadcrumbs/browser titles, theme-aware controls, and offline banner.</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Applies across all modules and reduces route, permission, and usability inconsistency.</w:t>
            </w:r>
          </w:p>
        </w:tc>
        <w:tc>
          <w:tcPr>
            <w:tcW w:type="dxa" w:w="1224"/>
            <w:tcMar>
              <w:top w:w="105" w:type="dxa"/>
              <w:start w:w="100" w:type="dxa"/>
              <w:bottom w:w="105" w:type="dxa"/>
              <w:end w:w="100" w:type="dxa"/>
            </w:tcMar>
            <w:vAlign w:val="center"/>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shd w:fill="F8FAF8"/>
          </w:tcPr>
          <w:p>
            <w:pPr>
              <w:spacing w:after="0"/>
            </w:pPr>
            <w:r>
              <w:rPr>
                <w:rFonts w:ascii="Segoe UI" w:hAnsi="Segoe UI"/>
                <w:b/>
                <w:i w:val="0"/>
                <w:color w:val="1F2933"/>
                <w:sz w:val="17"/>
              </w:rPr>
              <w:t>System Adoption Report</w:t>
            </w:r>
          </w:p>
        </w:tc>
        <w:tc>
          <w:tcPr>
            <w:tcW w:type="dxa" w:w="2520"/>
            <w:tcMar>
              <w:top w:w="105" w:type="dxa"/>
              <w:start w:w="100" w:type="dxa"/>
              <w:bottom w:w="105" w:type="dxa"/>
              <w:end w:w="100" w:type="dxa"/>
            </w:tcMar>
            <w:vAlign w:val="center"/>
            <w:shd w:fill="F8FAF8"/>
          </w:tcPr>
          <w:p>
            <w:pPr>
              <w:spacing w:after="0"/>
            </w:pPr>
            <w:r>
              <w:rPr>
                <w:rFonts w:ascii="Segoe UI" w:hAnsi="Segoe UI"/>
                <w:b w:val="0"/>
                <w:i w:val="0"/>
                <w:color w:val="1F2933"/>
                <w:sz w:val="17"/>
              </w:rPr>
              <w:t>Operational usage visualization and farm-aware report filtering.</w:t>
            </w:r>
          </w:p>
        </w:tc>
        <w:tc>
          <w:tcPr>
            <w:tcW w:type="dxa" w:w="3528"/>
            <w:tcMar>
              <w:top w:w="105" w:type="dxa"/>
              <w:start w:w="100" w:type="dxa"/>
              <w:bottom w:w="105" w:type="dxa"/>
              <w:end w:w="100" w:type="dxa"/>
            </w:tcMar>
            <w:vAlign w:val="center"/>
            <w:shd w:fill="F8FAF8"/>
          </w:tcPr>
          <w:p>
            <w:pPr>
              <w:spacing w:after="0"/>
            </w:pPr>
            <w:r>
              <w:rPr>
                <w:rFonts w:ascii="Segoe UI" w:hAnsi="Segoe UI"/>
                <w:b w:val="0"/>
                <w:i w:val="0"/>
                <w:color w:val="1F2933"/>
                <w:sz w:val="17"/>
              </w:rPr>
              <w:t>Management view across active system usage.</w:t>
            </w:r>
          </w:p>
        </w:tc>
        <w:tc>
          <w:tcPr>
            <w:tcW w:type="dxa" w:w="1224"/>
            <w:tcMar>
              <w:top w:w="105" w:type="dxa"/>
              <w:start w:w="100" w:type="dxa"/>
              <w:bottom w:w="105" w:type="dxa"/>
              <w:end w:w="100" w:type="dxa"/>
            </w:tcMar>
            <w:vAlign w:val="center"/>
            <w:shd w:fill="F8FAF8"/>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Week Lock</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Week Lock administration was developed on dev-cris.</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Would constrain document activity by configured accounting/operational periods.</w:t>
            </w:r>
          </w:p>
        </w:tc>
        <w:tc>
          <w:tcPr>
            <w:tcW w:type="dxa" w:w="1224"/>
            <w:tcMar>
              <w:top w:w="105" w:type="dxa"/>
              <w:start w:w="100" w:type="dxa"/>
              <w:bottom w:w="105" w:type="dxa"/>
              <w:end w:w="100" w:type="dxa"/>
            </w:tcMar>
            <w:vAlign w:val="center"/>
          </w:tcPr>
          <w:p>
            <w:pPr>
              <w:jc w:val="center"/>
            </w:pPr>
            <w:r>
              <w:rPr>
                <w:rFonts w:ascii="Segoe UI" w:hAnsi="Segoe UI"/>
                <w:b/>
                <w:i w:val="0"/>
                <w:color w:val="A76516"/>
                <w:sz w:val="16"/>
              </w:rPr>
              <w:t>Branch-only</w:t>
            </w:r>
          </w:p>
        </w:tc>
      </w:tr>
    </w:tbl>
    <w:p>
      <w:pPr>
        <w:spacing w:after="0"/>
      </w:pPr>
    </w:p>
    <w:tbl>
      <w:tblPr>
        <w:tblW w:type="auto" w:w="0"/>
        <w:tblLayout w:type="fixed"/>
        <w:tblLook w:firstColumn="1" w:firstRow="1" w:lastColumn="0" w:lastRow="0" w:noHBand="0" w:noVBand="1" w:val="04A0"/>
      </w:tblPr>
      <w:tblGrid>
        <w:gridCol w:w="5083"/>
        <w:gridCol w:w="5083"/>
      </w:tblGrid>
      <w:tr>
        <w:tc>
          <w:tcPr>
            <w:tcW w:type="dxa" w:w="144"/>
            <w:shd w:fill="144D32"/>
            <w:tcMar>
              <w:top w:w="80" w:type="dxa"/>
              <w:start w:w="20" w:type="dxa"/>
              <w:bottom w:w="80" w:type="dxa"/>
              <w:end w:w="20" w:type="dxa"/>
            </w:tcMar>
          </w:tcPr>
          <w:p/>
        </w:tc>
        <w:tc>
          <w:tcPr>
            <w:tcW w:type="dxa" w:w="9000"/>
            <w:shd w:fill="F2F6F3"/>
            <w:tcMar>
              <w:top w:w="150" w:type="dxa"/>
              <w:start w:w="180" w:type="dxa"/>
              <w:bottom w:w="150" w:type="dxa"/>
              <w:end w:w="180" w:type="dxa"/>
            </w:tcMar>
          </w:tcPr>
          <w:p>
            <w:pPr>
              <w:spacing w:after="60"/>
            </w:pPr>
            <w:r>
              <w:rPr>
                <w:rFonts w:ascii="Bahnschrift" w:hAnsi="Bahnschrift"/>
                <w:b/>
                <w:i w:val="0"/>
                <w:color w:val="144D32"/>
                <w:sz w:val="22"/>
              </w:rPr>
              <w:t>Governance connection</w:t>
            </w:r>
          </w:p>
          <w:p>
            <w:pPr>
              <w:spacing w:after="0" w:line="269" w:lineRule="auto"/>
            </w:pPr>
            <w:r>
              <w:rPr>
                <w:rFonts w:ascii="Segoe UI" w:hAnsi="Segoe UI"/>
                <w:b w:val="0"/>
                <w:i w:val="0"/>
                <w:color w:val="1F2933"/>
                <w:sz w:val="20"/>
              </w:rPr>
              <w:t>Notifications do not grant access. The central design rechecks module permission, FMS scope, farm assignment, and configured rules before delivery; a rule with no match is designed to be a safe no-op.</w:t>
            </w:r>
          </w:p>
        </w:tc>
      </w:tr>
    </w:tbl>
    <w:p>
      <w:pPr>
        <w:spacing w:after="0"/>
      </w:pPr>
    </w:p>
    <w:p>
      <w:pPr>
        <w:spacing w:after="40"/>
      </w:pPr>
      <w:r>
        <w:rPr>
          <w:rFonts w:ascii="Bahnschrift" w:hAnsi="Bahnschrift"/>
          <w:b/>
          <w:i w:val="0"/>
          <w:color w:val="9B7B1B"/>
          <w:sz w:val="17"/>
        </w:rPr>
        <w:t>SHARED TRANSACTION LAYER</w:t>
      </w:r>
    </w:p>
    <w:p>
      <w:pPr>
        <w:pStyle w:val="Heading1"/>
        <w:keepNext/>
        <w:spacing w:before="240" w:after="120"/>
      </w:pPr>
      <w:r>
        <w:rPr>
          <w:rFonts w:ascii="Bahnschrift" w:hAnsi="Bahnschrift"/>
          <w:b/>
          <w:color w:val="144D32"/>
          <w:sz w:val="40"/>
        </w:rPr>
        <w:t>Inventory backbone</w:t>
      </w:r>
    </w:p>
    <w:tbl>
      <w:tblPr>
        <w:tblW w:type="auto" w:w="0"/>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353"/>
            <w:shd w:fill="F2F6F3"/>
            <w:tcMar>
              <w:top w:w="125" w:type="dxa"/>
              <w:start w:w="75" w:type="dxa"/>
              <w:bottom w:w="125" w:type="dxa"/>
              <w:end w:w="75" w:type="dxa"/>
            </w:tcMar>
            <w:vAlign w:val="center"/>
          </w:tcPr>
          <w:p>
            <w:pPr>
              <w:jc w:val="center"/>
            </w:pPr>
            <w:r>
              <w:rPr>
                <w:rFonts w:ascii="Bahnschrift" w:hAnsi="Bahnschrift"/>
                <w:b/>
                <w:i w:val="0"/>
                <w:color w:val="144D32"/>
                <w:sz w:val="16"/>
              </w:rPr>
              <w:t>Item / Group / UoM</w:t>
            </w:r>
          </w:p>
        </w:tc>
        <w:tc>
          <w:tcPr>
            <w:tcW w:type="dxa" w:w="216"/>
          </w:tcPr>
          <w:p>
            <w:pPr>
              <w:jc w:val="center"/>
            </w:pPr>
            <w:r>
              <w:rPr>
                <w:rFonts w:ascii="Segoe UI" w:hAnsi="Segoe UI"/>
                <w:b/>
                <w:i w:val="0"/>
                <w:color w:val="9B7B1B"/>
                <w:sz w:val="24"/>
              </w:rPr>
              <w:t>→</w:t>
            </w:r>
          </w:p>
        </w:tc>
        <w:tc>
          <w:tcPr>
            <w:tcW w:type="dxa" w:w="1353"/>
            <w:shd w:fill="F7F3E5"/>
            <w:tcMar>
              <w:top w:w="125" w:type="dxa"/>
              <w:start w:w="75" w:type="dxa"/>
              <w:bottom w:w="125" w:type="dxa"/>
              <w:end w:w="75" w:type="dxa"/>
            </w:tcMar>
            <w:vAlign w:val="center"/>
          </w:tcPr>
          <w:p>
            <w:pPr>
              <w:jc w:val="center"/>
            </w:pPr>
            <w:r>
              <w:rPr>
                <w:rFonts w:ascii="Bahnschrift" w:hAnsi="Bahnschrift"/>
                <w:b/>
                <w:i w:val="0"/>
                <w:color w:val="144D32"/>
                <w:sz w:val="16"/>
              </w:rPr>
              <w:t>Warehouse &amp; Batch</w:t>
            </w:r>
          </w:p>
        </w:tc>
        <w:tc>
          <w:tcPr>
            <w:tcW w:type="dxa" w:w="216"/>
          </w:tcPr>
          <w:p>
            <w:pPr>
              <w:jc w:val="center"/>
            </w:pPr>
            <w:r>
              <w:rPr>
                <w:rFonts w:ascii="Segoe UI" w:hAnsi="Segoe UI"/>
                <w:b/>
                <w:i w:val="0"/>
                <w:color w:val="9B7B1B"/>
                <w:sz w:val="24"/>
              </w:rPr>
              <w:t>→</w:t>
            </w:r>
          </w:p>
        </w:tc>
        <w:tc>
          <w:tcPr>
            <w:tcW w:type="dxa" w:w="1353"/>
            <w:shd w:fill="F2F6F3"/>
            <w:tcMar>
              <w:top w:w="125" w:type="dxa"/>
              <w:start w:w="75" w:type="dxa"/>
              <w:bottom w:w="125" w:type="dxa"/>
              <w:end w:w="75" w:type="dxa"/>
            </w:tcMar>
            <w:vAlign w:val="center"/>
          </w:tcPr>
          <w:p>
            <w:pPr>
              <w:jc w:val="center"/>
            </w:pPr>
            <w:r>
              <w:rPr>
                <w:rFonts w:ascii="Bahnschrift" w:hAnsi="Bahnschrift"/>
                <w:b/>
                <w:i w:val="0"/>
                <w:color w:val="144D32"/>
                <w:sz w:val="16"/>
              </w:rPr>
              <w:t>Stock In / Out / Transfer</w:t>
            </w:r>
          </w:p>
        </w:tc>
        <w:tc>
          <w:tcPr>
            <w:tcW w:type="dxa" w:w="216"/>
          </w:tcPr>
          <w:p>
            <w:pPr>
              <w:jc w:val="center"/>
            </w:pPr>
            <w:r>
              <w:rPr>
                <w:rFonts w:ascii="Segoe UI" w:hAnsi="Segoe UI"/>
                <w:b/>
                <w:i w:val="0"/>
                <w:color w:val="9B7B1B"/>
                <w:sz w:val="24"/>
              </w:rPr>
              <w:t>→</w:t>
            </w:r>
          </w:p>
        </w:tc>
        <w:tc>
          <w:tcPr>
            <w:tcW w:type="dxa" w:w="1353"/>
            <w:shd w:fill="F7F3E5"/>
            <w:tcMar>
              <w:top w:w="125" w:type="dxa"/>
              <w:start w:w="75" w:type="dxa"/>
              <w:bottom w:w="125" w:type="dxa"/>
              <w:end w:w="75" w:type="dxa"/>
            </w:tcMar>
            <w:vAlign w:val="center"/>
          </w:tcPr>
          <w:p>
            <w:pPr>
              <w:jc w:val="center"/>
            </w:pPr>
            <w:r>
              <w:rPr>
                <w:rFonts w:ascii="Bahnschrift" w:hAnsi="Bahnschrift"/>
                <w:b/>
                <w:i w:val="0"/>
                <w:color w:val="144D32"/>
                <w:sz w:val="16"/>
              </w:rPr>
              <w:t>inventory_postings</w:t>
            </w:r>
          </w:p>
        </w:tc>
        <w:tc>
          <w:tcPr>
            <w:tcW w:type="dxa" w:w="216"/>
          </w:tcPr>
          <w:p>
            <w:pPr>
              <w:jc w:val="center"/>
            </w:pPr>
            <w:r>
              <w:rPr>
                <w:rFonts w:ascii="Segoe UI" w:hAnsi="Segoe UI"/>
                <w:b/>
                <w:i w:val="0"/>
                <w:color w:val="9B7B1B"/>
                <w:sz w:val="24"/>
              </w:rPr>
              <w:t>→</w:t>
            </w:r>
          </w:p>
        </w:tc>
        <w:tc>
          <w:tcPr>
            <w:tcW w:type="dxa" w:w="1353"/>
            <w:shd w:fill="F2F6F3"/>
            <w:tcMar>
              <w:top w:w="125" w:type="dxa"/>
              <w:start w:w="75" w:type="dxa"/>
              <w:bottom w:w="125" w:type="dxa"/>
              <w:end w:w="75" w:type="dxa"/>
            </w:tcMar>
            <w:vAlign w:val="center"/>
          </w:tcPr>
          <w:p>
            <w:pPr>
              <w:jc w:val="center"/>
            </w:pPr>
            <w:r>
              <w:rPr>
                <w:rFonts w:ascii="Bahnschrift" w:hAnsi="Bahnschrift"/>
                <w:b/>
                <w:i w:val="0"/>
                <w:color w:val="144D32"/>
                <w:sz w:val="16"/>
              </w:rPr>
              <w:t>Audit &amp; Warehouse Report</w:t>
            </w:r>
          </w:p>
        </w:tc>
      </w:tr>
    </w:tbl>
    <w:p>
      <w:pPr>
        <w:spacing w:before="60" w:after="120"/>
        <w:jc w:val="center"/>
      </w:pPr>
      <w:r>
        <w:rPr>
          <w:rFonts w:ascii="Segoe UI" w:hAnsi="Segoe UI"/>
          <w:b w:val="0"/>
          <w:i/>
          <w:color w:val="5B6670"/>
          <w:sz w:val="16"/>
        </w:rPr>
        <w:t>Every posted movement is intended to become a traceable signed ledger entry that can be reconciled and linked back to its source document.</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1944"/>
            <w:shd w:fill="144D32"/>
            <w:tcMar>
              <w:top w:w="110" w:type="dxa"/>
              <w:start w:w="100" w:type="dxa"/>
              <w:bottom w:w="110" w:type="dxa"/>
              <w:end w:w="100" w:type="dxa"/>
            </w:tcMar>
            <w:vAlign w:val="center"/>
          </w:tcPr>
          <w:p>
            <w:pPr>
              <w:jc w:val="left"/>
            </w:pPr>
            <w:r>
              <w:rPr>
                <w:rFonts w:ascii="Bahnschrift" w:hAnsi="Bahnschrift"/>
                <w:b/>
                <w:i w:val="0"/>
                <w:color w:val="FFFFFF"/>
                <w:sz w:val="17"/>
              </w:rPr>
              <w:t>Module</w:t>
            </w:r>
          </w:p>
        </w:tc>
        <w:tc>
          <w:tcPr>
            <w:tcW w:type="dxa" w:w="2520"/>
            <w:shd w:fill="144D32"/>
            <w:tcMar>
              <w:top w:w="110" w:type="dxa"/>
              <w:start w:w="100" w:type="dxa"/>
              <w:bottom w:w="110" w:type="dxa"/>
              <w:end w:w="100" w:type="dxa"/>
            </w:tcMar>
            <w:vAlign w:val="center"/>
          </w:tcPr>
          <w:p>
            <w:pPr>
              <w:jc w:val="left"/>
            </w:pPr>
            <w:r>
              <w:rPr>
                <w:rFonts w:ascii="Bahnschrift" w:hAnsi="Bahnschrift"/>
                <w:b/>
                <w:i w:val="0"/>
                <w:color w:val="FFFFFF"/>
                <w:sz w:val="17"/>
              </w:rPr>
              <w:t>What changed</w:t>
            </w:r>
          </w:p>
        </w:tc>
        <w:tc>
          <w:tcPr>
            <w:tcW w:type="dxa" w:w="3528"/>
            <w:shd w:fill="144D32"/>
            <w:tcMar>
              <w:top w:w="110" w:type="dxa"/>
              <w:start w:w="100" w:type="dxa"/>
              <w:bottom w:w="110" w:type="dxa"/>
              <w:end w:w="100" w:type="dxa"/>
            </w:tcMar>
            <w:vAlign w:val="center"/>
          </w:tcPr>
          <w:p>
            <w:pPr>
              <w:jc w:val="left"/>
            </w:pPr>
            <w:r>
              <w:rPr>
                <w:rFonts w:ascii="Bahnschrift" w:hAnsi="Bahnschrift"/>
                <w:b/>
                <w:i w:val="0"/>
                <w:color w:val="FFFFFF"/>
                <w:sz w:val="17"/>
              </w:rPr>
              <w:t>Connected to / business role</w:t>
            </w:r>
          </w:p>
        </w:tc>
        <w:tc>
          <w:tcPr>
            <w:tcW w:type="dxa" w:w="1224"/>
            <w:shd w:fill="144D32"/>
            <w:tcMar>
              <w:top w:w="110" w:type="dxa"/>
              <w:start w:w="100" w:type="dxa"/>
              <w:bottom w:w="110" w:type="dxa"/>
              <w:end w:w="100" w:type="dxa"/>
            </w:tcMar>
            <w:vAlign w:val="center"/>
          </w:tcPr>
          <w:p>
            <w:pPr>
              <w:jc w:val="center"/>
            </w:pPr>
            <w:r>
              <w:rPr>
                <w:rFonts w:ascii="Bahnschrift" w:hAnsi="Bahnschrift"/>
                <w:b/>
                <w:i w:val="0"/>
                <w:color w:val="FFFFFF"/>
                <w:sz w:val="17"/>
              </w:rPr>
              <w:t>Status</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Item Master &amp; Item Group</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Item CRUD, FMS grouping, one-level subgroup hierarchy, and dependent subgroup selection.</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Supplies item identity to receipt, issue, transfer, Flock Card feed/mortality, and operating modules.</w:t>
            </w:r>
          </w:p>
        </w:tc>
        <w:tc>
          <w:tcPr>
            <w:tcW w:type="dxa" w:w="1224"/>
            <w:tcMar>
              <w:top w:w="105" w:type="dxa"/>
              <w:start w:w="100" w:type="dxa"/>
              <w:bottom w:w="105" w:type="dxa"/>
              <w:end w:w="100" w:type="dxa"/>
            </w:tcMar>
            <w:vAlign w:val="center"/>
          </w:tcPr>
          <w:p>
            <w:pPr>
              <w:jc w:val="center"/>
            </w:pPr>
            <w:r>
              <w:rPr>
                <w:rFonts w:ascii="Segoe UI" w:hAnsi="Segoe UI"/>
                <w:b/>
                <w:i w:val="0"/>
                <w:color w:val="A76516"/>
                <w:sz w:val="16"/>
              </w:rPr>
              <w:t>In Progress</w:t>
            </w:r>
          </w:p>
        </w:tc>
      </w:tr>
      <w:tr>
        <w:tc>
          <w:tcPr>
            <w:tcW w:type="dxa" w:w="1944"/>
            <w:tcMar>
              <w:top w:w="105" w:type="dxa"/>
              <w:start w:w="100" w:type="dxa"/>
              <w:bottom w:w="105" w:type="dxa"/>
              <w:end w:w="100" w:type="dxa"/>
            </w:tcMar>
            <w:vAlign w:val="center"/>
            <w:shd w:fill="F8FAF8"/>
          </w:tcPr>
          <w:p>
            <w:pPr>
              <w:spacing w:after="0"/>
            </w:pPr>
            <w:r>
              <w:rPr>
                <w:rFonts w:ascii="Segoe UI" w:hAnsi="Segoe UI"/>
                <w:b/>
                <w:i w:val="0"/>
                <w:color w:val="1F2933"/>
                <w:sz w:val="17"/>
              </w:rPr>
              <w:t>UoM Master &amp; Conversion</w:t>
            </w:r>
          </w:p>
        </w:tc>
        <w:tc>
          <w:tcPr>
            <w:tcW w:type="dxa" w:w="2520"/>
            <w:tcMar>
              <w:top w:w="105" w:type="dxa"/>
              <w:start w:w="100" w:type="dxa"/>
              <w:bottom w:w="105" w:type="dxa"/>
              <w:end w:w="100" w:type="dxa"/>
            </w:tcMar>
            <w:vAlign w:val="center"/>
            <w:shd w:fill="F8FAF8"/>
          </w:tcPr>
          <w:p>
            <w:pPr>
              <w:spacing w:after="0"/>
            </w:pPr>
            <w:r>
              <w:rPr>
                <w:rFonts w:ascii="Segoe UI" w:hAnsi="Segoe UI"/>
                <w:b w:val="0"/>
                <w:i w:val="0"/>
                <w:color w:val="1F2933"/>
                <w:sz w:val="17"/>
              </w:rPr>
              <w:t>New unit and conversion masters connected to item and transaction forms.</w:t>
            </w:r>
          </w:p>
        </w:tc>
        <w:tc>
          <w:tcPr>
            <w:tcW w:type="dxa" w:w="3528"/>
            <w:tcMar>
              <w:top w:w="105" w:type="dxa"/>
              <w:start w:w="100" w:type="dxa"/>
              <w:bottom w:w="105" w:type="dxa"/>
              <w:end w:w="100" w:type="dxa"/>
            </w:tcMar>
            <w:vAlign w:val="center"/>
            <w:shd w:fill="F8FAF8"/>
          </w:tcPr>
          <w:p>
            <w:pPr>
              <w:spacing w:after="0"/>
            </w:pPr>
            <w:r>
              <w:rPr>
                <w:rFonts w:ascii="Segoe UI" w:hAnsi="Segoe UI"/>
                <w:b w:val="0"/>
                <w:i w:val="0"/>
                <w:color w:val="1F2933"/>
                <w:sz w:val="17"/>
              </w:rPr>
              <w:t>Normalizes transaction quantities before posting.</w:t>
            </w:r>
          </w:p>
        </w:tc>
        <w:tc>
          <w:tcPr>
            <w:tcW w:type="dxa" w:w="1224"/>
            <w:tcMar>
              <w:top w:w="105" w:type="dxa"/>
              <w:start w:w="100" w:type="dxa"/>
              <w:bottom w:w="105" w:type="dxa"/>
              <w:end w:w="100" w:type="dxa"/>
            </w:tcMar>
            <w:vAlign w:val="center"/>
            <w:shd w:fill="F8FAF8"/>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Warehouse Master</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Farm assignment, building/pen relationships, and default warehouse roles.</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Provides authorized sources/destinations for all inventory and farm workflows.</w:t>
            </w:r>
          </w:p>
        </w:tc>
        <w:tc>
          <w:tcPr>
            <w:tcW w:type="dxa" w:w="1224"/>
            <w:tcMar>
              <w:top w:w="105" w:type="dxa"/>
              <w:start w:w="100" w:type="dxa"/>
              <w:bottom w:w="105" w:type="dxa"/>
              <w:end w:w="100" w:type="dxa"/>
            </w:tcMar>
            <w:vAlign w:val="center"/>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shd w:fill="F8FAF8"/>
          </w:tcPr>
          <w:p>
            <w:pPr>
              <w:spacing w:after="0"/>
            </w:pPr>
            <w:r>
              <w:rPr>
                <w:rFonts w:ascii="Segoe UI" w:hAnsi="Segoe UI"/>
                <w:b/>
                <w:i w:val="0"/>
                <w:color w:val="1F2933"/>
                <w:sz w:val="17"/>
              </w:rPr>
              <w:t>Batch Manager</w:t>
            </w:r>
          </w:p>
        </w:tc>
        <w:tc>
          <w:tcPr>
            <w:tcW w:type="dxa" w:w="2520"/>
            <w:tcMar>
              <w:top w:w="105" w:type="dxa"/>
              <w:start w:w="100" w:type="dxa"/>
              <w:bottom w:w="105" w:type="dxa"/>
              <w:end w:w="100" w:type="dxa"/>
            </w:tcMar>
            <w:vAlign w:val="center"/>
            <w:shd w:fill="F8FAF8"/>
          </w:tcPr>
          <w:p>
            <w:pPr>
              <w:spacing w:after="0"/>
            </w:pPr>
            <w:r>
              <w:rPr>
                <w:rFonts w:ascii="Segoe UI" w:hAnsi="Segoe UI"/>
                <w:b w:val="0"/>
                <w:i w:val="0"/>
                <w:color w:val="1F2933"/>
                <w:sz w:val="17"/>
              </w:rPr>
              <w:t>Batch number/expiry support and canonical batch availability patterns.</w:t>
            </w:r>
          </w:p>
        </w:tc>
        <w:tc>
          <w:tcPr>
            <w:tcW w:type="dxa" w:w="3528"/>
            <w:tcMar>
              <w:top w:w="105" w:type="dxa"/>
              <w:start w:w="100" w:type="dxa"/>
              <w:bottom w:w="105" w:type="dxa"/>
              <w:end w:w="100" w:type="dxa"/>
            </w:tcMar>
            <w:vAlign w:val="center"/>
            <w:shd w:fill="F8FAF8"/>
          </w:tcPr>
          <w:p>
            <w:pPr>
              <w:spacing w:after="0"/>
            </w:pPr>
            <w:r>
              <w:rPr>
                <w:rFonts w:ascii="Segoe UI" w:hAnsi="Segoe UI"/>
                <w:b w:val="0"/>
                <w:i w:val="0"/>
                <w:color w:val="1F2933"/>
                <w:sz w:val="17"/>
              </w:rPr>
              <w:t>Feeds Goods Receipt, Goods Issue, Transfer, Flock Card, Harvest &amp; Delivery, and Clean up allocations.</w:t>
            </w:r>
          </w:p>
        </w:tc>
        <w:tc>
          <w:tcPr>
            <w:tcW w:type="dxa" w:w="1224"/>
            <w:tcMar>
              <w:top w:w="105" w:type="dxa"/>
              <w:start w:w="100" w:type="dxa"/>
              <w:bottom w:w="105" w:type="dxa"/>
              <w:end w:w="100" w:type="dxa"/>
            </w:tcMar>
            <w:vAlign w:val="center"/>
            <w:shd w:fill="F8FAF8"/>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Item Stock In</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Goods Receipt forms, batching, posting, draft/post workflow, DR reference, and line-level group/subgroup presentation.</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Vendor/farm/warehouse/batch → inventory_postings; direct-post refinements are local WIP.</w:t>
            </w:r>
          </w:p>
        </w:tc>
        <w:tc>
          <w:tcPr>
            <w:tcW w:type="dxa" w:w="1224"/>
            <w:tcMar>
              <w:top w:w="105" w:type="dxa"/>
              <w:start w:w="100" w:type="dxa"/>
              <w:bottom w:w="105" w:type="dxa"/>
              <w:end w:w="100" w:type="dxa"/>
            </w:tcMar>
            <w:vAlign w:val="center"/>
          </w:tcPr>
          <w:p>
            <w:pPr>
              <w:jc w:val="center"/>
            </w:pPr>
            <w:r>
              <w:rPr>
                <w:rFonts w:ascii="Segoe UI" w:hAnsi="Segoe UI"/>
                <w:b/>
                <w:i w:val="0"/>
                <w:color w:val="A76516"/>
                <w:sz w:val="16"/>
              </w:rPr>
              <w:t>In Progress</w:t>
            </w:r>
          </w:p>
        </w:tc>
      </w:tr>
      <w:tr>
        <w:tc>
          <w:tcPr>
            <w:tcW w:type="dxa" w:w="1944"/>
            <w:tcMar>
              <w:top w:w="105" w:type="dxa"/>
              <w:start w:w="100" w:type="dxa"/>
              <w:bottom w:w="105" w:type="dxa"/>
              <w:end w:w="100" w:type="dxa"/>
            </w:tcMar>
            <w:vAlign w:val="center"/>
            <w:shd w:fill="F8FAF8"/>
          </w:tcPr>
          <w:p>
            <w:pPr>
              <w:spacing w:after="0"/>
            </w:pPr>
            <w:r>
              <w:rPr>
                <w:rFonts w:ascii="Segoe UI" w:hAnsi="Segoe UI"/>
                <w:b/>
                <w:i w:val="0"/>
                <w:color w:val="1F2933"/>
                <w:sz w:val="17"/>
              </w:rPr>
              <w:t>Item Stock Out</w:t>
            </w:r>
          </w:p>
        </w:tc>
        <w:tc>
          <w:tcPr>
            <w:tcW w:type="dxa" w:w="2520"/>
            <w:tcMar>
              <w:top w:w="105" w:type="dxa"/>
              <w:start w:w="100" w:type="dxa"/>
              <w:bottom w:w="105" w:type="dxa"/>
              <w:end w:w="100" w:type="dxa"/>
            </w:tcMar>
            <w:vAlign w:val="center"/>
            <w:shd w:fill="F8FAF8"/>
          </w:tcPr>
          <w:p>
            <w:pPr>
              <w:spacing w:after="0"/>
            </w:pPr>
            <w:r>
              <w:rPr>
                <w:rFonts w:ascii="Segoe UI" w:hAnsi="Segoe UI"/>
                <w:b w:val="0"/>
                <w:i w:val="0"/>
                <w:color w:val="1F2933"/>
                <w:sz w:val="17"/>
              </w:rPr>
              <w:t>General Goods Issue plus shared forms used by Harvest &amp; Delivery and Clean up.</w:t>
            </w:r>
          </w:p>
        </w:tc>
        <w:tc>
          <w:tcPr>
            <w:tcW w:type="dxa" w:w="3528"/>
            <w:tcMar>
              <w:top w:w="105" w:type="dxa"/>
              <w:start w:w="100" w:type="dxa"/>
              <w:bottom w:w="105" w:type="dxa"/>
              <w:end w:w="100" w:type="dxa"/>
            </w:tcMar>
            <w:vAlign w:val="center"/>
            <w:shd w:fill="F8FAF8"/>
          </w:tcPr>
          <w:p>
            <w:pPr>
              <w:spacing w:after="0"/>
            </w:pPr>
            <w:r>
              <w:rPr>
                <w:rFonts w:ascii="Segoe UI" w:hAnsi="Segoe UI"/>
                <w:b w:val="0"/>
                <w:i w:val="0"/>
                <w:color w:val="1F2933"/>
                <w:sz w:val="17"/>
              </w:rPr>
              <w:t>Manual GI, BR-DR, and BR-CU document types → dedicated tables and signed OUT postings.</w:t>
            </w:r>
          </w:p>
        </w:tc>
        <w:tc>
          <w:tcPr>
            <w:tcW w:type="dxa" w:w="1224"/>
            <w:tcMar>
              <w:top w:w="105" w:type="dxa"/>
              <w:start w:w="100" w:type="dxa"/>
              <w:bottom w:w="105" w:type="dxa"/>
              <w:end w:w="100" w:type="dxa"/>
            </w:tcMar>
            <w:vAlign w:val="center"/>
            <w:shd w:fill="F8FAF8"/>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Inventory Transfer</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Origin/destination warehouse posting and batch/on-hand validation.</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Creates paired warehouse movements and feeds the common ledger; direct-post refinement is local WIP.</w:t>
            </w:r>
          </w:p>
        </w:tc>
        <w:tc>
          <w:tcPr>
            <w:tcW w:type="dxa" w:w="1224"/>
            <w:tcMar>
              <w:top w:w="105" w:type="dxa"/>
              <w:start w:w="100" w:type="dxa"/>
              <w:bottom w:w="105" w:type="dxa"/>
              <w:end w:w="100" w:type="dxa"/>
            </w:tcMar>
            <w:vAlign w:val="center"/>
          </w:tcPr>
          <w:p>
            <w:pPr>
              <w:jc w:val="center"/>
            </w:pPr>
            <w:r>
              <w:rPr>
                <w:rFonts w:ascii="Segoe UI" w:hAnsi="Segoe UI"/>
                <w:b/>
                <w:i w:val="0"/>
                <w:color w:val="A76516"/>
                <w:sz w:val="16"/>
              </w:rPr>
              <w:t>In Progress</w:t>
            </w:r>
          </w:p>
        </w:tc>
      </w:tr>
      <w:tr>
        <w:tc>
          <w:tcPr>
            <w:tcW w:type="dxa" w:w="1944"/>
            <w:tcMar>
              <w:top w:w="105" w:type="dxa"/>
              <w:start w:w="100" w:type="dxa"/>
              <w:bottom w:w="105" w:type="dxa"/>
              <w:end w:w="100" w:type="dxa"/>
            </w:tcMar>
            <w:vAlign w:val="center"/>
            <w:shd w:fill="F8FAF8"/>
          </w:tcPr>
          <w:p>
            <w:pPr>
              <w:spacing w:after="0"/>
            </w:pPr>
            <w:r>
              <w:rPr>
                <w:rFonts w:ascii="Segoe UI" w:hAnsi="Segoe UI"/>
                <w:b/>
                <w:i w:val="0"/>
                <w:color w:val="1F2933"/>
                <w:sz w:val="17"/>
              </w:rPr>
              <w:t>Inventory Audit</w:t>
            </w:r>
          </w:p>
        </w:tc>
        <w:tc>
          <w:tcPr>
            <w:tcW w:type="dxa" w:w="2520"/>
            <w:tcMar>
              <w:top w:w="105" w:type="dxa"/>
              <w:start w:w="100" w:type="dxa"/>
              <w:bottom w:w="105" w:type="dxa"/>
              <w:end w:w="100" w:type="dxa"/>
            </w:tcMar>
            <w:vAlign w:val="center"/>
            <w:shd w:fill="F8FAF8"/>
          </w:tcPr>
          <w:p>
            <w:pPr>
              <w:spacing w:after="0"/>
            </w:pPr>
            <w:r>
              <w:rPr>
                <w:rFonts w:ascii="Segoe UI" w:hAnsi="Segoe UI"/>
                <w:b w:val="0"/>
                <w:i w:val="0"/>
                <w:color w:val="1F2933"/>
                <w:sz w:val="17"/>
              </w:rPr>
              <w:t>Farm, warehouse, date filters, visible posting ID, and descending order.</w:t>
            </w:r>
          </w:p>
        </w:tc>
        <w:tc>
          <w:tcPr>
            <w:tcW w:type="dxa" w:w="3528"/>
            <w:tcMar>
              <w:top w:w="105" w:type="dxa"/>
              <w:start w:w="100" w:type="dxa"/>
              <w:bottom w:w="105" w:type="dxa"/>
              <w:end w:w="100" w:type="dxa"/>
            </w:tcMar>
            <w:vAlign w:val="center"/>
            <w:shd w:fill="F8FAF8"/>
          </w:tcPr>
          <w:p>
            <w:pPr>
              <w:spacing w:after="0"/>
            </w:pPr>
            <w:r>
              <w:rPr>
                <w:rFonts w:ascii="Segoe UI" w:hAnsi="Segoe UI"/>
                <w:b w:val="0"/>
                <w:i w:val="0"/>
                <w:color w:val="1F2933"/>
                <w:sz w:val="17"/>
              </w:rPr>
              <w:t>Direct view of inventory_postings for transaction review.</w:t>
            </w:r>
          </w:p>
        </w:tc>
        <w:tc>
          <w:tcPr>
            <w:tcW w:type="dxa" w:w="1224"/>
            <w:tcMar>
              <w:top w:w="105" w:type="dxa"/>
              <w:start w:w="100" w:type="dxa"/>
              <w:bottom w:w="105" w:type="dxa"/>
              <w:end w:w="100" w:type="dxa"/>
            </w:tcMar>
            <w:vAlign w:val="center"/>
            <w:shd w:fill="F8FAF8"/>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Warehouse Report</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Beginning/running balance, batch separation, farm-authorized warehouse search, Excel/PDF export, and source links.</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Reconciles receipts, issues, transfers, DOC Placement, Flock Card, Harvest &amp; Delivery, and Clean up postings.</w:t>
            </w:r>
          </w:p>
        </w:tc>
        <w:tc>
          <w:tcPr>
            <w:tcW w:type="dxa" w:w="1224"/>
            <w:tcMar>
              <w:top w:w="105" w:type="dxa"/>
              <w:start w:w="100" w:type="dxa"/>
              <w:bottom w:w="105" w:type="dxa"/>
              <w:end w:w="100" w:type="dxa"/>
            </w:tcMar>
            <w:vAlign w:val="center"/>
          </w:tcPr>
          <w:p>
            <w:pPr>
              <w:jc w:val="center"/>
            </w:pPr>
            <w:r>
              <w:rPr>
                <w:rFonts w:ascii="Segoe UI" w:hAnsi="Segoe UI"/>
                <w:b/>
                <w:i w:val="0"/>
                <w:color w:val="144D32"/>
                <w:sz w:val="16"/>
              </w:rPr>
              <w:t>Integrated</w:t>
            </w:r>
          </w:p>
        </w:tc>
      </w:tr>
    </w:tbl>
    <w:p>
      <w:pPr>
        <w:spacing w:after="0"/>
      </w:pPr>
    </w:p>
    <w:tbl>
      <w:tblPr>
        <w:tblW w:type="auto" w:w="0"/>
        <w:tblLayout w:type="fixed"/>
        <w:tblLook w:firstColumn="1" w:firstRow="1" w:lastColumn="0" w:lastRow="0" w:noHBand="0" w:noVBand="1" w:val="04A0"/>
      </w:tblPr>
      <w:tblGrid>
        <w:gridCol w:w="5083"/>
        <w:gridCol w:w="5083"/>
      </w:tblGrid>
      <w:tr>
        <w:tc>
          <w:tcPr>
            <w:tcW w:type="dxa" w:w="144"/>
            <w:shd w:fill="144D32"/>
            <w:tcMar>
              <w:top w:w="80" w:type="dxa"/>
              <w:start w:w="20" w:type="dxa"/>
              <w:bottom w:w="80" w:type="dxa"/>
              <w:end w:w="20" w:type="dxa"/>
            </w:tcMar>
          </w:tcPr>
          <w:p/>
        </w:tc>
        <w:tc>
          <w:tcPr>
            <w:tcW w:type="dxa" w:w="9000"/>
            <w:shd w:fill="F2F6F3"/>
            <w:tcMar>
              <w:top w:w="150" w:type="dxa"/>
              <w:start w:w="180" w:type="dxa"/>
              <w:bottom w:w="150" w:type="dxa"/>
              <w:end w:w="180" w:type="dxa"/>
            </w:tcMar>
          </w:tcPr>
          <w:p>
            <w:pPr>
              <w:spacing w:after="60"/>
            </w:pPr>
            <w:r>
              <w:rPr>
                <w:rFonts w:ascii="Bahnschrift" w:hAnsi="Bahnschrift"/>
                <w:b/>
                <w:i w:val="0"/>
                <w:color w:val="144D32"/>
                <w:sz w:val="22"/>
              </w:rPr>
              <w:t>Business significance</w:t>
            </w:r>
          </w:p>
          <w:p>
            <w:pPr>
              <w:spacing w:after="0" w:line="269" w:lineRule="auto"/>
            </w:pPr>
            <w:r>
              <w:rPr>
                <w:rFonts w:ascii="Segoe UI" w:hAnsi="Segoe UI"/>
                <w:b w:val="0"/>
                <w:i w:val="0"/>
                <w:color w:val="1F2933"/>
                <w:sz w:val="20"/>
              </w:rPr>
              <w:t>The inventory ledger is the common financial-operational spine. A quantity shown in an operating module should reconcile with inventory_postings and the Warehouse Report rather than being recalculated independently in each screen.</w:t>
            </w:r>
          </w:p>
        </w:tc>
      </w:tr>
    </w:tbl>
    <w:p>
      <w:pPr>
        <w:spacing w:after="0"/>
      </w:pPr>
    </w:p>
    <w:p>
      <w:r>
        <w:br w:type="page"/>
      </w:r>
    </w:p>
    <w:p>
      <w:pPr>
        <w:spacing w:after="40"/>
      </w:pPr>
      <w:r>
        <w:rPr>
          <w:rFonts w:ascii="Bahnschrift" w:hAnsi="Bahnschrift"/>
          <w:b/>
          <w:i w:val="0"/>
          <w:color w:val="9B7B1B"/>
          <w:sz w:val="17"/>
        </w:rPr>
        <w:t>END-TO-END OPERATING CHAIN</w:t>
      </w:r>
    </w:p>
    <w:p>
      <w:pPr>
        <w:pStyle w:val="Heading1"/>
        <w:keepNext/>
        <w:spacing w:before="240" w:after="120"/>
      </w:pPr>
      <w:r>
        <w:rPr>
          <w:rFonts w:ascii="Bahnschrift" w:hAnsi="Bahnschrift"/>
          <w:b/>
          <w:color w:val="144D32"/>
          <w:sz w:val="40"/>
        </w:rPr>
        <w:t>Broiler lifecycle</w:t>
      </w:r>
    </w:p>
    <w:tbl>
      <w:tblPr>
        <w:tblW w:type="auto" w:w="0"/>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353"/>
            <w:shd w:fill="F2F6F3"/>
            <w:tcMar>
              <w:top w:w="125" w:type="dxa"/>
              <w:start w:w="75" w:type="dxa"/>
              <w:bottom w:w="125" w:type="dxa"/>
              <w:end w:w="75" w:type="dxa"/>
            </w:tcMar>
            <w:vAlign w:val="center"/>
          </w:tcPr>
          <w:p>
            <w:pPr>
              <w:jc w:val="center"/>
            </w:pPr>
            <w:r>
              <w:rPr>
                <w:rFonts w:ascii="Bahnschrift" w:hAnsi="Bahnschrift"/>
                <w:b/>
                <w:i w:val="0"/>
                <w:color w:val="144D32"/>
                <w:sz w:val="16"/>
              </w:rPr>
              <w:t>DOC Placement</w:t>
            </w:r>
          </w:p>
        </w:tc>
        <w:tc>
          <w:tcPr>
            <w:tcW w:type="dxa" w:w="216"/>
          </w:tcPr>
          <w:p>
            <w:pPr>
              <w:jc w:val="center"/>
            </w:pPr>
            <w:r>
              <w:rPr>
                <w:rFonts w:ascii="Segoe UI" w:hAnsi="Segoe UI"/>
                <w:b/>
                <w:i w:val="0"/>
                <w:color w:val="9B7B1B"/>
                <w:sz w:val="24"/>
              </w:rPr>
              <w:t>→</w:t>
            </w:r>
          </w:p>
        </w:tc>
        <w:tc>
          <w:tcPr>
            <w:tcW w:type="dxa" w:w="1353"/>
            <w:shd w:fill="F7F3E5"/>
            <w:tcMar>
              <w:top w:w="125" w:type="dxa"/>
              <w:start w:w="75" w:type="dxa"/>
              <w:bottom w:w="125" w:type="dxa"/>
              <w:end w:w="75" w:type="dxa"/>
            </w:tcMar>
            <w:vAlign w:val="center"/>
          </w:tcPr>
          <w:p>
            <w:pPr>
              <w:jc w:val="center"/>
            </w:pPr>
            <w:r>
              <w:rPr>
                <w:rFonts w:ascii="Bahnschrift" w:hAnsi="Bahnschrift"/>
                <w:b/>
                <w:i w:val="0"/>
                <w:color w:val="144D32"/>
                <w:sz w:val="16"/>
              </w:rPr>
              <w:t>Farm / Building Cycle</w:t>
            </w:r>
          </w:p>
        </w:tc>
        <w:tc>
          <w:tcPr>
            <w:tcW w:type="dxa" w:w="216"/>
          </w:tcPr>
          <w:p>
            <w:pPr>
              <w:jc w:val="center"/>
            </w:pPr>
            <w:r>
              <w:rPr>
                <w:rFonts w:ascii="Segoe UI" w:hAnsi="Segoe UI"/>
                <w:b/>
                <w:i w:val="0"/>
                <w:color w:val="9B7B1B"/>
                <w:sz w:val="24"/>
              </w:rPr>
              <w:t>→</w:t>
            </w:r>
          </w:p>
        </w:tc>
        <w:tc>
          <w:tcPr>
            <w:tcW w:type="dxa" w:w="1353"/>
            <w:shd w:fill="F2F6F3"/>
            <w:tcMar>
              <w:top w:w="125" w:type="dxa"/>
              <w:start w:w="75" w:type="dxa"/>
              <w:bottom w:w="125" w:type="dxa"/>
              <w:end w:w="75" w:type="dxa"/>
            </w:tcMar>
            <w:vAlign w:val="center"/>
          </w:tcPr>
          <w:p>
            <w:pPr>
              <w:jc w:val="center"/>
            </w:pPr>
            <w:r>
              <w:rPr>
                <w:rFonts w:ascii="Bahnschrift" w:hAnsi="Bahnschrift"/>
                <w:b/>
                <w:i w:val="0"/>
                <w:color w:val="144D32"/>
                <w:sz w:val="16"/>
              </w:rPr>
              <w:t>Growing &amp; Farm Condition</w:t>
            </w:r>
          </w:p>
        </w:tc>
        <w:tc>
          <w:tcPr>
            <w:tcW w:type="dxa" w:w="216"/>
          </w:tcPr>
          <w:p>
            <w:pPr>
              <w:jc w:val="center"/>
            </w:pPr>
            <w:r>
              <w:rPr>
                <w:rFonts w:ascii="Segoe UI" w:hAnsi="Segoe UI"/>
                <w:b/>
                <w:i w:val="0"/>
                <w:color w:val="9B7B1B"/>
                <w:sz w:val="24"/>
              </w:rPr>
              <w:t>→</w:t>
            </w:r>
          </w:p>
        </w:tc>
        <w:tc>
          <w:tcPr>
            <w:tcW w:type="dxa" w:w="1353"/>
            <w:shd w:fill="F7F3E5"/>
            <w:tcMar>
              <w:top w:w="125" w:type="dxa"/>
              <w:start w:w="75" w:type="dxa"/>
              <w:bottom w:w="125" w:type="dxa"/>
              <w:end w:w="75" w:type="dxa"/>
            </w:tcMar>
            <w:vAlign w:val="center"/>
          </w:tcPr>
          <w:p>
            <w:pPr>
              <w:jc w:val="center"/>
            </w:pPr>
            <w:r>
              <w:rPr>
                <w:rFonts w:ascii="Bahnschrift" w:hAnsi="Bahnschrift"/>
                <w:b/>
                <w:i w:val="0"/>
                <w:color w:val="144D32"/>
                <w:sz w:val="16"/>
              </w:rPr>
              <w:t>Harvest &amp; Delivery</w:t>
            </w:r>
          </w:p>
        </w:tc>
        <w:tc>
          <w:tcPr>
            <w:tcW w:type="dxa" w:w="216"/>
          </w:tcPr>
          <w:p>
            <w:pPr>
              <w:jc w:val="center"/>
            </w:pPr>
            <w:r>
              <w:rPr>
                <w:rFonts w:ascii="Segoe UI" w:hAnsi="Segoe UI"/>
                <w:b/>
                <w:i w:val="0"/>
                <w:color w:val="9B7B1B"/>
                <w:sz w:val="24"/>
              </w:rPr>
              <w:t>→</w:t>
            </w:r>
          </w:p>
        </w:tc>
        <w:tc>
          <w:tcPr>
            <w:tcW w:type="dxa" w:w="1353"/>
            <w:shd w:fill="F2F6F3"/>
            <w:tcMar>
              <w:top w:w="125" w:type="dxa"/>
              <w:start w:w="75" w:type="dxa"/>
              <w:bottom w:w="125" w:type="dxa"/>
              <w:end w:w="75" w:type="dxa"/>
            </w:tcMar>
            <w:vAlign w:val="center"/>
          </w:tcPr>
          <w:p>
            <w:pPr>
              <w:jc w:val="center"/>
            </w:pPr>
            <w:r>
              <w:rPr>
                <w:rFonts w:ascii="Bahnschrift" w:hAnsi="Bahnschrift"/>
                <w:b/>
                <w:i w:val="0"/>
                <w:color w:val="144D32"/>
                <w:sz w:val="16"/>
              </w:rPr>
              <w:t>Clean up</w:t>
            </w:r>
          </w:p>
        </w:tc>
      </w:tr>
    </w:tbl>
    <w:p>
      <w:pPr>
        <w:spacing w:before="60" w:after="120"/>
        <w:jc w:val="center"/>
      </w:pPr>
      <w:r>
        <w:rPr>
          <w:rFonts w:ascii="Segoe UI" w:hAnsi="Segoe UI"/>
          <w:b w:val="0"/>
          <w:i/>
          <w:color w:val="5B6670"/>
          <w:sz w:val="16"/>
        </w:rPr>
        <w:t>Cycle Master monitors the lifecycle; settings govern each stage; inventory_postings records stock consequences.</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1944"/>
            <w:shd w:fill="144D32"/>
            <w:tcMar>
              <w:top w:w="110" w:type="dxa"/>
              <w:start w:w="100" w:type="dxa"/>
              <w:bottom w:w="110" w:type="dxa"/>
              <w:end w:w="100" w:type="dxa"/>
            </w:tcMar>
            <w:vAlign w:val="center"/>
          </w:tcPr>
          <w:p>
            <w:pPr>
              <w:jc w:val="left"/>
            </w:pPr>
            <w:r>
              <w:rPr>
                <w:rFonts w:ascii="Bahnschrift" w:hAnsi="Bahnschrift"/>
                <w:b/>
                <w:i w:val="0"/>
                <w:color w:val="FFFFFF"/>
                <w:sz w:val="17"/>
              </w:rPr>
              <w:t>Module</w:t>
            </w:r>
          </w:p>
        </w:tc>
        <w:tc>
          <w:tcPr>
            <w:tcW w:type="dxa" w:w="2520"/>
            <w:shd w:fill="144D32"/>
            <w:tcMar>
              <w:top w:w="110" w:type="dxa"/>
              <w:start w:w="100" w:type="dxa"/>
              <w:bottom w:w="110" w:type="dxa"/>
              <w:end w:w="100" w:type="dxa"/>
            </w:tcMar>
            <w:vAlign w:val="center"/>
          </w:tcPr>
          <w:p>
            <w:pPr>
              <w:jc w:val="left"/>
            </w:pPr>
            <w:r>
              <w:rPr>
                <w:rFonts w:ascii="Bahnschrift" w:hAnsi="Bahnschrift"/>
                <w:b/>
                <w:i w:val="0"/>
                <w:color w:val="FFFFFF"/>
                <w:sz w:val="17"/>
              </w:rPr>
              <w:t>What changed</w:t>
            </w:r>
          </w:p>
        </w:tc>
        <w:tc>
          <w:tcPr>
            <w:tcW w:type="dxa" w:w="3528"/>
            <w:shd w:fill="144D32"/>
            <w:tcMar>
              <w:top w:w="110" w:type="dxa"/>
              <w:start w:w="100" w:type="dxa"/>
              <w:bottom w:w="110" w:type="dxa"/>
              <w:end w:w="100" w:type="dxa"/>
            </w:tcMar>
            <w:vAlign w:val="center"/>
          </w:tcPr>
          <w:p>
            <w:pPr>
              <w:jc w:val="left"/>
            </w:pPr>
            <w:r>
              <w:rPr>
                <w:rFonts w:ascii="Bahnschrift" w:hAnsi="Bahnschrift"/>
                <w:b/>
                <w:i w:val="0"/>
                <w:color w:val="FFFFFF"/>
                <w:sz w:val="17"/>
              </w:rPr>
              <w:t>Connected to / business role</w:t>
            </w:r>
          </w:p>
        </w:tc>
        <w:tc>
          <w:tcPr>
            <w:tcW w:type="dxa" w:w="1224"/>
            <w:shd w:fill="144D32"/>
            <w:tcMar>
              <w:top w:w="110" w:type="dxa"/>
              <w:start w:w="100" w:type="dxa"/>
              <w:bottom w:w="110" w:type="dxa"/>
              <w:end w:w="100" w:type="dxa"/>
            </w:tcMar>
            <w:vAlign w:val="center"/>
          </w:tcPr>
          <w:p>
            <w:pPr>
              <w:jc w:val="center"/>
            </w:pPr>
            <w:r>
              <w:rPr>
                <w:rFonts w:ascii="Bahnschrift" w:hAnsi="Bahnschrift"/>
                <w:b/>
                <w:i w:val="0"/>
                <w:color w:val="FFFFFF"/>
                <w:sz w:val="17"/>
              </w:rPr>
              <w:t>Status</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DOC Placement Settings</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Farm-scoped item mapping for good, dead-on-arrival, and rejected chicks; excluded-cycle buildings.</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Direct settings module for DOC Placement; controls classification item mapping and farm-cycle exceptions.</w:t>
            </w:r>
          </w:p>
        </w:tc>
        <w:tc>
          <w:tcPr>
            <w:tcW w:type="dxa" w:w="1224"/>
            <w:tcMar>
              <w:top w:w="105" w:type="dxa"/>
              <w:start w:w="100" w:type="dxa"/>
              <w:bottom w:w="105" w:type="dxa"/>
              <w:end w:w="100" w:type="dxa"/>
            </w:tcMar>
            <w:vAlign w:val="center"/>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shd w:fill="F8FAF8"/>
          </w:tcPr>
          <w:p>
            <w:pPr>
              <w:spacing w:after="0"/>
            </w:pPr>
            <w:r>
              <w:rPr>
                <w:rFonts w:ascii="Segoe UI" w:hAnsi="Segoe UI"/>
                <w:b/>
                <w:i w:val="0"/>
                <w:color w:val="1F2933"/>
                <w:sz w:val="17"/>
              </w:rPr>
              <w:t>DOC Placement</w:t>
            </w:r>
          </w:p>
        </w:tc>
        <w:tc>
          <w:tcPr>
            <w:tcW w:type="dxa" w:w="2520"/>
            <w:tcMar>
              <w:top w:w="105" w:type="dxa"/>
              <w:start w:w="100" w:type="dxa"/>
              <w:bottom w:w="105" w:type="dxa"/>
              <w:end w:w="100" w:type="dxa"/>
            </w:tcMar>
            <w:vAlign w:val="center"/>
            <w:shd w:fill="F8FAF8"/>
          </w:tcPr>
          <w:p>
            <w:pPr>
              <w:spacing w:after="0"/>
            </w:pPr>
            <w:r>
              <w:rPr>
                <w:rFonts w:ascii="Segoe UI" w:hAnsi="Segoe UI"/>
                <w:b w:val="0"/>
                <w:i w:val="0"/>
                <w:color w:val="1F2933"/>
                <w:sz w:val="17"/>
              </w:rPr>
              <w:t>Per-line building placement, date and age rules, actual-received logic, direct posting, source lineage, remarks, and cycle creation.</w:t>
            </w:r>
          </w:p>
        </w:tc>
        <w:tc>
          <w:tcPr>
            <w:tcW w:type="dxa" w:w="3528"/>
            <w:tcMar>
              <w:top w:w="105" w:type="dxa"/>
              <w:start w:w="100" w:type="dxa"/>
              <w:bottom w:w="105" w:type="dxa"/>
              <w:end w:w="100" w:type="dxa"/>
            </w:tcMar>
            <w:vAlign w:val="center"/>
            <w:shd w:fill="F8FAF8"/>
          </w:tcPr>
          <w:p>
            <w:pPr>
              <w:spacing w:after="0"/>
            </w:pPr>
            <w:r>
              <w:rPr>
                <w:rFonts w:ascii="Segoe UI" w:hAnsi="Segoe UI"/>
                <w:b w:val="0"/>
                <w:i w:val="0"/>
                <w:color w:val="1F2933"/>
                <w:sz w:val="17"/>
              </w:rPr>
              <w:t>Creates or joins Farm/Building cycles, creates Flock Cards, and posts DOC inventory through shared Goods Receipt structures.</w:t>
            </w:r>
          </w:p>
        </w:tc>
        <w:tc>
          <w:tcPr>
            <w:tcW w:type="dxa" w:w="1224"/>
            <w:tcMar>
              <w:top w:w="105" w:type="dxa"/>
              <w:start w:w="100" w:type="dxa"/>
              <w:bottom w:w="105" w:type="dxa"/>
              <w:end w:w="100" w:type="dxa"/>
            </w:tcMar>
            <w:vAlign w:val="center"/>
            <w:shd w:fill="F8FAF8"/>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Cycle Master</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Read-only farm cycle view with participating-building progress and closure state.</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Cycles begin from DOC Placement and close only after participating Flock Cards complete posted Clean up.</w:t>
            </w:r>
          </w:p>
        </w:tc>
        <w:tc>
          <w:tcPr>
            <w:tcW w:type="dxa" w:w="1224"/>
            <w:tcMar>
              <w:top w:w="105" w:type="dxa"/>
              <w:start w:w="100" w:type="dxa"/>
              <w:bottom w:w="105" w:type="dxa"/>
              <w:end w:w="100" w:type="dxa"/>
            </w:tcMar>
            <w:vAlign w:val="center"/>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shd w:fill="F8FAF8"/>
          </w:tcPr>
          <w:p>
            <w:pPr>
              <w:spacing w:after="0"/>
            </w:pPr>
            <w:r>
              <w:rPr>
                <w:rFonts w:ascii="Segoe UI" w:hAnsi="Segoe UI"/>
                <w:b/>
                <w:i w:val="0"/>
                <w:color w:val="1F2933"/>
                <w:sz w:val="17"/>
              </w:rPr>
              <w:t>Growing &amp; Farm Condition Settings</w:t>
            </w:r>
          </w:p>
        </w:tc>
        <w:tc>
          <w:tcPr>
            <w:tcW w:type="dxa" w:w="2520"/>
            <w:tcMar>
              <w:top w:w="105" w:type="dxa"/>
              <w:start w:w="100" w:type="dxa"/>
              <w:bottom w:w="105" w:type="dxa"/>
              <w:end w:w="100" w:type="dxa"/>
            </w:tcMar>
            <w:vAlign w:val="center"/>
            <w:shd w:fill="F8FAF8"/>
          </w:tcPr>
          <w:p>
            <w:pPr>
              <w:spacing w:after="0"/>
            </w:pPr>
            <w:r>
              <w:rPr>
                <w:rFonts w:ascii="Segoe UI" w:hAnsi="Segoe UI"/>
                <w:b w:val="0"/>
                <w:i w:val="0"/>
                <w:color w:val="1F2933"/>
                <w:sz w:val="17"/>
              </w:rPr>
              <w:t>Farm-specific feed group, automatic feed-batch mode, and other Flock Card configuration.</w:t>
            </w:r>
          </w:p>
        </w:tc>
        <w:tc>
          <w:tcPr>
            <w:tcW w:type="dxa" w:w="3528"/>
            <w:tcMar>
              <w:top w:w="105" w:type="dxa"/>
              <w:start w:w="100" w:type="dxa"/>
              <w:bottom w:w="105" w:type="dxa"/>
              <w:end w:w="100" w:type="dxa"/>
            </w:tcMar>
            <w:vAlign w:val="center"/>
            <w:shd w:fill="F8FAF8"/>
          </w:tcPr>
          <w:p>
            <w:pPr>
              <w:spacing w:after="0"/>
            </w:pPr>
            <w:r>
              <w:rPr>
                <w:rFonts w:ascii="Segoe UI" w:hAnsi="Segoe UI"/>
                <w:b w:val="0"/>
                <w:i w:val="0"/>
                <w:color w:val="1F2933"/>
                <w:sz w:val="17"/>
              </w:rPr>
              <w:t>Direct settings module for the daily Growing &amp; Farm Condition / Flock Card workflow.</w:t>
            </w:r>
          </w:p>
        </w:tc>
        <w:tc>
          <w:tcPr>
            <w:tcW w:type="dxa" w:w="1224"/>
            <w:tcMar>
              <w:top w:w="105" w:type="dxa"/>
              <w:start w:w="100" w:type="dxa"/>
              <w:bottom w:w="105" w:type="dxa"/>
              <w:end w:w="100" w:type="dxa"/>
            </w:tcMar>
            <w:vAlign w:val="center"/>
            <w:shd w:fill="F8FAF8"/>
          </w:tcPr>
          <w:p>
            <w:pPr>
              <w:jc w:val="center"/>
            </w:pPr>
            <w:r>
              <w:rPr>
                <w:rFonts w:ascii="Segoe UI" w:hAnsi="Segoe UI"/>
                <w:b/>
                <w:i w:val="0"/>
                <w:color w:val="A76516"/>
                <w:sz w:val="16"/>
              </w:rPr>
              <w:t>In Progress</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Growing &amp; Farm Condition</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Daily Flock Card grid, placement origin, feed/mortality batches, on-hand checks, bird metrics, guidelines, exports, and loading/action feedback.</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Consumes configured items and batches; records feed and mortality/thinning movements; supplies age/body weight to downstream modules.</w:t>
            </w:r>
          </w:p>
        </w:tc>
        <w:tc>
          <w:tcPr>
            <w:tcW w:type="dxa" w:w="1224"/>
            <w:tcMar>
              <w:top w:w="105" w:type="dxa"/>
              <w:start w:w="100" w:type="dxa"/>
              <w:bottom w:w="105" w:type="dxa"/>
              <w:end w:w="100" w:type="dxa"/>
            </w:tcMar>
            <w:vAlign w:val="center"/>
          </w:tcPr>
          <w:p>
            <w:pPr>
              <w:jc w:val="center"/>
            </w:pPr>
            <w:r>
              <w:rPr>
                <w:rFonts w:ascii="Segoe UI" w:hAnsi="Segoe UI"/>
                <w:b/>
                <w:i w:val="0"/>
                <w:color w:val="A76516"/>
                <w:sz w:val="16"/>
              </w:rPr>
              <w:t>In Progress</w:t>
            </w:r>
          </w:p>
        </w:tc>
      </w:tr>
      <w:tr>
        <w:tc>
          <w:tcPr>
            <w:tcW w:type="dxa" w:w="1944"/>
            <w:tcMar>
              <w:top w:w="105" w:type="dxa"/>
              <w:start w:w="100" w:type="dxa"/>
              <w:bottom w:w="105" w:type="dxa"/>
              <w:end w:w="100" w:type="dxa"/>
            </w:tcMar>
            <w:vAlign w:val="center"/>
            <w:shd w:fill="F8FAF8"/>
          </w:tcPr>
          <w:p>
            <w:pPr>
              <w:spacing w:after="0"/>
            </w:pPr>
            <w:r>
              <w:rPr>
                <w:rFonts w:ascii="Segoe UI" w:hAnsi="Segoe UI"/>
                <w:b/>
                <w:i w:val="0"/>
                <w:color w:val="1F2933"/>
                <w:sz w:val="17"/>
              </w:rPr>
              <w:t>Harvest &amp; Delivery Settings</w:t>
            </w:r>
          </w:p>
        </w:tc>
        <w:tc>
          <w:tcPr>
            <w:tcW w:type="dxa" w:w="2520"/>
            <w:tcMar>
              <w:top w:w="105" w:type="dxa"/>
              <w:start w:w="100" w:type="dxa"/>
              <w:bottom w:w="105" w:type="dxa"/>
              <w:end w:w="100" w:type="dxa"/>
            </w:tcMar>
            <w:vAlign w:val="center"/>
            <w:shd w:fill="F8FAF8"/>
          </w:tcPr>
          <w:p>
            <w:pPr>
              <w:spacing w:after="0"/>
            </w:pPr>
            <w:r>
              <w:rPr>
                <w:rFonts w:ascii="Segoe UI" w:hAnsi="Segoe UI"/>
                <w:b w:val="0"/>
                <w:i w:val="0"/>
                <w:color w:val="1F2933"/>
                <w:sz w:val="17"/>
              </w:rPr>
              <w:t>Farm-scoped target delivery age and batch auto-selection.</w:t>
            </w:r>
          </w:p>
        </w:tc>
        <w:tc>
          <w:tcPr>
            <w:tcW w:type="dxa" w:w="3528"/>
            <w:tcMar>
              <w:top w:w="105" w:type="dxa"/>
              <w:start w:w="100" w:type="dxa"/>
              <w:bottom w:w="105" w:type="dxa"/>
              <w:end w:w="100" w:type="dxa"/>
            </w:tcMar>
            <w:vAlign w:val="center"/>
            <w:shd w:fill="F8FAF8"/>
          </w:tcPr>
          <w:p>
            <w:pPr>
              <w:spacing w:after="0"/>
            </w:pPr>
            <w:r>
              <w:rPr>
                <w:rFonts w:ascii="Segoe UI" w:hAnsi="Segoe UI"/>
                <w:b w:val="0"/>
                <w:i w:val="0"/>
                <w:color w:val="1F2933"/>
                <w:sz w:val="17"/>
              </w:rPr>
              <w:t>Direct settings module for Harvest &amp; Delivery eligibility and allocation behavior.</w:t>
            </w:r>
          </w:p>
        </w:tc>
        <w:tc>
          <w:tcPr>
            <w:tcW w:type="dxa" w:w="1224"/>
            <w:tcMar>
              <w:top w:w="105" w:type="dxa"/>
              <w:start w:w="100" w:type="dxa"/>
              <w:bottom w:w="105" w:type="dxa"/>
              <w:end w:w="100" w:type="dxa"/>
            </w:tcMar>
            <w:vAlign w:val="center"/>
            <w:shd w:fill="F8FAF8"/>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Harvest &amp; Delivery</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Eligible-building selection, flock age/body weight, multi-batch allocation, transport fields, receipt, and dedicated posting tables.</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Reads Flock Card state and creates BR-DR inventory issues through the shared Goods Issue engine.</w:t>
            </w:r>
          </w:p>
        </w:tc>
        <w:tc>
          <w:tcPr>
            <w:tcW w:type="dxa" w:w="1224"/>
            <w:tcMar>
              <w:top w:w="105" w:type="dxa"/>
              <w:start w:w="100" w:type="dxa"/>
              <w:bottom w:w="105" w:type="dxa"/>
              <w:end w:w="100" w:type="dxa"/>
            </w:tcMar>
            <w:vAlign w:val="center"/>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shd w:fill="F8FAF8"/>
          </w:tcPr>
          <w:p>
            <w:pPr>
              <w:spacing w:after="0"/>
            </w:pPr>
            <w:r>
              <w:rPr>
                <w:rFonts w:ascii="Segoe UI" w:hAnsi="Segoe UI"/>
                <w:b/>
                <w:i w:val="0"/>
                <w:color w:val="1F2933"/>
                <w:sz w:val="17"/>
              </w:rPr>
              <w:t>Clean up Settings</w:t>
            </w:r>
          </w:p>
        </w:tc>
        <w:tc>
          <w:tcPr>
            <w:tcW w:type="dxa" w:w="2520"/>
            <w:tcMar>
              <w:top w:w="105" w:type="dxa"/>
              <w:start w:w="100" w:type="dxa"/>
              <w:bottom w:w="105" w:type="dxa"/>
              <w:end w:w="100" w:type="dxa"/>
            </w:tcMar>
            <w:vAlign w:val="center"/>
            <w:shd w:fill="F8FAF8"/>
          </w:tcPr>
          <w:p>
            <w:pPr>
              <w:spacing w:after="0"/>
            </w:pPr>
            <w:r>
              <w:rPr>
                <w:rFonts w:ascii="Segoe UI" w:hAnsi="Segoe UI"/>
                <w:b w:val="0"/>
                <w:i w:val="0"/>
                <w:color w:val="1F2933"/>
                <w:sz w:val="17"/>
              </w:rPr>
              <w:t>Target clean-up age and batch auto-selection by farm.</w:t>
            </w:r>
          </w:p>
        </w:tc>
        <w:tc>
          <w:tcPr>
            <w:tcW w:type="dxa" w:w="3528"/>
            <w:tcMar>
              <w:top w:w="105" w:type="dxa"/>
              <w:start w:w="100" w:type="dxa"/>
              <w:bottom w:w="105" w:type="dxa"/>
              <w:end w:w="100" w:type="dxa"/>
            </w:tcMar>
            <w:vAlign w:val="center"/>
            <w:shd w:fill="F8FAF8"/>
          </w:tcPr>
          <w:p>
            <w:pPr>
              <w:spacing w:after="0"/>
            </w:pPr>
            <w:r>
              <w:rPr>
                <w:rFonts w:ascii="Segoe UI" w:hAnsi="Segoe UI"/>
                <w:b w:val="0"/>
                <w:i w:val="0"/>
                <w:color w:val="1F2933"/>
                <w:sz w:val="17"/>
              </w:rPr>
              <w:t>Direct settings module for Clean up eligibility and placement-batch selection.</w:t>
            </w:r>
          </w:p>
        </w:tc>
        <w:tc>
          <w:tcPr>
            <w:tcW w:type="dxa" w:w="1224"/>
            <w:tcMar>
              <w:top w:w="105" w:type="dxa"/>
              <w:start w:w="100" w:type="dxa"/>
              <w:bottom w:w="105" w:type="dxa"/>
              <w:end w:w="100" w:type="dxa"/>
            </w:tcMar>
            <w:vAlign w:val="center"/>
            <w:shd w:fill="F8FAF8"/>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Clean up</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Dedicated BR-CU document, quantity/variance posting, receipt, report, and lifecycle close-out.</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Uses remaining flock/batch position, posts clean-out movements, then closes eligible cycle participation.</w:t>
            </w:r>
          </w:p>
        </w:tc>
        <w:tc>
          <w:tcPr>
            <w:tcW w:type="dxa" w:w="1224"/>
            <w:tcMar>
              <w:top w:w="105" w:type="dxa"/>
              <w:start w:w="100" w:type="dxa"/>
              <w:bottom w:w="105" w:type="dxa"/>
              <w:end w:w="100" w:type="dxa"/>
            </w:tcMar>
            <w:vAlign w:val="center"/>
          </w:tcPr>
          <w:p>
            <w:pPr>
              <w:jc w:val="center"/>
            </w:pPr>
            <w:r>
              <w:rPr>
                <w:rFonts w:ascii="Segoe UI" w:hAnsi="Segoe UI"/>
                <w:b/>
                <w:i w:val="0"/>
                <w:color w:val="144D32"/>
                <w:sz w:val="16"/>
              </w:rPr>
              <w:t>Integrated</w:t>
            </w:r>
          </w:p>
        </w:tc>
      </w:tr>
    </w:tbl>
    <w:p>
      <w:pPr>
        <w:spacing w:after="0"/>
      </w:pPr>
    </w:p>
    <w:tbl>
      <w:tblPr>
        <w:tblW w:type="auto" w:w="0"/>
        <w:tblLayout w:type="fixed"/>
        <w:tblLook w:firstColumn="1" w:firstRow="1" w:lastColumn="0" w:lastRow="0" w:noHBand="0" w:noVBand="1" w:val="04A0"/>
      </w:tblPr>
      <w:tblGrid>
        <w:gridCol w:w="5083"/>
        <w:gridCol w:w="5083"/>
      </w:tblGrid>
      <w:tr>
        <w:tc>
          <w:tcPr>
            <w:tcW w:type="dxa" w:w="144"/>
            <w:shd w:fill="9B7B1B"/>
            <w:tcMar>
              <w:top w:w="80" w:type="dxa"/>
              <w:start w:w="20" w:type="dxa"/>
              <w:bottom w:w="80" w:type="dxa"/>
              <w:end w:w="20" w:type="dxa"/>
            </w:tcMar>
          </w:tcPr>
          <w:p/>
        </w:tc>
        <w:tc>
          <w:tcPr>
            <w:tcW w:type="dxa" w:w="9000"/>
            <w:shd w:fill="F7F3E5"/>
            <w:tcMar>
              <w:top w:w="150" w:type="dxa"/>
              <w:start w:w="180" w:type="dxa"/>
              <w:bottom w:w="150" w:type="dxa"/>
              <w:end w:w="180" w:type="dxa"/>
            </w:tcMar>
          </w:tcPr>
          <w:p>
            <w:pPr>
              <w:spacing w:after="60"/>
            </w:pPr>
            <w:r>
              <w:rPr>
                <w:rFonts w:ascii="Bahnschrift" w:hAnsi="Bahnschrift"/>
                <w:b/>
                <w:i w:val="0"/>
                <w:color w:val="9B7B1B"/>
                <w:sz w:val="22"/>
              </w:rPr>
              <w:t>Terminology note</w:t>
            </w:r>
          </w:p>
          <w:p>
            <w:pPr>
              <w:spacing w:after="0" w:line="269" w:lineRule="auto"/>
            </w:pPr>
            <w:r>
              <w:rPr>
                <w:rFonts w:ascii="Segoe UI" w:hAnsi="Segoe UI"/>
                <w:b w:val="0"/>
                <w:i w:val="0"/>
                <w:color w:val="1F2933"/>
                <w:sz w:val="20"/>
              </w:rPr>
              <w:t>The current business navigation label is DOC Placement. Its implementation route remains /inv/doc-receiving, and its settings route remains /a_dean/doc-receiving-settings. This is separate from Hatchery Receiving at /a_dean/receiving.</w:t>
            </w:r>
          </w:p>
        </w:tc>
      </w:tr>
    </w:tbl>
    <w:p>
      <w:pPr>
        <w:spacing w:after="0"/>
      </w:pPr>
    </w:p>
    <w:p>
      <w:pPr>
        <w:spacing w:after="40"/>
      </w:pPr>
      <w:r>
        <w:rPr>
          <w:rFonts w:ascii="Bahnschrift" w:hAnsi="Bahnschrift"/>
          <w:b/>
          <w:i w:val="0"/>
          <w:color w:val="9B7B1B"/>
          <w:sz w:val="17"/>
        </w:rPr>
        <w:t>EGG TO DOC DISPATCH</w:t>
      </w:r>
    </w:p>
    <w:p>
      <w:pPr>
        <w:pStyle w:val="Heading1"/>
        <w:keepNext/>
        <w:spacing w:before="240" w:after="120"/>
      </w:pPr>
      <w:r>
        <w:rPr>
          <w:rFonts w:ascii="Bahnschrift" w:hAnsi="Bahnschrift"/>
          <w:b/>
          <w:color w:val="144D32"/>
          <w:sz w:val="40"/>
        </w:rPr>
        <w:t>Hatchery process chain</w:t>
      </w:r>
    </w:p>
    <w:tbl>
      <w:tblPr>
        <w:tblW w:type="auto" w:w="0"/>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353"/>
            <w:shd w:fill="F2F6F3"/>
            <w:tcMar>
              <w:top w:w="125" w:type="dxa"/>
              <w:start w:w="75" w:type="dxa"/>
              <w:bottom w:w="125" w:type="dxa"/>
              <w:end w:w="75" w:type="dxa"/>
            </w:tcMar>
            <w:vAlign w:val="center"/>
          </w:tcPr>
          <w:p>
            <w:pPr>
              <w:jc w:val="center"/>
            </w:pPr>
            <w:r>
              <w:rPr>
                <w:rFonts w:ascii="Bahnschrift" w:hAnsi="Bahnschrift"/>
                <w:b/>
                <w:i w:val="0"/>
                <w:color w:val="144D32"/>
                <w:sz w:val="16"/>
              </w:rPr>
              <w:t>Receiving</w:t>
            </w:r>
          </w:p>
        </w:tc>
        <w:tc>
          <w:tcPr>
            <w:tcW w:type="dxa" w:w="216"/>
          </w:tcPr>
          <w:p>
            <w:pPr>
              <w:jc w:val="center"/>
            </w:pPr>
            <w:r>
              <w:rPr>
                <w:rFonts w:ascii="Segoe UI" w:hAnsi="Segoe UI"/>
                <w:b/>
                <w:i w:val="0"/>
                <w:color w:val="9B7B1B"/>
                <w:sz w:val="24"/>
              </w:rPr>
              <w:t>→</w:t>
            </w:r>
          </w:p>
        </w:tc>
        <w:tc>
          <w:tcPr>
            <w:tcW w:type="dxa" w:w="1353"/>
            <w:shd w:fill="F7F3E5"/>
            <w:tcMar>
              <w:top w:w="125" w:type="dxa"/>
              <w:start w:w="75" w:type="dxa"/>
              <w:bottom w:w="125" w:type="dxa"/>
              <w:end w:w="75" w:type="dxa"/>
            </w:tcMar>
            <w:vAlign w:val="center"/>
          </w:tcPr>
          <w:p>
            <w:pPr>
              <w:jc w:val="center"/>
            </w:pPr>
            <w:r>
              <w:rPr>
                <w:rFonts w:ascii="Bahnschrift" w:hAnsi="Bahnschrift"/>
                <w:b/>
                <w:i w:val="0"/>
                <w:color w:val="144D32"/>
                <w:sz w:val="16"/>
              </w:rPr>
              <w:t>Classification / Storage</w:t>
            </w:r>
          </w:p>
        </w:tc>
        <w:tc>
          <w:tcPr>
            <w:tcW w:type="dxa" w:w="216"/>
          </w:tcPr>
          <w:p>
            <w:pPr>
              <w:jc w:val="center"/>
            </w:pPr>
            <w:r>
              <w:rPr>
                <w:rFonts w:ascii="Segoe UI" w:hAnsi="Segoe UI"/>
                <w:b/>
                <w:i w:val="0"/>
                <w:color w:val="9B7B1B"/>
                <w:sz w:val="24"/>
              </w:rPr>
              <w:t>→</w:t>
            </w:r>
          </w:p>
        </w:tc>
        <w:tc>
          <w:tcPr>
            <w:tcW w:type="dxa" w:w="1353"/>
            <w:shd w:fill="F2F6F3"/>
            <w:tcMar>
              <w:top w:w="125" w:type="dxa"/>
              <w:start w:w="75" w:type="dxa"/>
              <w:bottom w:w="125" w:type="dxa"/>
              <w:end w:w="75" w:type="dxa"/>
            </w:tcMar>
            <w:vAlign w:val="center"/>
          </w:tcPr>
          <w:p>
            <w:pPr>
              <w:jc w:val="center"/>
            </w:pPr>
            <w:r>
              <w:rPr>
                <w:rFonts w:ascii="Bahnschrift" w:hAnsi="Bahnschrift"/>
                <w:b/>
                <w:i w:val="0"/>
                <w:color w:val="144D32"/>
                <w:sz w:val="16"/>
              </w:rPr>
              <w:t>Pre-Warm / Setter</w:t>
            </w:r>
          </w:p>
        </w:tc>
        <w:tc>
          <w:tcPr>
            <w:tcW w:type="dxa" w:w="216"/>
          </w:tcPr>
          <w:p>
            <w:pPr>
              <w:jc w:val="center"/>
            </w:pPr>
            <w:r>
              <w:rPr>
                <w:rFonts w:ascii="Segoe UI" w:hAnsi="Segoe UI"/>
                <w:b/>
                <w:i w:val="0"/>
                <w:color w:val="9B7B1B"/>
                <w:sz w:val="24"/>
              </w:rPr>
              <w:t>→</w:t>
            </w:r>
          </w:p>
        </w:tc>
        <w:tc>
          <w:tcPr>
            <w:tcW w:type="dxa" w:w="1353"/>
            <w:shd w:fill="F7F3E5"/>
            <w:tcMar>
              <w:top w:w="125" w:type="dxa"/>
              <w:start w:w="75" w:type="dxa"/>
              <w:bottom w:w="125" w:type="dxa"/>
              <w:end w:w="75" w:type="dxa"/>
            </w:tcMar>
            <w:vAlign w:val="center"/>
          </w:tcPr>
          <w:p>
            <w:pPr>
              <w:jc w:val="center"/>
            </w:pPr>
            <w:r>
              <w:rPr>
                <w:rFonts w:ascii="Bahnschrift" w:hAnsi="Bahnschrift"/>
                <w:b/>
                <w:i w:val="0"/>
                <w:color w:val="144D32"/>
                <w:sz w:val="16"/>
              </w:rPr>
              <w:t>Transfer / Hatcher</w:t>
            </w:r>
          </w:p>
        </w:tc>
        <w:tc>
          <w:tcPr>
            <w:tcW w:type="dxa" w:w="216"/>
          </w:tcPr>
          <w:p>
            <w:pPr>
              <w:jc w:val="center"/>
            </w:pPr>
            <w:r>
              <w:rPr>
                <w:rFonts w:ascii="Segoe UI" w:hAnsi="Segoe UI"/>
                <w:b/>
                <w:i w:val="0"/>
                <w:color w:val="9B7B1B"/>
                <w:sz w:val="24"/>
              </w:rPr>
              <w:t>→</w:t>
            </w:r>
          </w:p>
        </w:tc>
        <w:tc>
          <w:tcPr>
            <w:tcW w:type="dxa" w:w="1353"/>
            <w:shd w:fill="F2F6F3"/>
            <w:tcMar>
              <w:top w:w="125" w:type="dxa"/>
              <w:start w:w="75" w:type="dxa"/>
              <w:bottom w:w="125" w:type="dxa"/>
              <w:end w:w="75" w:type="dxa"/>
            </w:tcMar>
            <w:vAlign w:val="center"/>
          </w:tcPr>
          <w:p>
            <w:pPr>
              <w:jc w:val="center"/>
            </w:pPr>
            <w:r>
              <w:rPr>
                <w:rFonts w:ascii="Bahnschrift" w:hAnsi="Bahnschrift"/>
                <w:b/>
                <w:i w:val="0"/>
                <w:color w:val="144D32"/>
                <w:sz w:val="16"/>
              </w:rPr>
              <w:t>Pullout / DOC Dispatch</w:t>
            </w:r>
          </w:p>
        </w:tc>
      </w:tr>
    </w:tbl>
    <w:p>
      <w:pPr>
        <w:spacing w:before="60" w:after="120"/>
        <w:jc w:val="center"/>
      </w:pPr>
      <w:r>
        <w:rPr>
          <w:rFonts w:ascii="Segoe UI" w:hAnsi="Segoe UI"/>
          <w:b w:val="0"/>
          <w:i/>
          <w:color w:val="5B6670"/>
          <w:sz w:val="16"/>
        </w:rPr>
        <w:t>Trace and inventory controls sit across the chain; the Process Wizard is currently local work in progress.</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1944"/>
            <w:shd w:fill="144D32"/>
            <w:tcMar>
              <w:top w:w="110" w:type="dxa"/>
              <w:start w:w="100" w:type="dxa"/>
              <w:bottom w:w="110" w:type="dxa"/>
              <w:end w:w="100" w:type="dxa"/>
            </w:tcMar>
            <w:vAlign w:val="center"/>
          </w:tcPr>
          <w:p>
            <w:pPr>
              <w:jc w:val="left"/>
            </w:pPr>
            <w:r>
              <w:rPr>
                <w:rFonts w:ascii="Bahnschrift" w:hAnsi="Bahnschrift"/>
                <w:b/>
                <w:i w:val="0"/>
                <w:color w:val="FFFFFF"/>
                <w:sz w:val="17"/>
              </w:rPr>
              <w:t>Module</w:t>
            </w:r>
          </w:p>
        </w:tc>
        <w:tc>
          <w:tcPr>
            <w:tcW w:type="dxa" w:w="2520"/>
            <w:shd w:fill="144D32"/>
            <w:tcMar>
              <w:top w:w="110" w:type="dxa"/>
              <w:start w:w="100" w:type="dxa"/>
              <w:bottom w:w="110" w:type="dxa"/>
              <w:end w:w="100" w:type="dxa"/>
            </w:tcMar>
            <w:vAlign w:val="center"/>
          </w:tcPr>
          <w:p>
            <w:pPr>
              <w:jc w:val="left"/>
            </w:pPr>
            <w:r>
              <w:rPr>
                <w:rFonts w:ascii="Bahnschrift" w:hAnsi="Bahnschrift"/>
                <w:b/>
                <w:i w:val="0"/>
                <w:color w:val="FFFFFF"/>
                <w:sz w:val="17"/>
              </w:rPr>
              <w:t>What changed</w:t>
            </w:r>
          </w:p>
        </w:tc>
        <w:tc>
          <w:tcPr>
            <w:tcW w:type="dxa" w:w="3528"/>
            <w:shd w:fill="144D32"/>
            <w:tcMar>
              <w:top w:w="110" w:type="dxa"/>
              <w:start w:w="100" w:type="dxa"/>
              <w:bottom w:w="110" w:type="dxa"/>
              <w:end w:w="100" w:type="dxa"/>
            </w:tcMar>
            <w:vAlign w:val="center"/>
          </w:tcPr>
          <w:p>
            <w:pPr>
              <w:jc w:val="left"/>
            </w:pPr>
            <w:r>
              <w:rPr>
                <w:rFonts w:ascii="Bahnschrift" w:hAnsi="Bahnschrift"/>
                <w:b/>
                <w:i w:val="0"/>
                <w:color w:val="FFFFFF"/>
                <w:sz w:val="17"/>
              </w:rPr>
              <w:t>Connected to / business role</w:t>
            </w:r>
          </w:p>
        </w:tc>
        <w:tc>
          <w:tcPr>
            <w:tcW w:type="dxa" w:w="1224"/>
            <w:shd w:fill="144D32"/>
            <w:tcMar>
              <w:top w:w="110" w:type="dxa"/>
              <w:start w:w="100" w:type="dxa"/>
              <w:bottom w:w="110" w:type="dxa"/>
              <w:end w:w="100" w:type="dxa"/>
            </w:tcMar>
            <w:vAlign w:val="center"/>
          </w:tcPr>
          <w:p>
            <w:pPr>
              <w:jc w:val="center"/>
            </w:pPr>
            <w:r>
              <w:rPr>
                <w:rFonts w:ascii="Bahnschrift" w:hAnsi="Bahnschrift"/>
                <w:b/>
                <w:i w:val="0"/>
                <w:color w:val="FFFFFF"/>
                <w:sz w:val="17"/>
              </w:rPr>
              <w:t>Status</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Receiving</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Manual receiving workflow, farm selection, approval readiness, and trace integration.</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Entry point for hatchery inventory/process lineage; current Shipped To filtering is local WIP.</w:t>
            </w:r>
          </w:p>
        </w:tc>
        <w:tc>
          <w:tcPr>
            <w:tcW w:type="dxa" w:w="1224"/>
            <w:tcMar>
              <w:top w:w="105" w:type="dxa"/>
              <w:start w:w="100" w:type="dxa"/>
              <w:bottom w:w="105" w:type="dxa"/>
              <w:end w:w="100" w:type="dxa"/>
            </w:tcMar>
            <w:vAlign w:val="center"/>
          </w:tcPr>
          <w:p>
            <w:pPr>
              <w:jc w:val="center"/>
            </w:pPr>
            <w:r>
              <w:rPr>
                <w:rFonts w:ascii="Segoe UI" w:hAnsi="Segoe UI"/>
                <w:b/>
                <w:i w:val="0"/>
                <w:color w:val="A76516"/>
                <w:sz w:val="16"/>
              </w:rPr>
              <w:t>In Progress</w:t>
            </w:r>
          </w:p>
        </w:tc>
      </w:tr>
      <w:tr>
        <w:tc>
          <w:tcPr>
            <w:tcW w:type="dxa" w:w="1944"/>
            <w:tcMar>
              <w:top w:w="105" w:type="dxa"/>
              <w:start w:w="100" w:type="dxa"/>
              <w:bottom w:w="105" w:type="dxa"/>
              <w:end w:w="100" w:type="dxa"/>
            </w:tcMar>
            <w:vAlign w:val="center"/>
            <w:shd w:fill="F8FAF8"/>
          </w:tcPr>
          <w:p>
            <w:pPr>
              <w:spacing w:after="0"/>
            </w:pPr>
            <w:r>
              <w:rPr>
                <w:rFonts w:ascii="Segoe UI" w:hAnsi="Segoe UI"/>
                <w:b/>
                <w:i w:val="0"/>
                <w:color w:val="1F2933"/>
                <w:sz w:val="17"/>
              </w:rPr>
              <w:t>Egg Classification</w:t>
            </w:r>
          </w:p>
        </w:tc>
        <w:tc>
          <w:tcPr>
            <w:tcW w:type="dxa" w:w="2520"/>
            <w:tcMar>
              <w:top w:w="105" w:type="dxa"/>
              <w:start w:w="100" w:type="dxa"/>
              <w:bottom w:w="105" w:type="dxa"/>
              <w:end w:w="100" w:type="dxa"/>
            </w:tcMar>
            <w:vAlign w:val="center"/>
            <w:shd w:fill="F8FAF8"/>
          </w:tcPr>
          <w:p>
            <w:pPr>
              <w:spacing w:after="0"/>
            </w:pPr>
            <w:r>
              <w:rPr>
                <w:rFonts w:ascii="Segoe UI" w:hAnsi="Segoe UI"/>
                <w:b w:val="0"/>
                <w:i w:val="0"/>
                <w:color w:val="1F2933"/>
                <w:sz w:val="17"/>
              </w:rPr>
              <w:t>Classification features, list/view/API improvements, and standardized table behavior.</w:t>
            </w:r>
          </w:p>
        </w:tc>
        <w:tc>
          <w:tcPr>
            <w:tcW w:type="dxa" w:w="3528"/>
            <w:tcMar>
              <w:top w:w="105" w:type="dxa"/>
              <w:start w:w="100" w:type="dxa"/>
              <w:bottom w:w="105" w:type="dxa"/>
              <w:end w:w="100" w:type="dxa"/>
            </w:tcMar>
            <w:vAlign w:val="center"/>
            <w:shd w:fill="F8FAF8"/>
          </w:tcPr>
          <w:p>
            <w:pPr>
              <w:spacing w:after="0"/>
            </w:pPr>
            <w:r>
              <w:rPr>
                <w:rFonts w:ascii="Segoe UI" w:hAnsi="Segoe UI"/>
                <w:b w:val="0"/>
                <w:i w:val="0"/>
                <w:color w:val="1F2933"/>
                <w:sz w:val="17"/>
              </w:rPr>
              <w:t>Consumes Receiving context and organizes eggs before storage/process steps.</w:t>
            </w:r>
          </w:p>
        </w:tc>
        <w:tc>
          <w:tcPr>
            <w:tcW w:type="dxa" w:w="1224"/>
            <w:tcMar>
              <w:top w:w="105" w:type="dxa"/>
              <w:start w:w="100" w:type="dxa"/>
              <w:bottom w:w="105" w:type="dxa"/>
              <w:end w:w="100" w:type="dxa"/>
            </w:tcMar>
            <w:vAlign w:val="center"/>
            <w:shd w:fill="F8FAF8"/>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Egg Storage</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New/view/list workflows and inventory-oriented refinements.</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Receives classified eggs and supplies pre-warming.</w:t>
            </w:r>
          </w:p>
        </w:tc>
        <w:tc>
          <w:tcPr>
            <w:tcW w:type="dxa" w:w="1224"/>
            <w:tcMar>
              <w:top w:w="105" w:type="dxa"/>
              <w:start w:w="100" w:type="dxa"/>
              <w:bottom w:w="105" w:type="dxa"/>
              <w:end w:w="100" w:type="dxa"/>
            </w:tcMar>
            <w:vAlign w:val="center"/>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shd w:fill="F8FAF8"/>
          </w:tcPr>
          <w:p>
            <w:pPr>
              <w:spacing w:after="0"/>
            </w:pPr>
            <w:r>
              <w:rPr>
                <w:rFonts w:ascii="Segoe UI" w:hAnsi="Segoe UI"/>
                <w:b/>
                <w:i w:val="0"/>
                <w:color w:val="1F2933"/>
                <w:sz w:val="17"/>
              </w:rPr>
              <w:t>Pre-Warming</w:t>
            </w:r>
          </w:p>
        </w:tc>
        <w:tc>
          <w:tcPr>
            <w:tcW w:type="dxa" w:w="2520"/>
            <w:tcMar>
              <w:top w:w="105" w:type="dxa"/>
              <w:start w:w="100" w:type="dxa"/>
              <w:bottom w:w="105" w:type="dxa"/>
              <w:end w:w="100" w:type="dxa"/>
            </w:tcMar>
            <w:vAlign w:val="center"/>
            <w:shd w:fill="F8FAF8"/>
          </w:tcPr>
          <w:p>
            <w:pPr>
              <w:spacing w:after="0"/>
            </w:pPr>
            <w:r>
              <w:rPr>
                <w:rFonts w:ascii="Segoe UI" w:hAnsi="Segoe UI"/>
                <w:b w:val="0"/>
                <w:i w:val="0"/>
                <w:color w:val="1F2933"/>
                <w:sz w:val="17"/>
              </w:rPr>
              <w:t>Process forms, views, and route support.</w:t>
            </w:r>
          </w:p>
        </w:tc>
        <w:tc>
          <w:tcPr>
            <w:tcW w:type="dxa" w:w="3528"/>
            <w:tcMar>
              <w:top w:w="105" w:type="dxa"/>
              <w:start w:w="100" w:type="dxa"/>
              <w:bottom w:w="105" w:type="dxa"/>
              <w:end w:w="100" w:type="dxa"/>
            </w:tcMar>
            <w:vAlign w:val="center"/>
            <w:shd w:fill="F8FAF8"/>
          </w:tcPr>
          <w:p>
            <w:pPr>
              <w:spacing w:after="0"/>
            </w:pPr>
            <w:r>
              <w:rPr>
                <w:rFonts w:ascii="Segoe UI" w:hAnsi="Segoe UI"/>
                <w:b w:val="0"/>
                <w:i w:val="0"/>
                <w:color w:val="1F2933"/>
                <w:sz w:val="17"/>
              </w:rPr>
              <w:t>Bridges stored eggs to Setter processing.</w:t>
            </w:r>
          </w:p>
        </w:tc>
        <w:tc>
          <w:tcPr>
            <w:tcW w:type="dxa" w:w="1224"/>
            <w:tcMar>
              <w:top w:w="105" w:type="dxa"/>
              <w:start w:w="100" w:type="dxa"/>
              <w:bottom w:w="105" w:type="dxa"/>
              <w:end w:w="100" w:type="dxa"/>
            </w:tcMar>
            <w:vAlign w:val="center"/>
            <w:shd w:fill="F8FAF8"/>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Egg Setter</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Setter process forms, APIs, edit/void support, and allocation refinements.</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Feeds Egg Transfer and Hatcher stages.</w:t>
            </w:r>
          </w:p>
        </w:tc>
        <w:tc>
          <w:tcPr>
            <w:tcW w:type="dxa" w:w="1224"/>
            <w:tcMar>
              <w:top w:w="105" w:type="dxa"/>
              <w:start w:w="100" w:type="dxa"/>
              <w:bottom w:w="105" w:type="dxa"/>
              <w:end w:w="100" w:type="dxa"/>
            </w:tcMar>
            <w:vAlign w:val="center"/>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shd w:fill="F8FAF8"/>
          </w:tcPr>
          <w:p>
            <w:pPr>
              <w:spacing w:after="0"/>
            </w:pPr>
            <w:r>
              <w:rPr>
                <w:rFonts w:ascii="Segoe UI" w:hAnsi="Segoe UI"/>
                <w:b/>
                <w:i w:val="0"/>
                <w:color w:val="1F2933"/>
                <w:sz w:val="17"/>
              </w:rPr>
              <w:t>Egg Transfer</w:t>
            </w:r>
          </w:p>
        </w:tc>
        <w:tc>
          <w:tcPr>
            <w:tcW w:type="dxa" w:w="2520"/>
            <w:tcMar>
              <w:top w:w="105" w:type="dxa"/>
              <w:start w:w="100" w:type="dxa"/>
              <w:bottom w:w="105" w:type="dxa"/>
              <w:end w:w="100" w:type="dxa"/>
            </w:tcMar>
            <w:vAlign w:val="center"/>
            <w:shd w:fill="F8FAF8"/>
          </w:tcPr>
          <w:p>
            <w:pPr>
              <w:spacing w:after="0"/>
            </w:pPr>
            <w:r>
              <w:rPr>
                <w:rFonts w:ascii="Segoe UI" w:hAnsi="Segoe UI"/>
                <w:b w:val="0"/>
                <w:i w:val="0"/>
                <w:color w:val="1F2933"/>
                <w:sz w:val="17"/>
              </w:rPr>
              <w:t>Transfer process forms/APIs and edit/void support.</w:t>
            </w:r>
          </w:p>
        </w:tc>
        <w:tc>
          <w:tcPr>
            <w:tcW w:type="dxa" w:w="3528"/>
            <w:tcMar>
              <w:top w:w="105" w:type="dxa"/>
              <w:start w:w="100" w:type="dxa"/>
              <w:bottom w:w="105" w:type="dxa"/>
              <w:end w:w="100" w:type="dxa"/>
            </w:tcMar>
            <w:vAlign w:val="center"/>
            <w:shd w:fill="F8FAF8"/>
          </w:tcPr>
          <w:p>
            <w:pPr>
              <w:spacing w:after="0"/>
            </w:pPr>
            <w:r>
              <w:rPr>
                <w:rFonts w:ascii="Segoe UI" w:hAnsi="Segoe UI"/>
                <w:b w:val="0"/>
                <w:i w:val="0"/>
                <w:color w:val="1F2933"/>
                <w:sz w:val="17"/>
              </w:rPr>
              <w:t>Moves set eggs into Hatcher processing.</w:t>
            </w:r>
          </w:p>
        </w:tc>
        <w:tc>
          <w:tcPr>
            <w:tcW w:type="dxa" w:w="1224"/>
            <w:tcMar>
              <w:top w:w="105" w:type="dxa"/>
              <w:start w:w="100" w:type="dxa"/>
              <w:bottom w:w="105" w:type="dxa"/>
              <w:end w:w="100" w:type="dxa"/>
            </w:tcMar>
            <w:vAlign w:val="center"/>
            <w:shd w:fill="F8FAF8"/>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Egg Hatcher</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Hatcher forms/views and process updates.</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Feeds chick pullout.</w:t>
            </w:r>
          </w:p>
        </w:tc>
        <w:tc>
          <w:tcPr>
            <w:tcW w:type="dxa" w:w="1224"/>
            <w:tcMar>
              <w:top w:w="105" w:type="dxa"/>
              <w:start w:w="100" w:type="dxa"/>
              <w:bottom w:w="105" w:type="dxa"/>
              <w:end w:w="100" w:type="dxa"/>
            </w:tcMar>
            <w:vAlign w:val="center"/>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shd w:fill="F8FAF8"/>
          </w:tcPr>
          <w:p>
            <w:pPr>
              <w:spacing w:after="0"/>
            </w:pPr>
            <w:r>
              <w:rPr>
                <w:rFonts w:ascii="Segoe UI" w:hAnsi="Segoe UI"/>
                <w:b/>
                <w:i w:val="0"/>
                <w:color w:val="1F2933"/>
                <w:sz w:val="17"/>
              </w:rPr>
              <w:t>Chick Pullout</w:t>
            </w:r>
          </w:p>
        </w:tc>
        <w:tc>
          <w:tcPr>
            <w:tcW w:type="dxa" w:w="2520"/>
            <w:tcMar>
              <w:top w:w="105" w:type="dxa"/>
              <w:start w:w="100" w:type="dxa"/>
              <w:bottom w:w="105" w:type="dxa"/>
              <w:end w:w="100" w:type="dxa"/>
            </w:tcMar>
            <w:vAlign w:val="center"/>
            <w:shd w:fill="F8FAF8"/>
          </w:tcPr>
          <w:p>
            <w:pPr>
              <w:spacing w:after="0"/>
            </w:pPr>
            <w:r>
              <w:rPr>
                <w:rFonts w:ascii="Segoe UI" w:hAnsi="Segoe UI"/>
                <w:b w:val="0"/>
                <w:i w:val="0"/>
                <w:color w:val="1F2933"/>
                <w:sz w:val="17"/>
              </w:rPr>
              <w:t>Pullout forms/views and workflow improvements.</w:t>
            </w:r>
          </w:p>
        </w:tc>
        <w:tc>
          <w:tcPr>
            <w:tcW w:type="dxa" w:w="3528"/>
            <w:tcMar>
              <w:top w:w="105" w:type="dxa"/>
              <w:start w:w="100" w:type="dxa"/>
              <w:bottom w:w="105" w:type="dxa"/>
              <w:end w:w="100" w:type="dxa"/>
            </w:tcMar>
            <w:vAlign w:val="center"/>
            <w:shd w:fill="F8FAF8"/>
          </w:tcPr>
          <w:p>
            <w:pPr>
              <w:spacing w:after="0"/>
            </w:pPr>
            <w:r>
              <w:rPr>
                <w:rFonts w:ascii="Segoe UI" w:hAnsi="Segoe UI"/>
                <w:b w:val="0"/>
                <w:i w:val="0"/>
                <w:color w:val="1F2933"/>
                <w:sz w:val="17"/>
              </w:rPr>
              <w:t>Feeds DOC Classification.</w:t>
            </w:r>
          </w:p>
        </w:tc>
        <w:tc>
          <w:tcPr>
            <w:tcW w:type="dxa" w:w="1224"/>
            <w:tcMar>
              <w:top w:w="105" w:type="dxa"/>
              <w:start w:w="100" w:type="dxa"/>
              <w:bottom w:w="105" w:type="dxa"/>
              <w:end w:w="100" w:type="dxa"/>
            </w:tcMar>
            <w:vAlign w:val="center"/>
            <w:shd w:fill="F8FAF8"/>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DOC Classification</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Classification totals, views/APIs, schema fixes, and notification readiness work.</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Creates graded DOC outcomes used before dispatch/disposal.</w:t>
            </w:r>
          </w:p>
        </w:tc>
        <w:tc>
          <w:tcPr>
            <w:tcW w:type="dxa" w:w="1224"/>
            <w:tcMar>
              <w:top w:w="105" w:type="dxa"/>
              <w:start w:w="100" w:type="dxa"/>
              <w:bottom w:w="105" w:type="dxa"/>
              <w:end w:w="100" w:type="dxa"/>
            </w:tcMar>
            <w:vAlign w:val="center"/>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shd w:fill="F8FAF8"/>
          </w:tcPr>
          <w:p>
            <w:pPr>
              <w:spacing w:after="0"/>
            </w:pPr>
            <w:r>
              <w:rPr>
                <w:rFonts w:ascii="Segoe UI" w:hAnsi="Segoe UI"/>
                <w:b/>
                <w:i w:val="0"/>
                <w:color w:val="1F2933"/>
                <w:sz w:val="17"/>
              </w:rPr>
              <w:t>DOC Dispatch</w:t>
            </w:r>
          </w:p>
        </w:tc>
        <w:tc>
          <w:tcPr>
            <w:tcW w:type="dxa" w:w="2520"/>
            <w:tcMar>
              <w:top w:w="105" w:type="dxa"/>
              <w:start w:w="100" w:type="dxa"/>
              <w:bottom w:w="105" w:type="dxa"/>
              <w:end w:w="100" w:type="dxa"/>
            </w:tcMar>
            <w:vAlign w:val="center"/>
            <w:shd w:fill="F8FAF8"/>
          </w:tcPr>
          <w:p>
            <w:pPr>
              <w:spacing w:after="0"/>
            </w:pPr>
            <w:r>
              <w:rPr>
                <w:rFonts w:ascii="Segoe UI" w:hAnsi="Segoe UI"/>
                <w:b w:val="0"/>
                <w:i w:val="0"/>
                <w:color w:val="1F2933"/>
                <w:sz w:val="17"/>
              </w:rPr>
              <w:t>List, create, view, post, print, schema/RPC fixes, and notification event integration.</w:t>
            </w:r>
          </w:p>
        </w:tc>
        <w:tc>
          <w:tcPr>
            <w:tcW w:type="dxa" w:w="3528"/>
            <w:tcMar>
              <w:top w:w="105" w:type="dxa"/>
              <w:start w:w="100" w:type="dxa"/>
              <w:bottom w:w="105" w:type="dxa"/>
              <w:end w:w="100" w:type="dxa"/>
            </w:tcMar>
            <w:vAlign w:val="center"/>
            <w:shd w:fill="F8FAF8"/>
          </w:tcPr>
          <w:p>
            <w:pPr>
              <w:spacing w:after="0"/>
            </w:pPr>
            <w:r>
              <w:rPr>
                <w:rFonts w:ascii="Segoe UI" w:hAnsi="Segoe UI"/>
                <w:b w:val="0"/>
                <w:i w:val="0"/>
                <w:color w:val="1F2933"/>
                <w:sz w:val="17"/>
              </w:rPr>
              <w:t>Final Hatchery dispatch; operationally supplies downstream receiving/placement references.</w:t>
            </w:r>
          </w:p>
        </w:tc>
        <w:tc>
          <w:tcPr>
            <w:tcW w:type="dxa" w:w="1224"/>
            <w:tcMar>
              <w:top w:w="105" w:type="dxa"/>
              <w:start w:w="100" w:type="dxa"/>
              <w:bottom w:w="105" w:type="dxa"/>
              <w:end w:w="100" w:type="dxa"/>
            </w:tcMar>
            <w:vAlign w:val="center"/>
            <w:shd w:fill="F8FAF8"/>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Disposal</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Disposal entry and trace reversal support.</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Captures non-usable process outcomes and inventory consequences.</w:t>
            </w:r>
          </w:p>
        </w:tc>
        <w:tc>
          <w:tcPr>
            <w:tcW w:type="dxa" w:w="1224"/>
            <w:tcMar>
              <w:top w:w="105" w:type="dxa"/>
              <w:start w:w="100" w:type="dxa"/>
              <w:bottom w:w="105" w:type="dxa"/>
              <w:end w:w="100" w:type="dxa"/>
            </w:tcMar>
            <w:vAlign w:val="center"/>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shd w:fill="F8FAF8"/>
          </w:tcPr>
          <w:p>
            <w:pPr>
              <w:spacing w:after="0"/>
            </w:pPr>
            <w:r>
              <w:rPr>
                <w:rFonts w:ascii="Segoe UI" w:hAnsi="Segoe UI"/>
                <w:b/>
                <w:i w:val="0"/>
                <w:color w:val="1F2933"/>
                <w:sz w:val="17"/>
              </w:rPr>
              <w:t>Hatchery Process Wizard</w:t>
            </w:r>
          </w:p>
        </w:tc>
        <w:tc>
          <w:tcPr>
            <w:tcW w:type="dxa" w:w="2520"/>
            <w:tcMar>
              <w:top w:w="105" w:type="dxa"/>
              <w:start w:w="100" w:type="dxa"/>
              <w:bottom w:w="105" w:type="dxa"/>
              <w:end w:w="100" w:type="dxa"/>
            </w:tcMar>
            <w:vAlign w:val="center"/>
            <w:shd w:fill="F8FAF8"/>
          </w:tcPr>
          <w:p>
            <w:pPr>
              <w:spacing w:after="0"/>
            </w:pPr>
            <w:r>
              <w:rPr>
                <w:rFonts w:ascii="Segoe UI" w:hAnsi="Segoe UI"/>
                <w:b w:val="0"/>
                <w:i w:val="0"/>
                <w:color w:val="1F2933"/>
                <w:sz w:val="17"/>
              </w:rPr>
              <w:t>Guided cross-module workflow is present in local uncommitted routes and shared repositories.</w:t>
            </w:r>
          </w:p>
        </w:tc>
        <w:tc>
          <w:tcPr>
            <w:tcW w:type="dxa" w:w="3528"/>
            <w:tcMar>
              <w:top w:w="105" w:type="dxa"/>
              <w:start w:w="100" w:type="dxa"/>
              <w:bottom w:w="105" w:type="dxa"/>
              <w:end w:w="100" w:type="dxa"/>
            </w:tcMar>
            <w:vAlign w:val="center"/>
            <w:shd w:fill="F8FAF8"/>
          </w:tcPr>
          <w:p>
            <w:pPr>
              <w:spacing w:after="0"/>
            </w:pPr>
            <w:r>
              <w:rPr>
                <w:rFonts w:ascii="Segoe UI" w:hAnsi="Segoe UI"/>
                <w:b w:val="0"/>
                <w:i w:val="0"/>
                <w:color w:val="1F2933"/>
                <w:sz w:val="17"/>
              </w:rPr>
              <w:t>Intended to reduce repeated selection and carry process context across Hatchery stages.</w:t>
            </w:r>
          </w:p>
        </w:tc>
        <w:tc>
          <w:tcPr>
            <w:tcW w:type="dxa" w:w="1224"/>
            <w:tcMar>
              <w:top w:w="105" w:type="dxa"/>
              <w:start w:w="100" w:type="dxa"/>
              <w:bottom w:w="105" w:type="dxa"/>
              <w:end w:w="100" w:type="dxa"/>
            </w:tcMar>
            <w:vAlign w:val="center"/>
            <w:shd w:fill="F8FAF8"/>
          </w:tcPr>
          <w:p>
            <w:pPr>
              <w:jc w:val="center"/>
            </w:pPr>
            <w:r>
              <w:rPr>
                <w:rFonts w:ascii="Segoe UI" w:hAnsi="Segoe UI"/>
                <w:b/>
                <w:i w:val="0"/>
                <w:color w:val="A76516"/>
                <w:sz w:val="16"/>
              </w:rPr>
              <w:t>In Progress</w:t>
            </w:r>
          </w:p>
        </w:tc>
      </w:tr>
    </w:tbl>
    <w:p>
      <w:pPr>
        <w:spacing w:after="0"/>
      </w:pPr>
    </w:p>
    <w:p>
      <w:pPr>
        <w:spacing w:after="40"/>
      </w:pPr>
      <w:r>
        <w:rPr>
          <w:rFonts w:ascii="Bahnschrift" w:hAnsi="Bahnschrift"/>
          <w:b/>
          <w:i w:val="0"/>
          <w:color w:val="9B7B1B"/>
          <w:sz w:val="17"/>
        </w:rPr>
        <w:t>PLACEMENT TO CLOSE-OUT</w:t>
      </w:r>
    </w:p>
    <w:p>
      <w:pPr>
        <w:pStyle w:val="Heading1"/>
        <w:keepNext/>
        <w:spacing w:before="240" w:after="120"/>
      </w:pPr>
      <w:r>
        <w:rPr>
          <w:rFonts w:ascii="Bahnschrift" w:hAnsi="Bahnschrift"/>
          <w:b/>
          <w:color w:val="144D32"/>
          <w:sz w:val="40"/>
        </w:rPr>
        <w:t>Breeder operating chain</w:t>
      </w:r>
    </w:p>
    <w:tbl>
      <w:tblPr>
        <w:tblW w:type="auto" w:w="0"/>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1353"/>
            <w:shd w:fill="F2F6F3"/>
            <w:tcMar>
              <w:top w:w="125" w:type="dxa"/>
              <w:start w:w="75" w:type="dxa"/>
              <w:bottom w:w="125" w:type="dxa"/>
              <w:end w:w="75" w:type="dxa"/>
            </w:tcMar>
            <w:vAlign w:val="center"/>
          </w:tcPr>
          <w:p>
            <w:pPr>
              <w:jc w:val="center"/>
            </w:pPr>
            <w:r>
              <w:rPr>
                <w:rFonts w:ascii="Bahnschrift" w:hAnsi="Bahnschrift"/>
                <w:b/>
                <w:i w:val="0"/>
                <w:color w:val="144D32"/>
                <w:sz w:val="16"/>
              </w:rPr>
              <w:t>Placement</w:t>
            </w:r>
          </w:p>
        </w:tc>
        <w:tc>
          <w:tcPr>
            <w:tcW w:type="dxa" w:w="216"/>
          </w:tcPr>
          <w:p>
            <w:pPr>
              <w:jc w:val="center"/>
            </w:pPr>
            <w:r>
              <w:rPr>
                <w:rFonts w:ascii="Segoe UI" w:hAnsi="Segoe UI"/>
                <w:b/>
                <w:i w:val="0"/>
                <w:color w:val="9B7B1B"/>
                <w:sz w:val="24"/>
              </w:rPr>
              <w:t>→</w:t>
            </w:r>
          </w:p>
        </w:tc>
        <w:tc>
          <w:tcPr>
            <w:tcW w:type="dxa" w:w="1353"/>
            <w:shd w:fill="F7F3E5"/>
            <w:tcMar>
              <w:top w:w="125" w:type="dxa"/>
              <w:start w:w="75" w:type="dxa"/>
              <w:bottom w:w="125" w:type="dxa"/>
              <w:end w:w="75" w:type="dxa"/>
            </w:tcMar>
            <w:vAlign w:val="center"/>
          </w:tcPr>
          <w:p>
            <w:pPr>
              <w:jc w:val="center"/>
            </w:pPr>
            <w:r>
              <w:rPr>
                <w:rFonts w:ascii="Bahnschrift" w:hAnsi="Bahnschrift"/>
                <w:b/>
                <w:i w:val="0"/>
                <w:color w:val="144D32"/>
                <w:sz w:val="16"/>
              </w:rPr>
              <w:t>Population Record</w:t>
            </w:r>
          </w:p>
        </w:tc>
        <w:tc>
          <w:tcPr>
            <w:tcW w:type="dxa" w:w="216"/>
          </w:tcPr>
          <w:p>
            <w:pPr>
              <w:jc w:val="center"/>
            </w:pPr>
            <w:r>
              <w:rPr>
                <w:rFonts w:ascii="Segoe UI" w:hAnsi="Segoe UI"/>
                <w:b/>
                <w:i w:val="0"/>
                <w:color w:val="9B7B1B"/>
                <w:sz w:val="24"/>
              </w:rPr>
              <w:t>→</w:t>
            </w:r>
          </w:p>
        </w:tc>
        <w:tc>
          <w:tcPr>
            <w:tcW w:type="dxa" w:w="1353"/>
            <w:shd w:fill="F2F6F3"/>
            <w:tcMar>
              <w:top w:w="125" w:type="dxa"/>
              <w:start w:w="75" w:type="dxa"/>
              <w:bottom w:w="125" w:type="dxa"/>
              <w:end w:w="75" w:type="dxa"/>
            </w:tcMar>
            <w:vAlign w:val="center"/>
          </w:tcPr>
          <w:p>
            <w:pPr>
              <w:jc w:val="center"/>
            </w:pPr>
            <w:r>
              <w:rPr>
                <w:rFonts w:ascii="Bahnschrift" w:hAnsi="Bahnschrift"/>
                <w:b/>
                <w:i w:val="0"/>
                <w:color w:val="144D32"/>
                <w:sz w:val="16"/>
              </w:rPr>
              <w:t>Laying Production</w:t>
            </w:r>
          </w:p>
        </w:tc>
        <w:tc>
          <w:tcPr>
            <w:tcW w:type="dxa" w:w="216"/>
          </w:tcPr>
          <w:p>
            <w:pPr>
              <w:jc w:val="center"/>
            </w:pPr>
            <w:r>
              <w:rPr>
                <w:rFonts w:ascii="Segoe UI" w:hAnsi="Segoe UI"/>
                <w:b/>
                <w:i w:val="0"/>
                <w:color w:val="9B7B1B"/>
                <w:sz w:val="24"/>
              </w:rPr>
              <w:t>→</w:t>
            </w:r>
          </w:p>
        </w:tc>
        <w:tc>
          <w:tcPr>
            <w:tcW w:type="dxa" w:w="1353"/>
            <w:shd w:fill="F7F3E5"/>
            <w:tcMar>
              <w:top w:w="125" w:type="dxa"/>
              <w:start w:w="75" w:type="dxa"/>
              <w:bottom w:w="125" w:type="dxa"/>
              <w:end w:w="75" w:type="dxa"/>
            </w:tcMar>
            <w:vAlign w:val="center"/>
          </w:tcPr>
          <w:p>
            <w:pPr>
              <w:jc w:val="center"/>
            </w:pPr>
            <w:r>
              <w:rPr>
                <w:rFonts w:ascii="Bahnschrift" w:hAnsi="Bahnschrift"/>
                <w:b/>
                <w:i w:val="0"/>
                <w:color w:val="144D32"/>
                <w:sz w:val="16"/>
              </w:rPr>
              <w:t>Vaccination / Medication</w:t>
            </w:r>
          </w:p>
        </w:tc>
        <w:tc>
          <w:tcPr>
            <w:tcW w:type="dxa" w:w="216"/>
          </w:tcPr>
          <w:p>
            <w:pPr>
              <w:jc w:val="center"/>
            </w:pPr>
            <w:r>
              <w:rPr>
                <w:rFonts w:ascii="Segoe UI" w:hAnsi="Segoe UI"/>
                <w:b/>
                <w:i w:val="0"/>
                <w:color w:val="9B7B1B"/>
                <w:sz w:val="24"/>
              </w:rPr>
              <w:t>→</w:t>
            </w:r>
          </w:p>
        </w:tc>
        <w:tc>
          <w:tcPr>
            <w:tcW w:type="dxa" w:w="1353"/>
            <w:shd w:fill="F2F6F3"/>
            <w:tcMar>
              <w:top w:w="125" w:type="dxa"/>
              <w:start w:w="75" w:type="dxa"/>
              <w:bottom w:w="125" w:type="dxa"/>
              <w:end w:w="75" w:type="dxa"/>
            </w:tcMar>
            <w:vAlign w:val="center"/>
          </w:tcPr>
          <w:p>
            <w:pPr>
              <w:jc w:val="center"/>
            </w:pPr>
            <w:r>
              <w:rPr>
                <w:rFonts w:ascii="Bahnschrift" w:hAnsi="Bahnschrift"/>
                <w:b/>
                <w:i w:val="0"/>
                <w:color w:val="144D32"/>
                <w:sz w:val="16"/>
              </w:rPr>
              <w:t>Dispatch / Clean-Up</w:t>
            </w:r>
          </w:p>
        </w:tc>
      </w:tr>
    </w:tbl>
    <w:p>
      <w:pPr>
        <w:spacing w:before="60" w:after="120"/>
        <w:jc w:val="center"/>
      </w:pPr>
      <w:r>
        <w:rPr>
          <w:rFonts w:ascii="Segoe UI" w:hAnsi="Segoe UI"/>
          <w:b w:val="0"/>
          <w:i/>
          <w:color w:val="5B6670"/>
          <w:sz w:val="16"/>
        </w:rPr>
        <w:t>The Breeder Card and reports aggregate lifecycle activity; transfer/history improvements remain branch-only.</w:t>
      </w: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1944"/>
            <w:shd w:fill="144D32"/>
            <w:tcMar>
              <w:top w:w="110" w:type="dxa"/>
              <w:start w:w="100" w:type="dxa"/>
              <w:bottom w:w="110" w:type="dxa"/>
              <w:end w:w="100" w:type="dxa"/>
            </w:tcMar>
            <w:vAlign w:val="center"/>
          </w:tcPr>
          <w:p>
            <w:pPr>
              <w:jc w:val="left"/>
            </w:pPr>
            <w:r>
              <w:rPr>
                <w:rFonts w:ascii="Bahnschrift" w:hAnsi="Bahnschrift"/>
                <w:b/>
                <w:i w:val="0"/>
                <w:color w:val="FFFFFF"/>
                <w:sz w:val="17"/>
              </w:rPr>
              <w:t>Module</w:t>
            </w:r>
          </w:p>
        </w:tc>
        <w:tc>
          <w:tcPr>
            <w:tcW w:type="dxa" w:w="2520"/>
            <w:shd w:fill="144D32"/>
            <w:tcMar>
              <w:top w:w="110" w:type="dxa"/>
              <w:start w:w="100" w:type="dxa"/>
              <w:bottom w:w="110" w:type="dxa"/>
              <w:end w:w="100" w:type="dxa"/>
            </w:tcMar>
            <w:vAlign w:val="center"/>
          </w:tcPr>
          <w:p>
            <w:pPr>
              <w:jc w:val="left"/>
            </w:pPr>
            <w:r>
              <w:rPr>
                <w:rFonts w:ascii="Bahnschrift" w:hAnsi="Bahnschrift"/>
                <w:b/>
                <w:i w:val="0"/>
                <w:color w:val="FFFFFF"/>
                <w:sz w:val="17"/>
              </w:rPr>
              <w:t>What changed</w:t>
            </w:r>
          </w:p>
        </w:tc>
        <w:tc>
          <w:tcPr>
            <w:tcW w:type="dxa" w:w="3528"/>
            <w:shd w:fill="144D32"/>
            <w:tcMar>
              <w:top w:w="110" w:type="dxa"/>
              <w:start w:w="100" w:type="dxa"/>
              <w:bottom w:w="110" w:type="dxa"/>
              <w:end w:w="100" w:type="dxa"/>
            </w:tcMar>
            <w:vAlign w:val="center"/>
          </w:tcPr>
          <w:p>
            <w:pPr>
              <w:jc w:val="left"/>
            </w:pPr>
            <w:r>
              <w:rPr>
                <w:rFonts w:ascii="Bahnschrift" w:hAnsi="Bahnschrift"/>
                <w:b/>
                <w:i w:val="0"/>
                <w:color w:val="FFFFFF"/>
                <w:sz w:val="17"/>
              </w:rPr>
              <w:t>Connected to / business role</w:t>
            </w:r>
          </w:p>
        </w:tc>
        <w:tc>
          <w:tcPr>
            <w:tcW w:type="dxa" w:w="1224"/>
            <w:shd w:fill="144D32"/>
            <w:tcMar>
              <w:top w:w="110" w:type="dxa"/>
              <w:start w:w="100" w:type="dxa"/>
              <w:bottom w:w="110" w:type="dxa"/>
              <w:end w:w="100" w:type="dxa"/>
            </w:tcMar>
            <w:vAlign w:val="center"/>
          </w:tcPr>
          <w:p>
            <w:pPr>
              <w:jc w:val="center"/>
            </w:pPr>
            <w:r>
              <w:rPr>
                <w:rFonts w:ascii="Bahnschrift" w:hAnsi="Bahnschrift"/>
                <w:b/>
                <w:i w:val="0"/>
                <w:color w:val="FFFFFF"/>
                <w:sz w:val="17"/>
              </w:rPr>
              <w:t>Status</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Placement</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Placement forms, source policies, cycle creation, warehouse linkage, and table refinements.</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Starts the Breeder Card lifecycle and supplies population baseline.</w:t>
            </w:r>
          </w:p>
        </w:tc>
        <w:tc>
          <w:tcPr>
            <w:tcW w:type="dxa" w:w="1224"/>
            <w:tcMar>
              <w:top w:w="105" w:type="dxa"/>
              <w:start w:w="100" w:type="dxa"/>
              <w:bottom w:w="105" w:type="dxa"/>
              <w:end w:w="100" w:type="dxa"/>
            </w:tcMar>
            <w:vAlign w:val="center"/>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shd w:fill="F8FAF8"/>
          </w:tcPr>
          <w:p>
            <w:pPr>
              <w:spacing w:after="0"/>
            </w:pPr>
            <w:r>
              <w:rPr>
                <w:rFonts w:ascii="Segoe UI" w:hAnsi="Segoe UI"/>
                <w:b/>
                <w:i w:val="0"/>
                <w:color w:val="1F2933"/>
                <w:sz w:val="17"/>
              </w:rPr>
              <w:t>Population Record</w:t>
            </w:r>
          </w:p>
        </w:tc>
        <w:tc>
          <w:tcPr>
            <w:tcW w:type="dxa" w:w="2520"/>
            <w:tcMar>
              <w:top w:w="105" w:type="dxa"/>
              <w:start w:w="100" w:type="dxa"/>
              <w:bottom w:w="105" w:type="dxa"/>
              <w:end w:w="100" w:type="dxa"/>
            </w:tcMar>
            <w:vAlign w:val="center"/>
            <w:shd w:fill="F8FAF8"/>
          </w:tcPr>
          <w:p>
            <w:pPr>
              <w:spacing w:after="0"/>
            </w:pPr>
            <w:r>
              <w:rPr>
                <w:rFonts w:ascii="Segoe UI" w:hAnsi="Segoe UI"/>
                <w:b w:val="0"/>
                <w:i w:val="0"/>
                <w:color w:val="1F2933"/>
                <w:sz w:val="17"/>
              </w:rPr>
              <w:t>Growing forms, grading, APIs, filtering, and farm-aware operational records.</w:t>
            </w:r>
          </w:p>
        </w:tc>
        <w:tc>
          <w:tcPr>
            <w:tcW w:type="dxa" w:w="3528"/>
            <w:tcMar>
              <w:top w:w="105" w:type="dxa"/>
              <w:start w:w="100" w:type="dxa"/>
              <w:bottom w:w="105" w:type="dxa"/>
              <w:end w:w="100" w:type="dxa"/>
            </w:tcMar>
            <w:vAlign w:val="center"/>
            <w:shd w:fill="F8FAF8"/>
          </w:tcPr>
          <w:p>
            <w:pPr>
              <w:spacing w:after="0"/>
            </w:pPr>
            <w:r>
              <w:rPr>
                <w:rFonts w:ascii="Segoe UI" w:hAnsi="Segoe UI"/>
                <w:b w:val="0"/>
                <w:i w:val="0"/>
                <w:color w:val="1F2933"/>
                <w:sz w:val="17"/>
              </w:rPr>
              <w:t>Updates flock population and performance after placement.</w:t>
            </w:r>
          </w:p>
        </w:tc>
        <w:tc>
          <w:tcPr>
            <w:tcW w:type="dxa" w:w="1224"/>
            <w:tcMar>
              <w:top w:w="105" w:type="dxa"/>
              <w:start w:w="100" w:type="dxa"/>
              <w:bottom w:w="105" w:type="dxa"/>
              <w:end w:w="100" w:type="dxa"/>
            </w:tcMar>
            <w:vAlign w:val="center"/>
            <w:shd w:fill="F8FAF8"/>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Laying Production</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Laying forms, APIs, list improvements, and Card integration.</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Adds production results to the Breeder lifecycle.</w:t>
            </w:r>
          </w:p>
        </w:tc>
        <w:tc>
          <w:tcPr>
            <w:tcW w:type="dxa" w:w="1224"/>
            <w:tcMar>
              <w:top w:w="105" w:type="dxa"/>
              <w:start w:w="100" w:type="dxa"/>
              <w:bottom w:w="105" w:type="dxa"/>
              <w:end w:w="100" w:type="dxa"/>
            </w:tcMar>
            <w:vAlign w:val="center"/>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shd w:fill="F8FAF8"/>
          </w:tcPr>
          <w:p>
            <w:pPr>
              <w:spacing w:after="0"/>
            </w:pPr>
            <w:r>
              <w:rPr>
                <w:rFonts w:ascii="Segoe UI" w:hAnsi="Segoe UI"/>
                <w:b/>
                <w:i w:val="0"/>
                <w:color w:val="1F2933"/>
                <w:sz w:val="17"/>
              </w:rPr>
              <w:t>Vaccination &amp; Medication</w:t>
            </w:r>
          </w:p>
        </w:tc>
        <w:tc>
          <w:tcPr>
            <w:tcW w:type="dxa" w:w="2520"/>
            <w:tcMar>
              <w:top w:w="105" w:type="dxa"/>
              <w:start w:w="100" w:type="dxa"/>
              <w:bottom w:w="105" w:type="dxa"/>
              <w:end w:w="100" w:type="dxa"/>
            </w:tcMar>
            <w:vAlign w:val="center"/>
            <w:shd w:fill="F8FAF8"/>
          </w:tcPr>
          <w:p>
            <w:pPr>
              <w:spacing w:after="0"/>
            </w:pPr>
            <w:r>
              <w:rPr>
                <w:rFonts w:ascii="Segoe UI" w:hAnsi="Segoe UI"/>
                <w:b w:val="0"/>
                <w:i w:val="0"/>
                <w:color w:val="1F2933"/>
                <w:sz w:val="17"/>
              </w:rPr>
              <w:t>Forms, tables, edit support, and database rules for flock health interventions.</w:t>
            </w:r>
          </w:p>
        </w:tc>
        <w:tc>
          <w:tcPr>
            <w:tcW w:type="dxa" w:w="3528"/>
            <w:tcMar>
              <w:top w:w="105" w:type="dxa"/>
              <w:start w:w="100" w:type="dxa"/>
              <w:bottom w:w="105" w:type="dxa"/>
              <w:end w:w="100" w:type="dxa"/>
            </w:tcMar>
            <w:vAlign w:val="center"/>
            <w:shd w:fill="F8FAF8"/>
          </w:tcPr>
          <w:p>
            <w:pPr>
              <w:spacing w:after="0"/>
            </w:pPr>
            <w:r>
              <w:rPr>
                <w:rFonts w:ascii="Segoe UI" w:hAnsi="Segoe UI"/>
                <w:b w:val="0"/>
                <w:i w:val="0"/>
                <w:color w:val="1F2933"/>
                <w:sz w:val="17"/>
              </w:rPr>
              <w:t>Records health activity against Breeder flocks.</w:t>
            </w:r>
          </w:p>
        </w:tc>
        <w:tc>
          <w:tcPr>
            <w:tcW w:type="dxa" w:w="1224"/>
            <w:tcMar>
              <w:top w:w="105" w:type="dxa"/>
              <w:start w:w="100" w:type="dxa"/>
              <w:bottom w:w="105" w:type="dxa"/>
              <w:end w:w="100" w:type="dxa"/>
            </w:tcMar>
            <w:vAlign w:val="center"/>
            <w:shd w:fill="F8FAF8"/>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Breeder Card / Reports</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Card export, daily performance API, and report screens.</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Consolidates placement, population, production, health, dispatch, and cleanup history.</w:t>
            </w:r>
          </w:p>
        </w:tc>
        <w:tc>
          <w:tcPr>
            <w:tcW w:type="dxa" w:w="1224"/>
            <w:tcMar>
              <w:top w:w="105" w:type="dxa"/>
              <w:start w:w="100" w:type="dxa"/>
              <w:bottom w:w="105" w:type="dxa"/>
              <w:end w:w="100" w:type="dxa"/>
            </w:tcMar>
            <w:vAlign w:val="center"/>
          </w:tcPr>
          <w:p>
            <w:pPr>
              <w:jc w:val="center"/>
            </w:pPr>
            <w:r>
              <w:rPr>
                <w:rFonts w:ascii="Segoe UI" w:hAnsi="Segoe UI"/>
                <w:b/>
                <w:i w:val="0"/>
                <w:color w:val="144D32"/>
                <w:sz w:val="16"/>
              </w:rPr>
              <w:t>Integrated</w:t>
            </w:r>
          </w:p>
        </w:tc>
      </w:tr>
      <w:tr>
        <w:tc>
          <w:tcPr>
            <w:tcW w:type="dxa" w:w="1944"/>
            <w:tcMar>
              <w:top w:w="105" w:type="dxa"/>
              <w:start w:w="100" w:type="dxa"/>
              <w:bottom w:w="105" w:type="dxa"/>
              <w:end w:w="100" w:type="dxa"/>
            </w:tcMar>
            <w:vAlign w:val="center"/>
            <w:shd w:fill="F8FAF8"/>
          </w:tcPr>
          <w:p>
            <w:pPr>
              <w:spacing w:after="0"/>
            </w:pPr>
            <w:r>
              <w:rPr>
                <w:rFonts w:ascii="Segoe UI" w:hAnsi="Segoe UI"/>
                <w:b/>
                <w:i w:val="0"/>
                <w:color w:val="1F2933"/>
                <w:sz w:val="17"/>
              </w:rPr>
              <w:t>Breeder Logistics</w:t>
            </w:r>
          </w:p>
        </w:tc>
        <w:tc>
          <w:tcPr>
            <w:tcW w:type="dxa" w:w="2520"/>
            <w:tcMar>
              <w:top w:w="105" w:type="dxa"/>
              <w:start w:w="100" w:type="dxa"/>
              <w:bottom w:w="105" w:type="dxa"/>
              <w:end w:w="100" w:type="dxa"/>
            </w:tcMar>
            <w:vAlign w:val="center"/>
            <w:shd w:fill="F8FAF8"/>
          </w:tcPr>
          <w:p>
            <w:pPr>
              <w:spacing w:after="0"/>
            </w:pPr>
            <w:r>
              <w:rPr>
                <w:rFonts w:ascii="Segoe UI" w:hAnsi="Segoe UI"/>
                <w:b w:val="0"/>
                <w:i w:val="0"/>
                <w:color w:val="1F2933"/>
                <w:sz w:val="17"/>
              </w:rPr>
              <w:t>Dispatch, redesigned Clean-Up, Transfer, detailed History, print, RLS, and Card linkage are present in dev-baja branch work.</w:t>
            </w:r>
          </w:p>
        </w:tc>
        <w:tc>
          <w:tcPr>
            <w:tcW w:type="dxa" w:w="3528"/>
            <w:tcMar>
              <w:top w:w="105" w:type="dxa"/>
              <w:start w:w="100" w:type="dxa"/>
              <w:bottom w:w="105" w:type="dxa"/>
              <w:end w:w="100" w:type="dxa"/>
            </w:tcMar>
            <w:vAlign w:val="center"/>
            <w:shd w:fill="F8FAF8"/>
          </w:tcPr>
          <w:p>
            <w:pPr>
              <w:spacing w:after="0"/>
            </w:pPr>
            <w:r>
              <w:rPr>
                <w:rFonts w:ascii="Segoe UI" w:hAnsi="Segoe UI"/>
                <w:b w:val="0"/>
                <w:i w:val="0"/>
                <w:color w:val="1F2933"/>
                <w:sz w:val="17"/>
              </w:rPr>
              <w:t>Moves or reduces flock population, improves lifecycle traceability, and supports final close-out.</w:t>
            </w:r>
          </w:p>
        </w:tc>
        <w:tc>
          <w:tcPr>
            <w:tcW w:type="dxa" w:w="1224"/>
            <w:tcMar>
              <w:top w:w="105" w:type="dxa"/>
              <w:start w:w="100" w:type="dxa"/>
              <w:bottom w:w="105" w:type="dxa"/>
              <w:end w:w="100" w:type="dxa"/>
            </w:tcMar>
            <w:vAlign w:val="center"/>
            <w:shd w:fill="F8FAF8"/>
          </w:tcPr>
          <w:p>
            <w:pPr>
              <w:jc w:val="center"/>
            </w:pPr>
            <w:r>
              <w:rPr>
                <w:rFonts w:ascii="Segoe UI" w:hAnsi="Segoe UI"/>
                <w:b/>
                <w:i w:val="0"/>
                <w:color w:val="A76516"/>
                <w:sz w:val="16"/>
              </w:rPr>
              <w:t>Branch-only</w:t>
            </w:r>
          </w:p>
        </w:tc>
      </w:tr>
    </w:tbl>
    <w:p>
      <w:pPr>
        <w:spacing w:after="0"/>
      </w:pPr>
    </w:p>
    <w:p>
      <w:r>
        <w:br w:type="page"/>
      </w:r>
    </w:p>
    <w:p>
      <w:pPr>
        <w:spacing w:after="40"/>
      </w:pPr>
      <w:r>
        <w:rPr>
          <w:rFonts w:ascii="Bahnschrift" w:hAnsi="Bahnschrift"/>
          <w:b/>
          <w:i w:val="0"/>
          <w:color w:val="9B7B1B"/>
          <w:sz w:val="17"/>
        </w:rPr>
        <w:t>AS OF 25 AUGUST</w:t>
      </w:r>
    </w:p>
    <w:p>
      <w:pPr>
        <w:pStyle w:val="Heading1"/>
        <w:keepNext/>
        <w:spacing w:before="240" w:after="120"/>
      </w:pPr>
      <w:r>
        <w:rPr>
          <w:rFonts w:ascii="Bahnschrift" w:hAnsi="Bahnschrift"/>
          <w:b/>
          <w:color w:val="144D32"/>
          <w:sz w:val="40"/>
        </w:rPr>
        <w:t>Work in progress and release boundary</w:t>
      </w:r>
    </w:p>
    <w:tbl>
      <w:tblPr>
        <w:tblW w:type="auto" w:w="0"/>
        <w:tblLayout w:type="fixed"/>
        <w:tblLook w:firstColumn="1" w:firstRow="1" w:lastColumn="0" w:lastRow="0" w:noHBand="0" w:noVBand="1" w:val="04A0"/>
      </w:tblPr>
      <w:tblGrid>
        <w:gridCol w:w="5083"/>
        <w:gridCol w:w="5083"/>
      </w:tblGrid>
      <w:tr>
        <w:tc>
          <w:tcPr>
            <w:tcW w:type="dxa" w:w="144"/>
            <w:shd w:fill="9B7B1B"/>
            <w:tcMar>
              <w:top w:w="80" w:type="dxa"/>
              <w:start w:w="20" w:type="dxa"/>
              <w:bottom w:w="80" w:type="dxa"/>
              <w:end w:w="20" w:type="dxa"/>
            </w:tcMar>
          </w:tcPr>
          <w:p/>
        </w:tc>
        <w:tc>
          <w:tcPr>
            <w:tcW w:type="dxa" w:w="9000"/>
            <w:shd w:fill="F7F3E5"/>
            <w:tcMar>
              <w:top w:w="150" w:type="dxa"/>
              <w:start w:w="180" w:type="dxa"/>
              <w:bottom w:w="150" w:type="dxa"/>
              <w:end w:w="180" w:type="dxa"/>
            </w:tcMar>
          </w:tcPr>
          <w:p>
            <w:pPr>
              <w:spacing w:after="60"/>
            </w:pPr>
            <w:r>
              <w:rPr>
                <w:rFonts w:ascii="Bahnschrift" w:hAnsi="Bahnschrift"/>
                <w:b/>
                <w:i w:val="0"/>
                <w:color w:val="9B7B1B"/>
                <w:sz w:val="22"/>
              </w:rPr>
              <w:t>Local worktree</w:t>
            </w:r>
          </w:p>
          <w:p>
            <w:pPr>
              <w:spacing w:after="0" w:line="269" w:lineRule="auto"/>
            </w:pPr>
            <w:r>
              <w:rPr>
                <w:rFonts w:ascii="Segoe UI" w:hAnsi="Segoe UI"/>
                <w:b w:val="0"/>
                <w:i w:val="0"/>
                <w:color w:val="1F2933"/>
                <w:sz w:val="20"/>
              </w:rPr>
              <w:t>At the start of this review, 45 tracked files were modified and seven pre-existing feature paths were untracked. The largest themes are Flock Card feed/mortality allocation, Item Group/Subgroup persistence, Item Master subgroup use, Goods Receipt/Transfer direct posting, Hatchery Process Wizard, manual Hatchery Receiving farm filtering, shared sidebar/navigation refinements, and notification catalog extensions.</w:t>
            </w:r>
          </w:p>
        </w:tc>
      </w:tr>
    </w:tbl>
    <w:p>
      <w:pPr>
        <w:spacing w:after="0"/>
      </w:pPr>
    </w:p>
    <w:tbl>
      <w:tblPr>
        <w:tblStyle w:val="TableGrid"/>
        <w:tblW w:type="auto" w:w="0"/>
        <w:tblLayout w:type="fixed"/>
        <w:tblLook w:firstColumn="1" w:firstRow="1" w:lastColumn="0" w:lastRow="0" w:noHBand="0" w:noVBand="1" w:val="04A0"/>
      </w:tblPr>
      <w:tblGrid>
        <w:gridCol w:w="2541"/>
        <w:gridCol w:w="2541"/>
        <w:gridCol w:w="2541"/>
        <w:gridCol w:w="2541"/>
      </w:tblGrid>
      <w:tr>
        <w:trPr>
          <w:tblHeader w:val="true"/>
        </w:trPr>
        <w:tc>
          <w:tcPr>
            <w:tcW w:type="dxa" w:w="1944"/>
            <w:shd w:fill="144D32"/>
            <w:tcMar>
              <w:top w:w="110" w:type="dxa"/>
              <w:start w:w="100" w:type="dxa"/>
              <w:bottom w:w="110" w:type="dxa"/>
              <w:end w:w="100" w:type="dxa"/>
            </w:tcMar>
            <w:vAlign w:val="center"/>
          </w:tcPr>
          <w:p>
            <w:pPr>
              <w:jc w:val="left"/>
            </w:pPr>
            <w:r>
              <w:rPr>
                <w:rFonts w:ascii="Bahnschrift" w:hAnsi="Bahnschrift"/>
                <w:b/>
                <w:i w:val="0"/>
                <w:color w:val="FFFFFF"/>
                <w:sz w:val="17"/>
              </w:rPr>
              <w:t>Module</w:t>
            </w:r>
          </w:p>
        </w:tc>
        <w:tc>
          <w:tcPr>
            <w:tcW w:type="dxa" w:w="2520"/>
            <w:shd w:fill="144D32"/>
            <w:tcMar>
              <w:top w:w="110" w:type="dxa"/>
              <w:start w:w="100" w:type="dxa"/>
              <w:bottom w:w="110" w:type="dxa"/>
              <w:end w:w="100" w:type="dxa"/>
            </w:tcMar>
            <w:vAlign w:val="center"/>
          </w:tcPr>
          <w:p>
            <w:pPr>
              <w:jc w:val="left"/>
            </w:pPr>
            <w:r>
              <w:rPr>
                <w:rFonts w:ascii="Bahnschrift" w:hAnsi="Bahnschrift"/>
                <w:b/>
                <w:i w:val="0"/>
                <w:color w:val="FFFFFF"/>
                <w:sz w:val="17"/>
              </w:rPr>
              <w:t>What changed</w:t>
            </w:r>
          </w:p>
        </w:tc>
        <w:tc>
          <w:tcPr>
            <w:tcW w:type="dxa" w:w="3528"/>
            <w:shd w:fill="144D32"/>
            <w:tcMar>
              <w:top w:w="110" w:type="dxa"/>
              <w:start w:w="100" w:type="dxa"/>
              <w:bottom w:w="110" w:type="dxa"/>
              <w:end w:w="100" w:type="dxa"/>
            </w:tcMar>
            <w:vAlign w:val="center"/>
          </w:tcPr>
          <w:p>
            <w:pPr>
              <w:jc w:val="left"/>
            </w:pPr>
            <w:r>
              <w:rPr>
                <w:rFonts w:ascii="Bahnschrift" w:hAnsi="Bahnschrift"/>
                <w:b/>
                <w:i w:val="0"/>
                <w:color w:val="FFFFFF"/>
                <w:sz w:val="17"/>
              </w:rPr>
              <w:t>Connected to / business role</w:t>
            </w:r>
          </w:p>
        </w:tc>
        <w:tc>
          <w:tcPr>
            <w:tcW w:type="dxa" w:w="1224"/>
            <w:shd w:fill="144D32"/>
            <w:tcMar>
              <w:top w:w="110" w:type="dxa"/>
              <w:start w:w="100" w:type="dxa"/>
              <w:bottom w:w="110" w:type="dxa"/>
              <w:end w:w="100" w:type="dxa"/>
            </w:tcMar>
            <w:vAlign w:val="center"/>
          </w:tcPr>
          <w:p>
            <w:pPr>
              <w:jc w:val="center"/>
            </w:pPr>
            <w:r>
              <w:rPr>
                <w:rFonts w:ascii="Bahnschrift" w:hAnsi="Bahnschrift"/>
                <w:b/>
                <w:i w:val="0"/>
                <w:color w:val="FFFFFF"/>
                <w:sz w:val="17"/>
              </w:rPr>
              <w:t>Status</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Flock Card</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Feed Group requirement, feed-type-to-batch filtering, RPC signature alignment, mandatory feed/mortality allocation validation, grid/export refinements.</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Growing &amp; Farm Condition Settings → Item Group/Subgroup → Batch availability → inventory_postings.</w:t>
            </w:r>
          </w:p>
        </w:tc>
        <w:tc>
          <w:tcPr>
            <w:tcW w:type="dxa" w:w="1224"/>
            <w:tcMar>
              <w:top w:w="105" w:type="dxa"/>
              <w:start w:w="100" w:type="dxa"/>
              <w:bottom w:w="105" w:type="dxa"/>
              <w:end w:w="100" w:type="dxa"/>
            </w:tcMar>
            <w:vAlign w:val="center"/>
          </w:tcPr>
          <w:p>
            <w:pPr>
              <w:jc w:val="center"/>
            </w:pPr>
            <w:r>
              <w:rPr>
                <w:rFonts w:ascii="Segoe UI" w:hAnsi="Segoe UI"/>
                <w:b/>
                <w:i w:val="0"/>
                <w:color w:val="A76516"/>
                <w:sz w:val="16"/>
              </w:rPr>
              <w:t>In Progress</w:t>
            </w:r>
          </w:p>
        </w:tc>
      </w:tr>
      <w:tr>
        <w:tc>
          <w:tcPr>
            <w:tcW w:type="dxa" w:w="1944"/>
            <w:tcMar>
              <w:top w:w="105" w:type="dxa"/>
              <w:start w:w="100" w:type="dxa"/>
              <w:bottom w:w="105" w:type="dxa"/>
              <w:end w:w="100" w:type="dxa"/>
            </w:tcMar>
            <w:vAlign w:val="center"/>
            <w:shd w:fill="F8FAF8"/>
          </w:tcPr>
          <w:p>
            <w:pPr>
              <w:spacing w:after="0"/>
            </w:pPr>
            <w:r>
              <w:rPr>
                <w:rFonts w:ascii="Segoe UI" w:hAnsi="Segoe UI"/>
                <w:b/>
                <w:i w:val="0"/>
                <w:color w:val="1F2933"/>
                <w:sz w:val="17"/>
              </w:rPr>
              <w:t>Item hierarchy</w:t>
            </w:r>
          </w:p>
        </w:tc>
        <w:tc>
          <w:tcPr>
            <w:tcW w:type="dxa" w:w="2520"/>
            <w:tcMar>
              <w:top w:w="105" w:type="dxa"/>
              <w:start w:w="100" w:type="dxa"/>
              <w:bottom w:w="105" w:type="dxa"/>
              <w:end w:w="100" w:type="dxa"/>
            </w:tcMar>
            <w:vAlign w:val="center"/>
            <w:shd w:fill="F8FAF8"/>
          </w:tcPr>
          <w:p>
            <w:pPr>
              <w:spacing w:after="0"/>
            </w:pPr>
            <w:r>
              <w:rPr>
                <w:rFonts w:ascii="Segoe UI" w:hAnsi="Segoe UI"/>
                <w:b w:val="0"/>
                <w:i w:val="0"/>
                <w:color w:val="1F2933"/>
                <w:sz w:val="17"/>
              </w:rPr>
              <w:t>One-level subgroup persistence, server-authorized mutation, Item Master subgroup assignment, and notification event support.</w:t>
            </w:r>
          </w:p>
        </w:tc>
        <w:tc>
          <w:tcPr>
            <w:tcW w:type="dxa" w:w="3528"/>
            <w:tcMar>
              <w:top w:w="105" w:type="dxa"/>
              <w:start w:w="100" w:type="dxa"/>
              <w:bottom w:w="105" w:type="dxa"/>
              <w:end w:w="100" w:type="dxa"/>
            </w:tcMar>
            <w:vAlign w:val="center"/>
            <w:shd w:fill="F8FAF8"/>
          </w:tcPr>
          <w:p>
            <w:pPr>
              <w:spacing w:after="0"/>
            </w:pPr>
            <w:r>
              <w:rPr>
                <w:rFonts w:ascii="Segoe UI" w:hAnsi="Segoe UI"/>
                <w:b w:val="0"/>
                <w:i w:val="0"/>
                <w:color w:val="1F2933"/>
                <w:sz w:val="17"/>
              </w:rPr>
              <w:t>Item Group → Item Master → Goods Receipt display → Flock Card feed filtering.</w:t>
            </w:r>
          </w:p>
        </w:tc>
        <w:tc>
          <w:tcPr>
            <w:tcW w:type="dxa" w:w="1224"/>
            <w:tcMar>
              <w:top w:w="105" w:type="dxa"/>
              <w:start w:w="100" w:type="dxa"/>
              <w:bottom w:w="105" w:type="dxa"/>
              <w:end w:w="100" w:type="dxa"/>
            </w:tcMar>
            <w:vAlign w:val="center"/>
            <w:shd w:fill="F8FAF8"/>
          </w:tcPr>
          <w:p>
            <w:pPr>
              <w:jc w:val="center"/>
            </w:pPr>
            <w:r>
              <w:rPr>
                <w:rFonts w:ascii="Segoe UI" w:hAnsi="Segoe UI"/>
                <w:b/>
                <w:i w:val="0"/>
                <w:color w:val="A76516"/>
                <w:sz w:val="16"/>
              </w:rPr>
              <w:t>In Progress</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Inventory direct posting</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Goods Receipt and Inventory Transfer can retain permissive drafts while applying strict validation only when posting.</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New form → shared mutation → inventory ledger → audit/report.</w:t>
            </w:r>
          </w:p>
        </w:tc>
        <w:tc>
          <w:tcPr>
            <w:tcW w:type="dxa" w:w="1224"/>
            <w:tcMar>
              <w:top w:w="105" w:type="dxa"/>
              <w:start w:w="100" w:type="dxa"/>
              <w:bottom w:w="105" w:type="dxa"/>
              <w:end w:w="100" w:type="dxa"/>
            </w:tcMar>
            <w:vAlign w:val="center"/>
          </w:tcPr>
          <w:p>
            <w:pPr>
              <w:jc w:val="center"/>
            </w:pPr>
            <w:r>
              <w:rPr>
                <w:rFonts w:ascii="Segoe UI" w:hAnsi="Segoe UI"/>
                <w:b/>
                <w:i w:val="0"/>
                <w:color w:val="A76516"/>
                <w:sz w:val="16"/>
              </w:rPr>
              <w:t>In Progress</w:t>
            </w:r>
          </w:p>
        </w:tc>
      </w:tr>
      <w:tr>
        <w:tc>
          <w:tcPr>
            <w:tcW w:type="dxa" w:w="1944"/>
            <w:tcMar>
              <w:top w:w="105" w:type="dxa"/>
              <w:start w:w="100" w:type="dxa"/>
              <w:bottom w:w="105" w:type="dxa"/>
              <w:end w:w="100" w:type="dxa"/>
            </w:tcMar>
            <w:vAlign w:val="center"/>
            <w:shd w:fill="F8FAF8"/>
          </w:tcPr>
          <w:p>
            <w:pPr>
              <w:spacing w:after="0"/>
            </w:pPr>
            <w:r>
              <w:rPr>
                <w:rFonts w:ascii="Segoe UI" w:hAnsi="Segoe UI"/>
                <w:b/>
                <w:i w:val="0"/>
                <w:color w:val="1F2933"/>
                <w:sz w:val="17"/>
              </w:rPr>
              <w:t>Hatchery Process Wizard</w:t>
            </w:r>
          </w:p>
        </w:tc>
        <w:tc>
          <w:tcPr>
            <w:tcW w:type="dxa" w:w="2520"/>
            <w:tcMar>
              <w:top w:w="105" w:type="dxa"/>
              <w:start w:w="100" w:type="dxa"/>
              <w:bottom w:w="105" w:type="dxa"/>
              <w:end w:w="100" w:type="dxa"/>
            </w:tcMar>
            <w:vAlign w:val="center"/>
            <w:shd w:fill="F8FAF8"/>
          </w:tcPr>
          <w:p>
            <w:pPr>
              <w:spacing w:after="0"/>
            </w:pPr>
            <w:r>
              <w:rPr>
                <w:rFonts w:ascii="Segoe UI" w:hAnsi="Segoe UI"/>
                <w:b w:val="0"/>
                <w:i w:val="0"/>
                <w:color w:val="1F2933"/>
                <w:sz w:val="17"/>
              </w:rPr>
              <w:t>New wizard route, API paths, shared data repositories, and form updates across Hatchery steps.</w:t>
            </w:r>
          </w:p>
        </w:tc>
        <w:tc>
          <w:tcPr>
            <w:tcW w:type="dxa" w:w="3528"/>
            <w:tcMar>
              <w:top w:w="105" w:type="dxa"/>
              <w:start w:w="100" w:type="dxa"/>
              <w:bottom w:w="105" w:type="dxa"/>
              <w:end w:w="100" w:type="dxa"/>
            </w:tcMar>
            <w:vAlign w:val="center"/>
            <w:shd w:fill="F8FAF8"/>
          </w:tcPr>
          <w:p>
            <w:pPr>
              <w:spacing w:after="0"/>
            </w:pPr>
            <w:r>
              <w:rPr>
                <w:rFonts w:ascii="Segoe UI" w:hAnsi="Segoe UI"/>
                <w:b w:val="0"/>
                <w:i w:val="0"/>
                <w:color w:val="1F2933"/>
                <w:sz w:val="17"/>
              </w:rPr>
              <w:t>Receiving → Classification → Storage → Pre-Warm → Setter → Transfer → Hatcher → Pullout → DOC Classification/Dispatch.</w:t>
            </w:r>
          </w:p>
        </w:tc>
        <w:tc>
          <w:tcPr>
            <w:tcW w:type="dxa" w:w="1224"/>
            <w:tcMar>
              <w:top w:w="105" w:type="dxa"/>
              <w:start w:w="100" w:type="dxa"/>
              <w:bottom w:w="105" w:type="dxa"/>
              <w:end w:w="100" w:type="dxa"/>
            </w:tcMar>
            <w:vAlign w:val="center"/>
            <w:shd w:fill="F8FAF8"/>
          </w:tcPr>
          <w:p>
            <w:pPr>
              <w:jc w:val="center"/>
            </w:pPr>
            <w:r>
              <w:rPr>
                <w:rFonts w:ascii="Segoe UI" w:hAnsi="Segoe UI"/>
                <w:b/>
                <w:i w:val="0"/>
                <w:color w:val="A76516"/>
                <w:sz w:val="16"/>
              </w:rPr>
              <w:t>In Progress</w:t>
            </w:r>
          </w:p>
        </w:tc>
      </w:tr>
      <w:tr>
        <w:tc>
          <w:tcPr>
            <w:tcW w:type="dxa" w:w="1944"/>
            <w:tcMar>
              <w:top w:w="105" w:type="dxa"/>
              <w:start w:w="100" w:type="dxa"/>
              <w:bottom w:w="105" w:type="dxa"/>
              <w:end w:w="100" w:type="dxa"/>
            </w:tcMar>
            <w:vAlign w:val="center"/>
          </w:tcPr>
          <w:p>
            <w:pPr>
              <w:spacing w:after="0"/>
            </w:pPr>
            <w:r>
              <w:rPr>
                <w:rFonts w:ascii="Segoe UI" w:hAnsi="Segoe UI"/>
                <w:b/>
                <w:i w:val="0"/>
                <w:color w:val="1F2933"/>
                <w:sz w:val="17"/>
              </w:rPr>
              <w:t>Breeder lifecycle expansion</w:t>
            </w:r>
          </w:p>
        </w:tc>
        <w:tc>
          <w:tcPr>
            <w:tcW w:type="dxa" w:w="2520"/>
            <w:tcMar>
              <w:top w:w="105" w:type="dxa"/>
              <w:start w:w="100" w:type="dxa"/>
              <w:bottom w:w="105" w:type="dxa"/>
              <w:end w:w="100" w:type="dxa"/>
            </w:tcMar>
            <w:vAlign w:val="center"/>
          </w:tcPr>
          <w:p>
            <w:pPr>
              <w:spacing w:after="0"/>
            </w:pPr>
            <w:r>
              <w:rPr>
                <w:rFonts w:ascii="Segoe UI" w:hAnsi="Segoe UI"/>
                <w:b w:val="0"/>
                <w:i w:val="0"/>
                <w:color w:val="1F2933"/>
                <w:sz w:val="17"/>
              </w:rPr>
              <w:t>Transfer, history, dispatch print, revised cleanup, and additional card metrics on dev-baja.</w:t>
            </w:r>
          </w:p>
        </w:tc>
        <w:tc>
          <w:tcPr>
            <w:tcW w:type="dxa" w:w="3528"/>
            <w:tcMar>
              <w:top w:w="105" w:type="dxa"/>
              <w:start w:w="100" w:type="dxa"/>
              <w:bottom w:w="105" w:type="dxa"/>
              <w:end w:w="100" w:type="dxa"/>
            </w:tcMar>
            <w:vAlign w:val="center"/>
          </w:tcPr>
          <w:p>
            <w:pPr>
              <w:spacing w:after="0"/>
            </w:pPr>
            <w:r>
              <w:rPr>
                <w:rFonts w:ascii="Segoe UI" w:hAnsi="Segoe UI"/>
                <w:b w:val="0"/>
                <w:i w:val="0"/>
                <w:color w:val="1F2933"/>
                <w:sz w:val="17"/>
              </w:rPr>
              <w:t>Placement/Card → Transfer/History → Dispatch/Cleanup.</w:t>
            </w:r>
          </w:p>
        </w:tc>
        <w:tc>
          <w:tcPr>
            <w:tcW w:type="dxa" w:w="1224"/>
            <w:tcMar>
              <w:top w:w="105" w:type="dxa"/>
              <w:start w:w="100" w:type="dxa"/>
              <w:bottom w:w="105" w:type="dxa"/>
              <w:end w:w="100" w:type="dxa"/>
            </w:tcMar>
            <w:vAlign w:val="center"/>
          </w:tcPr>
          <w:p>
            <w:pPr>
              <w:jc w:val="center"/>
            </w:pPr>
            <w:r>
              <w:rPr>
                <w:rFonts w:ascii="Segoe UI" w:hAnsi="Segoe UI"/>
                <w:b/>
                <w:i w:val="0"/>
                <w:color w:val="A76516"/>
                <w:sz w:val="16"/>
              </w:rPr>
              <w:t>Branch-only</w:t>
            </w:r>
          </w:p>
        </w:tc>
      </w:tr>
      <w:tr>
        <w:tc>
          <w:tcPr>
            <w:tcW w:type="dxa" w:w="1944"/>
            <w:tcMar>
              <w:top w:w="105" w:type="dxa"/>
              <w:start w:w="100" w:type="dxa"/>
              <w:bottom w:w="105" w:type="dxa"/>
              <w:end w:w="100" w:type="dxa"/>
            </w:tcMar>
            <w:vAlign w:val="center"/>
            <w:shd w:fill="F8FAF8"/>
          </w:tcPr>
          <w:p>
            <w:pPr>
              <w:spacing w:after="0"/>
            </w:pPr>
            <w:r>
              <w:rPr>
                <w:rFonts w:ascii="Segoe UI" w:hAnsi="Segoe UI"/>
                <w:b/>
                <w:i w:val="0"/>
                <w:color w:val="1F2933"/>
                <w:sz w:val="17"/>
              </w:rPr>
              <w:t>Week Lock</w:t>
            </w:r>
          </w:p>
        </w:tc>
        <w:tc>
          <w:tcPr>
            <w:tcW w:type="dxa" w:w="2520"/>
            <w:tcMar>
              <w:top w:w="105" w:type="dxa"/>
              <w:start w:w="100" w:type="dxa"/>
              <w:bottom w:w="105" w:type="dxa"/>
              <w:end w:w="100" w:type="dxa"/>
            </w:tcMar>
            <w:vAlign w:val="center"/>
            <w:shd w:fill="F8FAF8"/>
          </w:tcPr>
          <w:p>
            <w:pPr>
              <w:spacing w:after="0"/>
            </w:pPr>
            <w:r>
              <w:rPr>
                <w:rFonts w:ascii="Segoe UI" w:hAnsi="Segoe UI"/>
                <w:b w:val="0"/>
                <w:i w:val="0"/>
                <w:color w:val="1F2933"/>
                <w:sz w:val="17"/>
              </w:rPr>
              <w:t>Administrative period-lock capability on dev-cris.</w:t>
            </w:r>
          </w:p>
        </w:tc>
        <w:tc>
          <w:tcPr>
            <w:tcW w:type="dxa" w:w="3528"/>
            <w:tcMar>
              <w:top w:w="105" w:type="dxa"/>
              <w:start w:w="100" w:type="dxa"/>
              <w:bottom w:w="105" w:type="dxa"/>
              <w:end w:w="100" w:type="dxa"/>
            </w:tcMar>
            <w:vAlign w:val="center"/>
            <w:shd w:fill="F8FAF8"/>
          </w:tcPr>
          <w:p>
            <w:pPr>
              <w:spacing w:after="0"/>
            </w:pPr>
            <w:r>
              <w:rPr>
                <w:rFonts w:ascii="Segoe UI" w:hAnsi="Segoe UI"/>
                <w:b w:val="0"/>
                <w:i w:val="0"/>
                <w:color w:val="1F2933"/>
                <w:sz w:val="17"/>
              </w:rPr>
              <w:t>Would govern which documents can be changed within a locked week.</w:t>
            </w:r>
          </w:p>
        </w:tc>
        <w:tc>
          <w:tcPr>
            <w:tcW w:type="dxa" w:w="1224"/>
            <w:tcMar>
              <w:top w:w="105" w:type="dxa"/>
              <w:start w:w="100" w:type="dxa"/>
              <w:bottom w:w="105" w:type="dxa"/>
              <w:end w:w="100" w:type="dxa"/>
            </w:tcMar>
            <w:vAlign w:val="center"/>
            <w:shd w:fill="F8FAF8"/>
          </w:tcPr>
          <w:p>
            <w:pPr>
              <w:jc w:val="center"/>
            </w:pPr>
            <w:r>
              <w:rPr>
                <w:rFonts w:ascii="Segoe UI" w:hAnsi="Segoe UI"/>
                <w:b/>
                <w:i w:val="0"/>
                <w:color w:val="A76516"/>
                <w:sz w:val="16"/>
              </w:rPr>
              <w:t>Branch-only</w:t>
            </w:r>
          </w:p>
        </w:tc>
      </w:tr>
    </w:tbl>
    <w:p>
      <w:pPr>
        <w:spacing w:after="0"/>
      </w:pPr>
    </w:p>
    <w:p>
      <w:r>
        <w:br w:type="page"/>
      </w:r>
    </w:p>
    <w:p>
      <w:pPr>
        <w:spacing w:after="40"/>
      </w:pPr>
      <w:r>
        <w:rPr>
          <w:rFonts w:ascii="Bahnschrift" w:hAnsi="Bahnschrift"/>
          <w:b/>
          <w:i w:val="0"/>
          <w:color w:val="9B7B1B"/>
          <w:sz w:val="17"/>
        </w:rPr>
        <w:t>MANAGEMENT VIEW</w:t>
      </w:r>
    </w:p>
    <w:p>
      <w:pPr>
        <w:pStyle w:val="Heading1"/>
        <w:keepNext/>
        <w:spacing w:before="240" w:after="120"/>
      </w:pPr>
      <w:r>
        <w:rPr>
          <w:rFonts w:ascii="Bahnschrift" w:hAnsi="Bahnschrift"/>
          <w:b/>
          <w:color w:val="144D32"/>
          <w:sz w:val="40"/>
        </w:rPr>
        <w:t>Delivery confidence and principal risks</w:t>
      </w:r>
    </w:p>
    <w:tbl>
      <w:tblPr>
        <w:tblW w:type="auto" w:w="0"/>
        <w:tblLayout w:type="fixed"/>
        <w:tblLook w:firstColumn="1" w:firstRow="1" w:lastColumn="0" w:lastRow="0" w:noHBand="0" w:noVBand="1" w:val="04A0"/>
      </w:tblPr>
      <w:tblGrid>
        <w:gridCol w:w="3389"/>
        <w:gridCol w:w="3389"/>
        <w:gridCol w:w="3389"/>
      </w:tblGrid>
      <w:tr>
        <w:trPr>
          <w:tblHeader w:val="true"/>
        </w:trPr>
        <w:tc>
          <w:tcPr>
            <w:tcW w:type="dxa" w:w="1872"/>
            <w:shd w:fill="144D32"/>
            <w:tcMar>
              <w:top w:w="100" w:type="dxa"/>
              <w:start w:w="100" w:type="dxa"/>
              <w:bottom w:w="100" w:type="dxa"/>
              <w:end w:w="100" w:type="dxa"/>
            </w:tcMar>
          </w:tcPr>
          <w:p>
            <w:r>
              <w:rPr>
                <w:rFonts w:ascii="Bahnschrift" w:hAnsi="Bahnschrift"/>
                <w:b/>
                <w:i w:val="0"/>
                <w:color w:val="FFFFFF"/>
                <w:sz w:val="17"/>
              </w:rPr>
              <w:t>Risk</w:t>
            </w:r>
          </w:p>
        </w:tc>
        <w:tc>
          <w:tcPr>
            <w:tcW w:type="dxa" w:w="3528"/>
            <w:shd w:fill="144D32"/>
            <w:tcMar>
              <w:top w:w="100" w:type="dxa"/>
              <w:start w:w="100" w:type="dxa"/>
              <w:bottom w:w="100" w:type="dxa"/>
              <w:end w:w="100" w:type="dxa"/>
            </w:tcMar>
          </w:tcPr>
          <w:p>
            <w:r>
              <w:rPr>
                <w:rFonts w:ascii="Bahnschrift" w:hAnsi="Bahnschrift"/>
                <w:b/>
                <w:i w:val="0"/>
                <w:color w:val="FFFFFF"/>
                <w:sz w:val="17"/>
              </w:rPr>
              <w:t>Why it matters</w:t>
            </w:r>
          </w:p>
        </w:tc>
        <w:tc>
          <w:tcPr>
            <w:tcW w:type="dxa" w:w="3816"/>
            <w:shd w:fill="144D32"/>
            <w:tcMar>
              <w:top w:w="100" w:type="dxa"/>
              <w:start w:w="100" w:type="dxa"/>
              <w:bottom w:w="100" w:type="dxa"/>
              <w:end w:w="100" w:type="dxa"/>
            </w:tcMar>
          </w:tcPr>
          <w:p>
            <w:r>
              <w:rPr>
                <w:rFonts w:ascii="Bahnschrift" w:hAnsi="Bahnschrift"/>
                <w:b/>
                <w:i w:val="0"/>
                <w:color w:val="FFFFFF"/>
                <w:sz w:val="17"/>
              </w:rPr>
              <w:t>Recommended control</w:t>
            </w:r>
          </w:p>
        </w:tc>
      </w:tr>
      <w:tr>
        <w:tc>
          <w:tcPr>
            <w:tcW w:type="dxa" w:w="1872"/>
            <w:tcMar>
              <w:top w:w="105" w:type="dxa"/>
              <w:start w:w="100" w:type="dxa"/>
              <w:bottom w:w="105" w:type="dxa"/>
              <w:end w:w="100" w:type="dxa"/>
            </w:tcMar>
          </w:tcPr>
          <w:p>
            <w:r>
              <w:rPr>
                <w:rFonts w:ascii="Segoe UI" w:hAnsi="Segoe UI"/>
                <w:b/>
                <w:i w:val="0"/>
                <w:color w:val="1F2933"/>
                <w:sz w:val="17"/>
              </w:rPr>
              <w:t>Deployment evidence gap</w:t>
            </w:r>
          </w:p>
        </w:tc>
        <w:tc>
          <w:tcPr>
            <w:tcW w:type="dxa" w:w="3528"/>
            <w:tcMar>
              <w:top w:w="105" w:type="dxa"/>
              <w:start w:w="100" w:type="dxa"/>
              <w:bottom w:w="105" w:type="dxa"/>
              <w:end w:w="100" w:type="dxa"/>
            </w:tcMar>
          </w:tcPr>
          <w:p>
            <w:r>
              <w:rPr>
                <w:rFonts w:ascii="Segoe UI" w:hAnsi="Segoe UI"/>
                <w:b w:val="0"/>
                <w:i w:val="0"/>
                <w:color w:val="1F2933"/>
                <w:sz w:val="17"/>
              </w:rPr>
              <w:t>Several checked-in SQL/RPC changes are not confirmed as applied to Supabase; repository success should not be reported as production success.</w:t>
            </w:r>
          </w:p>
        </w:tc>
        <w:tc>
          <w:tcPr>
            <w:tcW w:type="dxa" w:w="3816"/>
            <w:tcMar>
              <w:top w:w="105" w:type="dxa"/>
              <w:start w:w="100" w:type="dxa"/>
              <w:bottom w:w="105" w:type="dxa"/>
              <w:end w:w="100" w:type="dxa"/>
            </w:tcMar>
          </w:tcPr>
          <w:p>
            <w:r>
              <w:rPr>
                <w:rFonts w:ascii="Segoe UI" w:hAnsi="Segoe UI"/>
                <w:b w:val="0"/>
                <w:i w:val="0"/>
                <w:color w:val="1F2933"/>
                <w:sz w:val="17"/>
              </w:rPr>
              <w:t>Create a migration register with environment, owner, execution date, rollback, and smoke-test evidence.</w:t>
            </w:r>
          </w:p>
        </w:tc>
      </w:tr>
      <w:tr>
        <w:tc>
          <w:tcPr>
            <w:tcW w:type="dxa" w:w="1872"/>
            <w:tcMar>
              <w:top w:w="105" w:type="dxa"/>
              <w:start w:w="100" w:type="dxa"/>
              <w:bottom w:w="105" w:type="dxa"/>
              <w:end w:w="100" w:type="dxa"/>
            </w:tcMar>
            <w:shd w:fill="F8FAF8"/>
          </w:tcPr>
          <w:p>
            <w:r>
              <w:rPr>
                <w:rFonts w:ascii="Segoe UI" w:hAnsi="Segoe UI"/>
                <w:b/>
                <w:i w:val="0"/>
                <w:color w:val="1F2933"/>
                <w:sz w:val="17"/>
              </w:rPr>
              <w:t>Branch and worktree concentration</w:t>
            </w:r>
          </w:p>
        </w:tc>
        <w:tc>
          <w:tcPr>
            <w:tcW w:type="dxa" w:w="3528"/>
            <w:tcMar>
              <w:top w:w="105" w:type="dxa"/>
              <w:start w:w="100" w:type="dxa"/>
              <w:bottom w:w="105" w:type="dxa"/>
              <w:end w:w="100" w:type="dxa"/>
            </w:tcMar>
            <w:shd w:fill="F8FAF8"/>
          </w:tcPr>
          <w:p>
            <w:r>
              <w:rPr>
                <w:rFonts w:ascii="Segoe UI" w:hAnsi="Segoe UI"/>
                <w:b w:val="0"/>
                <w:i w:val="0"/>
                <w:color w:val="1F2933"/>
                <w:sz w:val="17"/>
              </w:rPr>
              <w:t>Material Breeder work is branch-only and current local work spans many modules, increasing integration and regression risk.</w:t>
            </w:r>
          </w:p>
        </w:tc>
        <w:tc>
          <w:tcPr>
            <w:tcW w:type="dxa" w:w="3816"/>
            <w:tcMar>
              <w:top w:w="105" w:type="dxa"/>
              <w:start w:w="100" w:type="dxa"/>
              <w:bottom w:w="105" w:type="dxa"/>
              <w:end w:w="100" w:type="dxa"/>
            </w:tcMar>
            <w:shd w:fill="F8FAF8"/>
          </w:tcPr>
          <w:p>
            <w:r>
              <w:rPr>
                <w:rFonts w:ascii="Segoe UI" w:hAnsi="Segoe UI"/>
                <w:b w:val="0"/>
                <w:i w:val="0"/>
                <w:color w:val="1F2933"/>
                <w:sz w:val="17"/>
              </w:rPr>
              <w:t>Package work into smaller PRs by FMS/module and merge behind a documented release train.</w:t>
            </w:r>
          </w:p>
        </w:tc>
      </w:tr>
      <w:tr>
        <w:tc>
          <w:tcPr>
            <w:tcW w:type="dxa" w:w="1872"/>
            <w:tcMar>
              <w:top w:w="105" w:type="dxa"/>
              <w:start w:w="100" w:type="dxa"/>
              <w:bottom w:w="105" w:type="dxa"/>
              <w:end w:w="100" w:type="dxa"/>
            </w:tcMar>
          </w:tcPr>
          <w:p>
            <w:r>
              <w:rPr>
                <w:rFonts w:ascii="Segoe UI" w:hAnsi="Segoe UI"/>
                <w:b/>
                <w:i w:val="0"/>
                <w:color w:val="1F2933"/>
                <w:sz w:val="17"/>
              </w:rPr>
              <w:t>Live workflow verification</w:t>
            </w:r>
          </w:p>
        </w:tc>
        <w:tc>
          <w:tcPr>
            <w:tcW w:type="dxa" w:w="3528"/>
            <w:tcMar>
              <w:top w:w="105" w:type="dxa"/>
              <w:start w:w="100" w:type="dxa"/>
              <w:bottom w:w="105" w:type="dxa"/>
              <w:end w:w="100" w:type="dxa"/>
            </w:tcMar>
          </w:tcPr>
          <w:p>
            <w:r>
              <w:rPr>
                <w:rFonts w:ascii="Segoe UI" w:hAnsi="Segoe UI"/>
                <w:b w:val="0"/>
                <w:i w:val="0"/>
                <w:color w:val="1F2933"/>
                <w:sz w:val="17"/>
              </w:rPr>
              <w:t>Static TypeScript/lint checks are common; browser, login, permissions, concurrency, and ledger reconciliation are not consistently evidenced.</w:t>
            </w:r>
          </w:p>
        </w:tc>
        <w:tc>
          <w:tcPr>
            <w:tcW w:type="dxa" w:w="3816"/>
            <w:tcMar>
              <w:top w:w="105" w:type="dxa"/>
              <w:start w:w="100" w:type="dxa"/>
              <w:bottom w:w="105" w:type="dxa"/>
              <w:end w:w="100" w:type="dxa"/>
            </w:tcMar>
          </w:tcPr>
          <w:p>
            <w:r>
              <w:rPr>
                <w:rFonts w:ascii="Segoe UI" w:hAnsi="Segoe UI"/>
                <w:b w:val="0"/>
                <w:i w:val="0"/>
                <w:color w:val="1F2933"/>
                <w:sz w:val="17"/>
              </w:rPr>
              <w:t>Adopt a release checklist covering role-based login, farm scope, draft/post/void, batch/on-hand, report reconciliation, and browser QA.</w:t>
            </w:r>
          </w:p>
        </w:tc>
      </w:tr>
      <w:tr>
        <w:tc>
          <w:tcPr>
            <w:tcW w:type="dxa" w:w="1872"/>
            <w:tcMar>
              <w:top w:w="105" w:type="dxa"/>
              <w:start w:w="100" w:type="dxa"/>
              <w:bottom w:w="105" w:type="dxa"/>
              <w:end w:w="100" w:type="dxa"/>
            </w:tcMar>
            <w:shd w:fill="F8FAF8"/>
          </w:tcPr>
          <w:p>
            <w:r>
              <w:rPr>
                <w:rFonts w:ascii="Segoe UI" w:hAnsi="Segoe UI"/>
                <w:b/>
                <w:i w:val="0"/>
                <w:color w:val="1F2933"/>
                <w:sz w:val="17"/>
              </w:rPr>
              <w:t>Notification activation</w:t>
            </w:r>
          </w:p>
        </w:tc>
        <w:tc>
          <w:tcPr>
            <w:tcW w:type="dxa" w:w="3528"/>
            <w:tcMar>
              <w:top w:w="105" w:type="dxa"/>
              <w:start w:w="100" w:type="dxa"/>
              <w:bottom w:w="105" w:type="dxa"/>
              <w:end w:w="100" w:type="dxa"/>
            </w:tcMar>
            <w:shd w:fill="F8FAF8"/>
          </w:tcPr>
          <w:p>
            <w:r>
              <w:rPr>
                <w:rFonts w:ascii="Segoe UI" w:hAnsi="Segoe UI"/>
                <w:b w:val="0"/>
                <w:i w:val="0"/>
                <w:color w:val="1F2933"/>
                <w:sz w:val="17"/>
              </w:rPr>
              <w:t>Central architecture exists, but email provider authentication failed in prior live testing and some modules still have farm-identity gaps.</w:t>
            </w:r>
          </w:p>
        </w:tc>
        <w:tc>
          <w:tcPr>
            <w:tcW w:type="dxa" w:w="3816"/>
            <w:tcMar>
              <w:top w:w="105" w:type="dxa"/>
              <w:start w:w="100" w:type="dxa"/>
              <w:bottom w:w="105" w:type="dxa"/>
              <w:end w:w="100" w:type="dxa"/>
            </w:tcMar>
            <w:shd w:fill="F8FAF8"/>
          </w:tcPr>
          <w:p>
            <w:r>
              <w:rPr>
                <w:rFonts w:ascii="Segoe UI" w:hAnsi="Segoe UI"/>
                <w:b w:val="0"/>
                <w:i w:val="0"/>
                <w:color w:val="1F2933"/>
                <w:sz w:val="17"/>
              </w:rPr>
              <w:t>Complete canonical farm-ID audit, deploy outbox SQL, configure provider credentials, and verify no-rule safe no-op plus retry deduplication.</w:t>
            </w:r>
          </w:p>
        </w:tc>
      </w:tr>
      <w:tr>
        <w:tc>
          <w:tcPr>
            <w:tcW w:type="dxa" w:w="1872"/>
            <w:tcMar>
              <w:top w:w="105" w:type="dxa"/>
              <w:start w:w="100" w:type="dxa"/>
              <w:bottom w:w="105" w:type="dxa"/>
              <w:end w:w="100" w:type="dxa"/>
            </w:tcMar>
          </w:tcPr>
          <w:p>
            <w:r>
              <w:rPr>
                <w:rFonts w:ascii="Segoe UI" w:hAnsi="Segoe UI"/>
                <w:b/>
                <w:i w:val="0"/>
                <w:color w:val="1F2933"/>
                <w:sz w:val="17"/>
              </w:rPr>
              <w:t>Change traceability</w:t>
            </w:r>
          </w:p>
        </w:tc>
        <w:tc>
          <w:tcPr>
            <w:tcW w:type="dxa" w:w="3528"/>
            <w:tcMar>
              <w:top w:w="105" w:type="dxa"/>
              <w:start w:w="100" w:type="dxa"/>
              <w:bottom w:w="105" w:type="dxa"/>
              <w:end w:w="100" w:type="dxa"/>
            </w:tcMar>
          </w:tcPr>
          <w:p>
            <w:r>
              <w:rPr>
                <w:rFonts w:ascii="Segoe UI" w:hAnsi="Segoe UI"/>
                <w:b w:val="0"/>
                <w:i w:val="0"/>
                <w:color w:val="1F2933"/>
                <w:sz w:val="17"/>
              </w:rPr>
              <w:t>Several commits have low-information subjects such as dates, letters, or 'build', making executive and release reconstruction difficult.</w:t>
            </w:r>
          </w:p>
        </w:tc>
        <w:tc>
          <w:tcPr>
            <w:tcW w:type="dxa" w:w="3816"/>
            <w:tcMar>
              <w:top w:w="105" w:type="dxa"/>
              <w:start w:w="100" w:type="dxa"/>
              <w:bottom w:w="105" w:type="dxa"/>
              <w:end w:w="100" w:type="dxa"/>
            </w:tcMar>
          </w:tcPr>
          <w:p>
            <w:r>
              <w:rPr>
                <w:rFonts w:ascii="Segoe UI" w:hAnsi="Segoe UI"/>
                <w:b w:val="0"/>
                <w:i w:val="0"/>
                <w:color w:val="1F2933"/>
                <w:sz w:val="17"/>
              </w:rPr>
              <w:t>Require PR titles and commit subjects to name FMS, module, action, and business outcome.</w:t>
            </w:r>
          </w:p>
        </w:tc>
      </w:tr>
      <w:tr>
        <w:tc>
          <w:tcPr>
            <w:tcW w:type="dxa" w:w="1872"/>
            <w:tcMar>
              <w:top w:w="105" w:type="dxa"/>
              <w:start w:w="100" w:type="dxa"/>
              <w:bottom w:w="105" w:type="dxa"/>
              <w:end w:w="100" w:type="dxa"/>
            </w:tcMar>
            <w:shd w:fill="F8FAF8"/>
          </w:tcPr>
          <w:p>
            <w:r>
              <w:rPr>
                <w:rFonts w:ascii="Segoe UI" w:hAnsi="Segoe UI"/>
                <w:b/>
                <w:i w:val="0"/>
                <w:color w:val="1F2933"/>
                <w:sz w:val="17"/>
              </w:rPr>
              <w:t>Data-contract drift</w:t>
            </w:r>
          </w:p>
        </w:tc>
        <w:tc>
          <w:tcPr>
            <w:tcW w:type="dxa" w:w="3528"/>
            <w:tcMar>
              <w:top w:w="105" w:type="dxa"/>
              <w:start w:w="100" w:type="dxa"/>
              <w:bottom w:w="105" w:type="dxa"/>
              <w:end w:w="100" w:type="dxa"/>
            </w:tcMar>
            <w:shd w:fill="F8FAF8"/>
          </w:tcPr>
          <w:p>
            <w:r>
              <w:rPr>
                <w:rFonts w:ascii="Segoe UI" w:hAnsi="Segoe UI"/>
                <w:b w:val="0"/>
                <w:i w:val="0"/>
                <w:color w:val="1F2933"/>
                <w:sz w:val="17"/>
              </w:rPr>
              <w:t>Legacy names and routes can obscure business meaning, especially Hatchery Receiving versus Broiler DOC Placement.</w:t>
            </w:r>
          </w:p>
        </w:tc>
        <w:tc>
          <w:tcPr>
            <w:tcW w:type="dxa" w:w="3816"/>
            <w:tcMar>
              <w:top w:w="105" w:type="dxa"/>
              <w:start w:w="100" w:type="dxa"/>
              <w:bottom w:w="105" w:type="dxa"/>
              <w:end w:w="100" w:type="dxa"/>
            </w:tcMar>
            <w:shd w:fill="F8FAF8"/>
          </w:tcPr>
          <w:p>
            <w:r>
              <w:rPr>
                <w:rFonts w:ascii="Segoe UI" w:hAnsi="Segoe UI"/>
                <w:b w:val="0"/>
                <w:i w:val="0"/>
                <w:color w:val="1F2933"/>
                <w:sz w:val="17"/>
              </w:rPr>
              <w:t>Maintain a canonical module catalog with business label, route, owner, settings module, tables/RPCs, and notification keys.</w:t>
            </w:r>
          </w:p>
        </w:tc>
      </w:tr>
    </w:tbl>
    <w:p>
      <w:r>
        <w:br w:type="page"/>
      </w:r>
    </w:p>
    <w:p>
      <w:pPr>
        <w:spacing w:after="40"/>
      </w:pPr>
      <w:r>
        <w:rPr>
          <w:rFonts w:ascii="Bahnschrift" w:hAnsi="Bahnschrift"/>
          <w:b/>
          <w:i w:val="0"/>
          <w:color w:val="9B7B1B"/>
          <w:sz w:val="17"/>
        </w:rPr>
        <w:t>NEXT 30–60 DAYS</w:t>
      </w:r>
    </w:p>
    <w:p>
      <w:pPr>
        <w:pStyle w:val="Heading1"/>
        <w:keepNext/>
        <w:spacing w:before="240" w:after="120"/>
      </w:pPr>
      <w:r>
        <w:rPr>
          <w:rFonts w:ascii="Bahnschrift" w:hAnsi="Bahnschrift"/>
          <w:b/>
          <w:color w:val="144D32"/>
          <w:sz w:val="40"/>
        </w:rPr>
        <w:t>Recommended CEO priorities</w:t>
      </w:r>
    </w:p>
    <w:tbl>
      <w:tblPr>
        <w:tblW w:type="auto" w:w="0"/>
        <w:tblLayout w:type="fixed"/>
        <w:tblLook w:firstColumn="1" w:firstRow="1" w:lastColumn="0" w:lastRow="0" w:noHBand="0" w:noVBand="1" w:val="04A0"/>
      </w:tblPr>
      <w:tblGrid>
        <w:gridCol w:w="5083"/>
        <w:gridCol w:w="5083"/>
      </w:tblGrid>
      <w:tr>
        <w:tc>
          <w:tcPr>
            <w:tcW w:type="dxa" w:w="691"/>
            <w:shd w:fill="9B7B1B"/>
            <w:tcMar>
              <w:top w:w="100" w:type="dxa"/>
              <w:start w:w="80" w:type="dxa"/>
              <w:bottom w:w="100" w:type="dxa"/>
              <w:end w:w="80" w:type="dxa"/>
            </w:tcMar>
          </w:tcPr>
          <w:p>
            <w:pPr>
              <w:jc w:val="center"/>
            </w:pPr>
            <w:r>
              <w:rPr>
                <w:rFonts w:ascii="Bahnschrift" w:hAnsi="Bahnschrift"/>
                <w:b/>
                <w:i w:val="0"/>
                <w:color w:val="FFFFFF"/>
                <w:sz w:val="30"/>
              </w:rPr>
              <w:t>1</w:t>
            </w:r>
          </w:p>
        </w:tc>
        <w:tc>
          <w:tcPr>
            <w:tcW w:type="dxa" w:w="8568"/>
            <w:shd w:fill="F2F6F3"/>
            <w:tcMar>
              <w:top w:w="105" w:type="dxa"/>
              <w:start w:w="130" w:type="dxa"/>
              <w:bottom w:w="105" w:type="dxa"/>
              <w:end w:w="130" w:type="dxa"/>
            </w:tcMar>
          </w:tcPr>
          <w:p>
            <w:pPr>
              <w:spacing w:after="40"/>
            </w:pPr>
            <w:r>
              <w:rPr>
                <w:rFonts w:ascii="Bahnschrift" w:hAnsi="Bahnschrift"/>
                <w:b/>
                <w:i w:val="0"/>
                <w:color w:val="144D32"/>
                <w:sz w:val="21"/>
              </w:rPr>
              <w:t>Stabilize one release baseline</w:t>
            </w:r>
          </w:p>
          <w:p>
            <w:pPr>
              <w:spacing w:after="0"/>
            </w:pPr>
            <w:r>
              <w:rPr>
                <w:rFonts w:ascii="Segoe UI" w:hAnsi="Segoe UI"/>
                <w:b w:val="0"/>
                <w:i w:val="0"/>
                <w:color w:val="1F2933"/>
                <w:sz w:val="18"/>
              </w:rPr>
              <w:t>Freeze a named release candidate from dev-main, merge approved branch work, and separate unfinished local changes into module-scoped PRs.</w:t>
            </w:r>
          </w:p>
        </w:tc>
      </w:tr>
    </w:tbl>
    <w:p>
      <w:pPr>
        <w:spacing w:after="0"/>
      </w:pPr>
    </w:p>
    <w:tbl>
      <w:tblPr>
        <w:tblW w:type="auto" w:w="0"/>
        <w:tblLayout w:type="fixed"/>
        <w:tblLook w:firstColumn="1" w:firstRow="1" w:lastColumn="0" w:lastRow="0" w:noHBand="0" w:noVBand="1" w:val="04A0"/>
      </w:tblPr>
      <w:tblGrid>
        <w:gridCol w:w="5083"/>
        <w:gridCol w:w="5083"/>
      </w:tblGrid>
      <w:tr>
        <w:tc>
          <w:tcPr>
            <w:tcW w:type="dxa" w:w="691"/>
            <w:shd w:fill="9B7B1B"/>
            <w:tcMar>
              <w:top w:w="100" w:type="dxa"/>
              <w:start w:w="80" w:type="dxa"/>
              <w:bottom w:w="100" w:type="dxa"/>
              <w:end w:w="80" w:type="dxa"/>
            </w:tcMar>
          </w:tcPr>
          <w:p>
            <w:pPr>
              <w:jc w:val="center"/>
            </w:pPr>
            <w:r>
              <w:rPr>
                <w:rFonts w:ascii="Bahnschrift" w:hAnsi="Bahnschrift"/>
                <w:b/>
                <w:i w:val="0"/>
                <w:color w:val="FFFFFF"/>
                <w:sz w:val="30"/>
              </w:rPr>
              <w:t>2</w:t>
            </w:r>
          </w:p>
        </w:tc>
        <w:tc>
          <w:tcPr>
            <w:tcW w:type="dxa" w:w="8568"/>
            <w:shd w:fill="F7F3E5"/>
            <w:tcMar>
              <w:top w:w="105" w:type="dxa"/>
              <w:start w:w="130" w:type="dxa"/>
              <w:bottom w:w="105" w:type="dxa"/>
              <w:end w:w="130" w:type="dxa"/>
            </w:tcMar>
          </w:tcPr>
          <w:p>
            <w:pPr>
              <w:spacing w:after="40"/>
            </w:pPr>
            <w:r>
              <w:rPr>
                <w:rFonts w:ascii="Bahnschrift" w:hAnsi="Bahnschrift"/>
                <w:b/>
                <w:i w:val="0"/>
                <w:color w:val="144D32"/>
                <w:sz w:val="21"/>
              </w:rPr>
              <w:t>Prove production readiness</w:t>
            </w:r>
          </w:p>
          <w:p>
            <w:pPr>
              <w:spacing w:after="0"/>
            </w:pPr>
            <w:r>
              <w:rPr>
                <w:rFonts w:ascii="Segoe UI" w:hAnsi="Segoe UI"/>
                <w:b w:val="0"/>
                <w:i w:val="0"/>
                <w:color w:val="1F2933"/>
                <w:sz w:val="18"/>
              </w:rPr>
              <w:t>Apply and register migrations, run role/farm/browser smoke tests, reconcile ledger totals, and capture deployment evidence per module.</w:t>
            </w:r>
          </w:p>
        </w:tc>
      </w:tr>
    </w:tbl>
    <w:p>
      <w:pPr>
        <w:spacing w:after="0"/>
      </w:pPr>
    </w:p>
    <w:tbl>
      <w:tblPr>
        <w:tblW w:type="auto" w:w="0"/>
        <w:tblLayout w:type="fixed"/>
        <w:tblLook w:firstColumn="1" w:firstRow="1" w:lastColumn="0" w:lastRow="0" w:noHBand="0" w:noVBand="1" w:val="04A0"/>
      </w:tblPr>
      <w:tblGrid>
        <w:gridCol w:w="5083"/>
        <w:gridCol w:w="5083"/>
      </w:tblGrid>
      <w:tr>
        <w:tc>
          <w:tcPr>
            <w:tcW w:type="dxa" w:w="691"/>
            <w:shd w:fill="9B7B1B"/>
            <w:tcMar>
              <w:top w:w="100" w:type="dxa"/>
              <w:start w:w="80" w:type="dxa"/>
              <w:bottom w:w="100" w:type="dxa"/>
              <w:end w:w="80" w:type="dxa"/>
            </w:tcMar>
          </w:tcPr>
          <w:p>
            <w:pPr>
              <w:jc w:val="center"/>
            </w:pPr>
            <w:r>
              <w:rPr>
                <w:rFonts w:ascii="Bahnschrift" w:hAnsi="Bahnschrift"/>
                <w:b/>
                <w:i w:val="0"/>
                <w:color w:val="FFFFFF"/>
                <w:sz w:val="30"/>
              </w:rPr>
              <w:t>3</w:t>
            </w:r>
          </w:p>
        </w:tc>
        <w:tc>
          <w:tcPr>
            <w:tcW w:type="dxa" w:w="8568"/>
            <w:shd w:fill="F2F6F3"/>
            <w:tcMar>
              <w:top w:w="105" w:type="dxa"/>
              <w:start w:w="130" w:type="dxa"/>
              <w:bottom w:w="105" w:type="dxa"/>
              <w:end w:w="130" w:type="dxa"/>
            </w:tcMar>
          </w:tcPr>
          <w:p>
            <w:pPr>
              <w:spacing w:after="40"/>
            </w:pPr>
            <w:r>
              <w:rPr>
                <w:rFonts w:ascii="Bahnschrift" w:hAnsi="Bahnschrift"/>
                <w:b/>
                <w:i w:val="0"/>
                <w:color w:val="144D32"/>
                <w:sz w:val="21"/>
              </w:rPr>
              <w:t>Finish the connected Broiler lifecycle</w:t>
            </w:r>
          </w:p>
          <w:p>
            <w:pPr>
              <w:spacing w:after="0"/>
            </w:pPr>
            <w:r>
              <w:rPr>
                <w:rFonts w:ascii="Segoe UI" w:hAnsi="Segoe UI"/>
                <w:b w:val="0"/>
                <w:i w:val="0"/>
                <w:color w:val="1F2933"/>
                <w:sz w:val="18"/>
              </w:rPr>
              <w:t>Validate DOC Placement → Flock Card → Harvest &amp; Delivery → Clean up → Cycle Master with real farm, building, batch, and warehouse data.</w:t>
            </w:r>
          </w:p>
        </w:tc>
      </w:tr>
    </w:tbl>
    <w:p>
      <w:pPr>
        <w:spacing w:after="0"/>
      </w:pPr>
    </w:p>
    <w:tbl>
      <w:tblPr>
        <w:tblW w:type="auto" w:w="0"/>
        <w:tblLayout w:type="fixed"/>
        <w:tblLook w:firstColumn="1" w:firstRow="1" w:lastColumn="0" w:lastRow="0" w:noHBand="0" w:noVBand="1" w:val="04A0"/>
      </w:tblPr>
      <w:tblGrid>
        <w:gridCol w:w="5083"/>
        <w:gridCol w:w="5083"/>
      </w:tblGrid>
      <w:tr>
        <w:tc>
          <w:tcPr>
            <w:tcW w:type="dxa" w:w="691"/>
            <w:shd w:fill="9B7B1B"/>
            <w:tcMar>
              <w:top w:w="100" w:type="dxa"/>
              <w:start w:w="80" w:type="dxa"/>
              <w:bottom w:w="100" w:type="dxa"/>
              <w:end w:w="80" w:type="dxa"/>
            </w:tcMar>
          </w:tcPr>
          <w:p>
            <w:pPr>
              <w:jc w:val="center"/>
            </w:pPr>
            <w:r>
              <w:rPr>
                <w:rFonts w:ascii="Bahnschrift" w:hAnsi="Bahnschrift"/>
                <w:b/>
                <w:i w:val="0"/>
                <w:color w:val="FFFFFF"/>
                <w:sz w:val="30"/>
              </w:rPr>
              <w:t>4</w:t>
            </w:r>
          </w:p>
        </w:tc>
        <w:tc>
          <w:tcPr>
            <w:tcW w:type="dxa" w:w="8568"/>
            <w:shd w:fill="F7F3E5"/>
            <w:tcMar>
              <w:top w:w="105" w:type="dxa"/>
              <w:start w:w="130" w:type="dxa"/>
              <w:bottom w:w="105" w:type="dxa"/>
              <w:end w:w="130" w:type="dxa"/>
            </w:tcMar>
          </w:tcPr>
          <w:p>
            <w:pPr>
              <w:spacing w:after="40"/>
            </w:pPr>
            <w:r>
              <w:rPr>
                <w:rFonts w:ascii="Bahnschrift" w:hAnsi="Bahnschrift"/>
                <w:b/>
                <w:i w:val="0"/>
                <w:color w:val="144D32"/>
                <w:sz w:val="21"/>
              </w:rPr>
              <w:t>Operationalize the notification platform</w:t>
            </w:r>
          </w:p>
          <w:p>
            <w:pPr>
              <w:spacing w:after="0"/>
            </w:pPr>
            <w:r>
              <w:rPr>
                <w:rFonts w:ascii="Segoe UI" w:hAnsi="Segoe UI"/>
                <w:b w:val="0"/>
                <w:i w:val="0"/>
                <w:color w:val="1F2933"/>
                <w:sz w:val="18"/>
              </w:rPr>
              <w:t>Complete farm identity, provider configuration, event activation, permission checks, safe no-op, retry, and deduplication verification.</w:t>
            </w:r>
          </w:p>
        </w:tc>
      </w:tr>
    </w:tbl>
    <w:p>
      <w:pPr>
        <w:spacing w:after="0"/>
      </w:pPr>
    </w:p>
    <w:tbl>
      <w:tblPr>
        <w:tblW w:type="auto" w:w="0"/>
        <w:tblLayout w:type="fixed"/>
        <w:tblLook w:firstColumn="1" w:firstRow="1" w:lastColumn="0" w:lastRow="0" w:noHBand="0" w:noVBand="1" w:val="04A0"/>
      </w:tblPr>
      <w:tblGrid>
        <w:gridCol w:w="5083"/>
        <w:gridCol w:w="5083"/>
      </w:tblGrid>
      <w:tr>
        <w:tc>
          <w:tcPr>
            <w:tcW w:type="dxa" w:w="691"/>
            <w:shd w:fill="9B7B1B"/>
            <w:tcMar>
              <w:top w:w="100" w:type="dxa"/>
              <w:start w:w="80" w:type="dxa"/>
              <w:bottom w:w="100" w:type="dxa"/>
              <w:end w:w="80" w:type="dxa"/>
            </w:tcMar>
          </w:tcPr>
          <w:p>
            <w:pPr>
              <w:jc w:val="center"/>
            </w:pPr>
            <w:r>
              <w:rPr>
                <w:rFonts w:ascii="Bahnschrift" w:hAnsi="Bahnschrift"/>
                <w:b/>
                <w:i w:val="0"/>
                <w:color w:val="FFFFFF"/>
                <w:sz w:val="30"/>
              </w:rPr>
              <w:t>5</w:t>
            </w:r>
          </w:p>
        </w:tc>
        <w:tc>
          <w:tcPr>
            <w:tcW w:type="dxa" w:w="8568"/>
            <w:shd w:fill="F2F6F3"/>
            <w:tcMar>
              <w:top w:w="105" w:type="dxa"/>
              <w:start w:w="130" w:type="dxa"/>
              <w:bottom w:w="105" w:type="dxa"/>
              <w:end w:w="130" w:type="dxa"/>
            </w:tcMar>
          </w:tcPr>
          <w:p>
            <w:pPr>
              <w:spacing w:after="40"/>
            </w:pPr>
            <w:r>
              <w:rPr>
                <w:rFonts w:ascii="Bahnschrift" w:hAnsi="Bahnschrift"/>
                <w:b/>
                <w:i w:val="0"/>
                <w:color w:val="144D32"/>
                <w:sz w:val="21"/>
              </w:rPr>
              <w:t>Institutionalize module ownership</w:t>
            </w:r>
          </w:p>
          <w:p>
            <w:pPr>
              <w:spacing w:after="0"/>
            </w:pPr>
            <w:r>
              <w:rPr>
                <w:rFonts w:ascii="Segoe UI" w:hAnsi="Segoe UI"/>
                <w:b w:val="0"/>
                <w:i w:val="0"/>
                <w:color w:val="1F2933"/>
                <w:sz w:val="18"/>
              </w:rPr>
              <w:t>Maintain the FMS/module/dependency catalog used in this report and assign a product owner, technical owner, deployment status, and next milestone to each module.</w:t>
            </w:r>
          </w:p>
        </w:tc>
      </w:tr>
    </w:tbl>
    <w:p>
      <w:pPr>
        <w:spacing w:after="0"/>
      </w:pPr>
    </w:p>
    <w:tbl>
      <w:tblPr>
        <w:tblW w:type="auto" w:w="0"/>
        <w:tblLayout w:type="fixed"/>
        <w:tblLook w:firstColumn="1" w:firstRow="1" w:lastColumn="0" w:lastRow="0" w:noHBand="0" w:noVBand="1" w:val="04A0"/>
      </w:tblPr>
      <w:tblGrid>
        <w:gridCol w:w="5083"/>
        <w:gridCol w:w="5083"/>
      </w:tblGrid>
      <w:tr>
        <w:tc>
          <w:tcPr>
            <w:tcW w:type="dxa" w:w="691"/>
            <w:shd w:fill="9B7B1B"/>
            <w:tcMar>
              <w:top w:w="100" w:type="dxa"/>
              <w:start w:w="80" w:type="dxa"/>
              <w:bottom w:w="100" w:type="dxa"/>
              <w:end w:w="80" w:type="dxa"/>
            </w:tcMar>
          </w:tcPr>
          <w:p>
            <w:pPr>
              <w:jc w:val="center"/>
            </w:pPr>
            <w:r>
              <w:rPr>
                <w:rFonts w:ascii="Bahnschrift" w:hAnsi="Bahnschrift"/>
                <w:b/>
                <w:i w:val="0"/>
                <w:color w:val="FFFFFF"/>
                <w:sz w:val="30"/>
              </w:rPr>
              <w:t>6</w:t>
            </w:r>
          </w:p>
        </w:tc>
        <w:tc>
          <w:tcPr>
            <w:tcW w:type="dxa" w:w="8568"/>
            <w:shd w:fill="F7F3E5"/>
            <w:tcMar>
              <w:top w:w="105" w:type="dxa"/>
              <w:start w:w="130" w:type="dxa"/>
              <w:bottom w:w="105" w:type="dxa"/>
              <w:end w:w="130" w:type="dxa"/>
            </w:tcMar>
          </w:tcPr>
          <w:p>
            <w:pPr>
              <w:spacing w:after="40"/>
            </w:pPr>
            <w:r>
              <w:rPr>
                <w:rFonts w:ascii="Bahnschrift" w:hAnsi="Bahnschrift"/>
                <w:b/>
                <w:i w:val="0"/>
                <w:color w:val="144D32"/>
                <w:sz w:val="21"/>
              </w:rPr>
              <w:t>Measure adoption and control quality</w:t>
            </w:r>
          </w:p>
          <w:p>
            <w:pPr>
              <w:spacing w:after="0"/>
            </w:pPr>
            <w:r>
              <w:rPr>
                <w:rFonts w:ascii="Segoe UI" w:hAnsi="Segoe UI"/>
                <w:b w:val="0"/>
                <w:i w:val="0"/>
                <w:color w:val="1F2933"/>
                <w:sz w:val="18"/>
              </w:rPr>
              <w:t>Define CEO-level indicators: active users by FMS, posted documents by module, cycle completion, inventory reconciliation exceptions, approval turnaround, and notification delivery health.</w:t>
            </w:r>
          </w:p>
        </w:tc>
      </w:tr>
    </w:tbl>
    <w:p>
      <w:pPr>
        <w:spacing w:after="0"/>
      </w:pPr>
    </w:p>
    <w:p>
      <w:pPr>
        <w:spacing w:after="40"/>
      </w:pPr>
      <w:r>
        <w:rPr>
          <w:rFonts w:ascii="Bahnschrift" w:hAnsi="Bahnschrift"/>
          <w:b/>
          <w:i w:val="0"/>
          <w:color w:val="9B7B1B"/>
          <w:sz w:val="17"/>
        </w:rPr>
        <w:t>CEO TAKEAWAY</w:t>
      </w:r>
    </w:p>
    <w:p>
      <w:pPr>
        <w:pStyle w:val="Heading1"/>
        <w:keepNext/>
        <w:spacing w:before="240" w:after="120"/>
      </w:pPr>
      <w:r>
        <w:rPr>
          <w:rFonts w:ascii="Bahnschrift" w:hAnsi="Bahnschrift"/>
          <w:b/>
          <w:color w:val="144D32"/>
          <w:sz w:val="40"/>
        </w:rPr>
        <w:t>Closing perspective</w:t>
      </w:r>
    </w:p>
    <w:tbl>
      <w:tblPr>
        <w:tblW w:type="auto" w:w="0"/>
        <w:tblLayout w:type="fixed"/>
        <w:tblLook w:firstColumn="1" w:firstRow="1" w:lastColumn="0" w:lastRow="0" w:noHBand="0" w:noVBand="1" w:val="04A0"/>
      </w:tblPr>
      <w:tblGrid>
        <w:gridCol w:w="5083"/>
        <w:gridCol w:w="5083"/>
      </w:tblGrid>
      <w:tr>
        <w:tc>
          <w:tcPr>
            <w:tcW w:type="dxa" w:w="144"/>
            <w:shd w:fill="144D32"/>
            <w:tcMar>
              <w:top w:w="80" w:type="dxa"/>
              <w:start w:w="20" w:type="dxa"/>
              <w:bottom w:w="80" w:type="dxa"/>
              <w:end w:w="20" w:type="dxa"/>
            </w:tcMar>
          </w:tcPr>
          <w:p/>
        </w:tc>
        <w:tc>
          <w:tcPr>
            <w:tcW w:type="dxa" w:w="9000"/>
            <w:shd w:fill="F2F6F3"/>
            <w:tcMar>
              <w:top w:w="150" w:type="dxa"/>
              <w:start w:w="180" w:type="dxa"/>
              <w:bottom w:w="150" w:type="dxa"/>
              <w:end w:w="180" w:type="dxa"/>
            </w:tcMar>
          </w:tcPr>
          <w:p>
            <w:pPr>
              <w:spacing w:after="60"/>
            </w:pPr>
            <w:r>
              <w:rPr>
                <w:rFonts w:ascii="Bahnschrift" w:hAnsi="Bahnschrift"/>
                <w:b/>
                <w:i w:val="0"/>
                <w:color w:val="144D32"/>
                <w:sz w:val="22"/>
              </w:rPr>
              <w:t>The platform is becoming connected; the next milestone is becoming controlled and provably live.</w:t>
            </w:r>
          </w:p>
          <w:p>
            <w:pPr>
              <w:spacing w:after="0" w:line="269" w:lineRule="auto"/>
            </w:pPr>
            <w:r>
              <w:rPr>
                <w:rFonts w:ascii="Segoe UI" w:hAnsi="Segoe UI"/>
                <w:b w:val="0"/>
                <w:i w:val="0"/>
                <w:color w:val="1F2933"/>
                <w:sz w:val="20"/>
              </w:rPr>
              <w:t>The codebase now shows the architecture of a unified farm-management platform: common master data, FMS-specific workflows, a shared inventory ledger, farm-scoped access, approvals, notifications, traceability, and management reporting. The highest-return next step is not another broad feature wave—it is disciplined integration, deployment evidence, end-to-end verification, and adoption measurement on the connected workflows already built.</w:t>
            </w:r>
          </w:p>
        </w:tc>
      </w:tr>
    </w:tbl>
    <w:p>
      <w:pPr>
        <w:spacing w:after="0"/>
      </w:pPr>
    </w:p>
    <w:p>
      <w:pPr>
        <w:spacing w:after="40"/>
      </w:pPr>
      <w:r>
        <w:rPr>
          <w:rFonts w:ascii="Bahnschrift" w:hAnsi="Bahnschrift"/>
          <w:b/>
          <w:i w:val="0"/>
          <w:color w:val="9B7B1B"/>
          <w:sz w:val="17"/>
        </w:rPr>
        <w:t>REFERENCE</w:t>
      </w:r>
    </w:p>
    <w:p>
      <w:pPr>
        <w:pStyle w:val="Heading1"/>
        <w:keepNext/>
        <w:spacing w:before="240" w:after="120"/>
      </w:pPr>
      <w:r>
        <w:rPr>
          <w:rFonts w:ascii="Bahnschrift" w:hAnsi="Bahnschrift"/>
          <w:b/>
          <w:color w:val="144D32"/>
          <w:sz w:val="40"/>
        </w:rPr>
        <w:t>Appendix: module naming and evidence notes</w:t>
      </w:r>
    </w:p>
    <w:p>
      <w:pPr>
        <w:pStyle w:val="ListBullet"/>
        <w:spacing w:after="60"/>
        <w:ind w:left="259" w:hanging="144"/>
      </w:pPr>
      <w:r>
        <w:rPr>
          <w:rFonts w:ascii="Segoe UI" w:hAnsi="Segoe UI"/>
          <w:b w:val="0"/>
          <w:i w:val="0"/>
          <w:color w:val="1F2933"/>
          <w:sz w:val="20"/>
        </w:rPr>
        <w:t>Vita FMS categories used in this report: Shared Platform &amp; Governance, Inventory, Broiler, Hatchery, and Breeder.</w:t>
      </w:r>
    </w:p>
    <w:p>
      <w:pPr>
        <w:pStyle w:val="ListBullet"/>
        <w:spacing w:after="60"/>
        <w:ind w:left="259" w:hanging="144"/>
      </w:pPr>
      <w:r>
        <w:rPr>
          <w:rFonts w:ascii="Segoe UI" w:hAnsi="Segoe UI"/>
          <w:b w:val="0"/>
          <w:i w:val="0"/>
          <w:color w:val="1F2933"/>
          <w:sz w:val="20"/>
        </w:rPr>
        <w:t>Broiler DOC Placement is implemented under /inv/doc-receiving; its settings are under /a_dean/doc-receiving-settings.</w:t>
      </w:r>
    </w:p>
    <w:p>
      <w:pPr>
        <w:pStyle w:val="ListBullet"/>
        <w:spacing w:after="60"/>
        <w:ind w:left="259" w:hanging="144"/>
      </w:pPr>
      <w:r>
        <w:rPr>
          <w:rFonts w:ascii="Segoe UI" w:hAnsi="Segoe UI"/>
          <w:b w:val="0"/>
          <w:i w:val="0"/>
          <w:color w:val="1F2933"/>
          <w:sz w:val="20"/>
        </w:rPr>
        <w:t>Hatchery Receiving is a separate module under /a_dean/receiving.</w:t>
      </w:r>
    </w:p>
    <w:p>
      <w:pPr>
        <w:pStyle w:val="ListBullet"/>
        <w:spacing w:after="60"/>
        <w:ind w:left="259" w:hanging="144"/>
      </w:pPr>
      <w:r>
        <w:rPr>
          <w:rFonts w:ascii="Segoe UI" w:hAnsi="Segoe UI"/>
          <w:b w:val="0"/>
          <w:i w:val="0"/>
          <w:color w:val="1F2933"/>
          <w:sz w:val="20"/>
        </w:rPr>
        <w:t>Growing &amp; Farm Condition is the current business label for the Broiler Flock Card module under /brd/fc.</w:t>
      </w:r>
    </w:p>
    <w:p>
      <w:pPr>
        <w:pStyle w:val="ListBullet"/>
        <w:spacing w:after="60"/>
        <w:ind w:left="259" w:hanging="144"/>
      </w:pPr>
      <w:r>
        <w:rPr>
          <w:rFonts w:ascii="Segoe UI" w:hAnsi="Segoe UI"/>
          <w:b w:val="0"/>
          <w:i w:val="0"/>
          <w:color w:val="1F2933"/>
          <w:sz w:val="20"/>
        </w:rPr>
        <w:t>Harvest &amp; Delivery is the current business label for BR Delivery under /brd/dr.</w:t>
      </w:r>
    </w:p>
    <w:p>
      <w:pPr>
        <w:pStyle w:val="ListBullet"/>
        <w:spacing w:after="60"/>
        <w:ind w:left="259" w:hanging="144"/>
      </w:pPr>
      <w:r>
        <w:rPr>
          <w:rFonts w:ascii="Segoe UI" w:hAnsi="Segoe UI"/>
          <w:b w:val="0"/>
          <w:i w:val="0"/>
          <w:color w:val="1F2933"/>
          <w:sz w:val="20"/>
        </w:rPr>
        <w:t>Item Stock In and Item Stock Out are the current navigation labels for Goods Receipt (/inv/gr) and Goods Issue (/inv/gi).</w:t>
      </w:r>
    </w:p>
    <w:p>
      <w:pPr>
        <w:pStyle w:val="ListBullet"/>
        <w:spacing w:after="60"/>
        <w:ind w:left="259" w:hanging="144"/>
      </w:pPr>
      <w:r>
        <w:rPr>
          <w:rFonts w:ascii="Segoe UI" w:hAnsi="Segoe UI"/>
          <w:b w:val="0"/>
          <w:i w:val="0"/>
          <w:color w:val="1F2933"/>
          <w:sz w:val="20"/>
        </w:rPr>
        <w:t>Integrated means committed to origin/dev-main as of the refreshed GitHub snapshot; it does not imply production deployment.</w:t>
      </w:r>
    </w:p>
    <w:p>
      <w:pPr>
        <w:pStyle w:val="ListBullet"/>
        <w:spacing w:after="60"/>
        <w:ind w:left="259" w:hanging="144"/>
      </w:pPr>
      <w:r>
        <w:rPr>
          <w:rFonts w:ascii="Segoe UI" w:hAnsi="Segoe UI"/>
          <w:b w:val="0"/>
          <w:i w:val="0"/>
          <w:color w:val="1F2933"/>
          <w:sz w:val="20"/>
        </w:rPr>
        <w:t>Generated poultry-operation photographs in this report are contextual presentation visuals, not evidence of a specific Vitarich site or deployed system state.</w:t>
      </w:r>
    </w:p>
    <w:sectPr w:rsidR="00FC693F" w:rsidRPr="0006063C" w:rsidSect="00034616">
      <w:headerReference w:type="default" r:id="rId11"/>
      <w:footerReference w:type="default" r:id="rId12"/>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4896"/>
      <w:gridCol w:w="4896"/>
    </w:tblGrid>
    <w:tr>
      <w:tc>
        <w:tcPr>
          <w:tcW w:type="dxa" w:w="4896"/>
        </w:tcPr>
        <w:p>
          <w:r>
            <w:rPr>
              <w:rFonts w:ascii="Segoe UI" w:hAnsi="Segoe UI"/>
              <w:b w:val="0"/>
              <w:i w:val="0"/>
              <w:color w:val="5B6670"/>
              <w:sz w:val="15"/>
            </w:rPr>
            <w:t>Internal management document</w:t>
          </w:r>
        </w:p>
      </w:tc>
      <w:tc>
        <w:tcPr>
          <w:tcW w:type="dxa" w:w="4896"/>
        </w:tcPr>
        <w:p>
          <w:pPr>
            <w:jc w:val="right"/>
          </w:pPr>
          <w:r>
            <w:rPr>
              <w:rFonts w:ascii="Segoe UI" w:hAnsi="Segoe UI"/>
              <w:b w:val="0"/>
              <w:i w:val="0"/>
              <w:color w:val="5B6670"/>
              <w:sz w:val="15"/>
            </w:rPr>
            <w:t>Reporting period: 01 May–25 August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Bahnschrift" w:hAnsi="Bahnschrift"/>
        <w:b/>
        <w:i w:val="0"/>
        <w:color w:val="144D32"/>
        <w:sz w:val="15"/>
      </w:rPr>
      <w:t>VITA FMS  •  CEO PROJECT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ahnschrift" w:hAnsi="Bahnschrift"/>
      <w:b/>
      <w:bCs/>
      <w:color w:val="144D32"/>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ahnschrift" w:hAnsi="Bahnschrift"/>
      <w:b/>
      <w:bCs/>
      <w:color w:val="1F293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ahnschrift" w:hAnsi="Bahnschrift"/>
      <w:b/>
      <w:bCs/>
      <w:color w:val="1F29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 FMS Total Project Update — May to August 2026</dc:title>
  <dc:subject>CEO project update</dc:subject>
  <dc:creator>Vita FMS Project Team</dc:creator>
  <cp:keywords>Vita FMS, CEO update, Broiler, Breeder, Hatchery, Inventory</cp:keywords>
  <dc:description>generated by python-docx</dc:description>
  <cp:lastModifiedBy/>
  <cp:revision>1</cp:revision>
  <dcterms:created xsi:type="dcterms:W3CDTF">2013-12-23T23:15:00Z</dcterms:created>
  <dcterms:modified xsi:type="dcterms:W3CDTF">2013-12-23T23:15:00Z</dcterms:modified>
  <cp:category/>
</cp:coreProperties>
</file>