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0" w:line="276" w:lineRule="auto"/>
      </w:pPr>
      <w:r>
        <w:rPr>
          <w:rFonts w:ascii="Calibri Light" w:cs="Calibri Light" w:eastAsia="Calibri Light" w:hAnsi="Calibri Light"/>
          <w:b/>
          <w:bCs/>
          <w:color w:val="000000"/>
          <w:sz w:val="21"/>
          <w:szCs w:val="21"/>
        </w:rPr>
        <w:t xml:space="preserve">[Naam klant]</w:t>
      </w:r>
    </w:p>
    <w:p>
      <w:pPr>
        <w:spacing w:after="0" w:line="276" w:lineRule="auto"/>
      </w:pPr>
      <w:r>
        <w:rPr>
          <w:rFonts w:ascii="Calibri Light" w:cs="Calibri Light" w:eastAsia="Calibri Light" w:hAnsi="Calibri Light"/>
          <w:b/>
          <w:bCs/>
          <w:color w:val="000000"/>
          <w:sz w:val="21"/>
          <w:szCs w:val="21"/>
        </w:rPr>
        <w:t xml:space="preserve">T.a.v. [Naam contactpersoon]</w:t>
      </w:r>
    </w:p>
    <w:p>
      <w:pPr>
        <w:spacing w:after="0" w:line="276" w:lineRule="auto"/>
      </w:pPr>
      <w:r>
        <w:rPr>
          <w:rFonts w:ascii="Calibri Light" w:cs="Calibri Light" w:eastAsia="Calibri Light" w:hAnsi="Calibri Light"/>
          <w:b/>
          <w:bCs/>
          <w:color w:val="000000"/>
          <w:sz w:val="21"/>
          <w:szCs w:val="21"/>
        </w:rPr>
        <w:t xml:space="preserve">[Adresregel]</w:t>
      </w:r>
    </w:p>
    <w:p>
      <w:pPr>
        <w:spacing w:after="320" w:line="276" w:lineRule="auto"/>
      </w:pPr>
      <w:r>
        <w:rPr>
          <w:rFonts w:ascii="Calibri Light" w:cs="Calibri Light" w:eastAsia="Calibri Light" w:hAnsi="Calibri Light"/>
          <w:b/>
          <w:bCs/>
          <w:color w:val="000000"/>
          <w:sz w:val="21"/>
          <w:szCs w:val="21"/>
        </w:rPr>
        <w:t xml:space="preserve">[Postcode]  [Plaats]</w:t>
      </w:r>
    </w:p>
    <w:p>
      <w:pPr>
        <w:spacing w:after="0" w:line="276" w:lineRule="auto"/>
      </w:pPr>
      <w:r>
        <w:rPr>
          <w:rFonts w:ascii="Calibri Light" w:cs="Calibri Light" w:eastAsia="Calibri Light" w:hAnsi="Calibri Light"/>
          <w:b w:val="false"/>
          <w:bCs w:val="false"/>
          <w:color w:val="000000"/>
          <w:sz w:val="21"/>
          <w:szCs w:val="21"/>
        </w:rPr>
        <w:t xml:space="preserve">Datum	</w:t>
      </w:r>
      <w:r>
        <w:rPr>
          <w:rFonts w:ascii="Calibri Light" w:cs="Calibri Light" w:eastAsia="Calibri Light" w:hAnsi="Calibri Light"/>
          <w:b w:val="false"/>
          <w:bCs w:val="false"/>
          <w:color w:val="000000"/>
          <w:sz w:val="21"/>
          <w:szCs w:val="21"/>
        </w:rPr>
        <w:t xml:space="preserve">[datum]</w:t>
      </w:r>
    </w:p>
    <w:p>
      <w:pPr>
        <w:spacing w:after="320" w:line="276" w:lineRule="auto"/>
      </w:pPr>
      <w:r>
        <w:rPr>
          <w:rFonts w:ascii="Calibri Light" w:cs="Calibri Light" w:eastAsia="Calibri Light" w:hAnsi="Calibri Light"/>
          <w:b w:val="false"/>
          <w:bCs w:val="false"/>
          <w:color w:val="000000"/>
          <w:sz w:val="21"/>
          <w:szCs w:val="21"/>
        </w:rPr>
        <w:t xml:space="preserve">Betreft	</w:t>
      </w:r>
      <w:r>
        <w:rPr>
          <w:rFonts w:ascii="Calibri Light" w:cs="Calibri Light" w:eastAsia="Calibri Light" w:hAnsi="Calibri Light"/>
          <w:b w:val="false"/>
          <w:bCs w:val="false"/>
          <w:color w:val="000000"/>
          <w:sz w:val="21"/>
          <w:szCs w:val="21"/>
        </w:rPr>
        <w:t xml:space="preserve">Voorstel</w:t>
      </w:r>
    </w:p>
    <w:p>
      <w:pPr>
        <w:spacing w:after="320" w:line="276" w:lineRule="auto"/>
      </w:pPr>
      <w:r>
        <w:rPr>
          <w:rFonts w:ascii="Calibri Light" w:cs="Calibri Light" w:eastAsia="Calibri Light" w:hAnsi="Calibri Light"/>
          <w:b w:val="false"/>
          <w:bCs w:val="false"/>
          <w:color w:val="000000"/>
          <w:sz w:val="21"/>
          <w:szCs w:val="21"/>
        </w:rPr>
        <w:t xml:space="preserve">Beste [aanhef],</w:t>
      </w:r>
    </w:p>
    <w:p>
      <w:pPr>
        <w:pStyle w:val="Heading1"/>
      </w:pPr>
      <w:r>
        <w:rPr>
          <w:rFonts w:ascii="Calibri Light" w:cs="Calibri Light" w:eastAsia="Calibri Light" w:hAnsi="Calibri Light"/>
          <w:b/>
          <w:bCs/>
          <w:sz w:val="21"/>
          <w:szCs w:val="21"/>
        </w:rPr>
        <w:t xml:space="preserve">[Titel intro, bijv. Een mooi bericht!]</w:t>
      </w:r>
    </w:p>
    <w:p>
      <w:pPr>
        <w:spacing w:after="160" w:line="276" w:lineRule="auto"/>
      </w:pPr>
      <w:r>
        <w:rPr>
          <w:rFonts w:ascii="Calibri Light" w:cs="Calibri Light" w:eastAsia="Calibri Light" w:hAnsi="Calibri Light"/>
          <w:b w:val="false"/>
          <w:bCs w:val="false"/>
          <w:color w:val="000000"/>
          <w:sz w:val="21"/>
          <w:szCs w:val="21"/>
        </w:rPr>
        <w:t xml:space="preserve">[Introductietekst: aanleiding van de offerte, bevestiging van de opdracht, korte dankzegging.]</w:t>
      </w:r>
    </w:p>
    <w:p>
      <w:pPr>
        <w:pStyle w:val="Heading1"/>
      </w:pPr>
      <w:r>
        <w:rPr>
          <w:rFonts w:ascii="Calibri Light" w:cs="Calibri Light" w:eastAsia="Calibri Light" w:hAnsi="Calibri Light"/>
          <w:b/>
          <w:bCs/>
          <w:sz w:val="21"/>
          <w:szCs w:val="21"/>
        </w:rPr>
        <w:t xml:space="preserve">De ondersteuningsvraag</w:t>
      </w:r>
    </w:p>
    <w:p>
      <w:pPr>
        <w:spacing w:after="160" w:line="276" w:lineRule="auto"/>
      </w:pPr>
      <w:r>
        <w:rPr>
          <w:rFonts w:ascii="Calibri Light" w:cs="Calibri Light" w:eastAsia="Calibri Light" w:hAnsi="Calibri Light"/>
          <w:b w:val="false"/>
          <w:bCs w:val="false"/>
          <w:color w:val="000000"/>
          <w:sz w:val="21"/>
          <w:szCs w:val="21"/>
        </w:rPr>
        <w:t xml:space="preserve">[Citaat of samenvatting van de hulpvraag zoals door de klant geformuleerd.]</w:t>
      </w:r>
    </w:p>
    <w:p>
      <w:pPr>
        <w:spacing w:after="160" w:line="276" w:lineRule="auto"/>
      </w:pPr>
      <w:r>
        <w:rPr>
          <w:rFonts w:ascii="Calibri Light" w:cs="Calibri Light" w:eastAsia="Calibri Light" w:hAnsi="Calibri Light"/>
          <w:b w:val="false"/>
          <w:bCs w:val="false"/>
          <w:color w:val="000000"/>
          <w:sz w:val="21"/>
          <w:szCs w:val="21"/>
        </w:rPr>
        <w:t xml:space="preserve">[Toelichting op hoe deze offerte daarop aansluit.]</w:t>
      </w:r>
    </w:p>
    <w:p>
      <w:pPr>
        <w:pStyle w:val="Heading1"/>
      </w:pPr>
      <w:r>
        <w:rPr>
          <w:rFonts w:ascii="Calibri Light" w:cs="Calibri Light" w:eastAsia="Calibri Light" w:hAnsi="Calibri Light"/>
          <w:b/>
          <w:bCs/>
          <w:sz w:val="21"/>
          <w:szCs w:val="21"/>
        </w:rPr>
        <w:t xml:space="preserve">Wat gaan we doen?</w:t>
      </w:r>
    </w:p>
    <w:p>
      <w:pPr>
        <w:spacing w:after="160" w:line="276" w:lineRule="auto"/>
      </w:pPr>
      <w:r>
        <w:rPr>
          <w:rFonts w:ascii="Calibri Light" w:cs="Calibri Light" w:eastAsia="Calibri Light" w:hAnsi="Calibri Light"/>
          <w:b w:val="false"/>
          <w:bCs w:val="false"/>
          <w:color w:val="000000"/>
          <w:sz w:val="21"/>
          <w:szCs w:val="21"/>
        </w:rPr>
        <w:t xml:space="preserve">[Korte toelichting op de gekozen aanpak/werkwijze.]</w:t>
      </w:r>
    </w:p>
    <w:p>
      <w:pPr>
        <w:pStyle w:val="Heading1"/>
      </w:pPr>
      <w:r>
        <w:rPr>
          <w:rFonts w:ascii="Calibri Light" w:cs="Calibri Light" w:eastAsia="Calibri Light" w:hAnsi="Calibri Light"/>
          <w:b/>
          <w:bCs/>
          <w:sz w:val="21"/>
          <w:szCs w:val="21"/>
        </w:rPr>
        <w:t xml:space="preserve">Fase 1	[Titel fase]</w:t>
      </w:r>
    </w:p>
    <w:p>
      <w:pPr>
        <w:spacing w:after="160" w:line="276" w:lineRule="auto"/>
      </w:pPr>
      <w:r>
        <w:rPr>
          <w:rFonts w:ascii="Calibri Light" w:cs="Calibri Light" w:eastAsia="Calibri Light" w:hAnsi="Calibri Light"/>
          <w:b w:val="false"/>
          <w:bCs w:val="false"/>
          <w:color w:val="000000"/>
          <w:sz w:val="21"/>
          <w:szCs w:val="21"/>
        </w:rPr>
        <w:t xml:space="preserve">[Beschrijving van deze fase.]</w:t>
      </w:r>
    </w:p>
    <w:p>
      <w:pPr>
        <w:pStyle w:val="Heading1"/>
      </w:pPr>
      <w:r>
        <w:rPr>
          <w:rFonts w:ascii="Calibri Light" w:cs="Calibri Light" w:eastAsia="Calibri Light" w:hAnsi="Calibri Light"/>
          <w:b/>
          <w:bCs/>
          <w:sz w:val="21"/>
          <w:szCs w:val="21"/>
        </w:rPr>
        <w:t xml:space="preserve">Fase 2	[Titel fase]</w:t>
      </w:r>
    </w:p>
    <w:p>
      <w:pPr>
        <w:spacing w:after="160" w:line="276" w:lineRule="auto"/>
      </w:pPr>
      <w:r>
        <w:rPr>
          <w:rFonts w:ascii="Calibri Light" w:cs="Calibri Light" w:eastAsia="Calibri Light" w:hAnsi="Calibri Light"/>
          <w:b w:val="false"/>
          <w:bCs w:val="false"/>
          <w:color w:val="000000"/>
          <w:sz w:val="21"/>
          <w:szCs w:val="21"/>
        </w:rPr>
        <w:t xml:space="preserve">[Beschrijving van deze fase.]</w:t>
      </w:r>
    </w:p>
    <w:p>
      <w:pPr>
        <w:pStyle w:val="Heading1"/>
      </w:pPr>
      <w:r>
        <w:rPr>
          <w:rFonts w:ascii="Calibri Light" w:cs="Calibri Light" w:eastAsia="Calibri Light" w:hAnsi="Calibri Light"/>
          <w:b/>
          <w:bCs/>
          <w:sz w:val="21"/>
          <w:szCs w:val="21"/>
        </w:rPr>
        <w:t xml:space="preserve">Fase 3	[Titel fase]</w:t>
      </w:r>
    </w:p>
    <w:p>
      <w:pPr>
        <w:spacing w:after="160" w:line="276" w:lineRule="auto"/>
      </w:pPr>
      <w:r>
        <w:rPr>
          <w:rFonts w:ascii="Calibri Light" w:cs="Calibri Light" w:eastAsia="Calibri Light" w:hAnsi="Calibri Light"/>
          <w:b w:val="false"/>
          <w:bCs w:val="false"/>
          <w:color w:val="000000"/>
          <w:sz w:val="21"/>
          <w:szCs w:val="21"/>
        </w:rPr>
        <w:t xml:space="preserve">[Beschrijving van deze fase.]</w:t>
      </w:r>
    </w:p>
    <w:p>
      <w:pPr>
        <w:pStyle w:val="Heading1"/>
      </w:pPr>
      <w:r>
        <w:rPr>
          <w:rFonts w:ascii="Calibri Light" w:cs="Calibri Light" w:eastAsia="Calibri Light" w:hAnsi="Calibri Light"/>
          <w:b/>
          <w:bCs/>
          <w:sz w:val="21"/>
          <w:szCs w:val="21"/>
        </w:rPr>
        <w:t xml:space="preserve">Hoe werken we samen?</w:t>
      </w:r>
    </w:p>
    <w:p>
      <w:pPr>
        <w:spacing w:after="160" w:line="276" w:lineRule="auto"/>
      </w:pPr>
      <w:r>
        <w:rPr>
          <w:rFonts w:ascii="Calibri Light" w:cs="Calibri Light" w:eastAsia="Calibri Light" w:hAnsi="Calibri Light"/>
          <w:b w:val="false"/>
          <w:bCs w:val="false"/>
          <w:color w:val="000000"/>
          <w:sz w:val="21"/>
          <w:szCs w:val="21"/>
        </w:rPr>
        <w:t xml:space="preserve">[Toelichting op projectvorm, wendbaarheid, fixed price / op regiebasis, etc.]</w:t>
      </w:r>
    </w:p>
    <w:p>
      <w:pPr>
        <w:pStyle w:val="Heading1"/>
      </w:pPr>
      <w:r>
        <w:rPr>
          <w:rFonts w:ascii="Calibri Light" w:cs="Calibri Light" w:eastAsia="Calibri Light" w:hAnsi="Calibri Light"/>
          <w:b/>
          <w:bCs/>
          <w:sz w:val="21"/>
          <w:szCs w:val="21"/>
        </w:rPr>
        <w:t xml:space="preserve">Planning en investering</w:t>
      </w:r>
    </w:p>
    <w:tbl>
      <w:tblPr>
        <w:tblW w:type="pct" w:w="100%"/>
        <w:tblBorders>
          <w:top w:val="single" w:color="auto" w:sz="6"/>
          <w:left w:val="none"/>
          <w:bottom w:val="none"/>
          <w:right w:val="none"/>
          <w:insideH w:val="single" w:color="auto" w:sz="6"/>
          <w:insideV w:val="none"/>
        </w:tblBorders>
      </w:tblPr>
      <w:tblGrid>
        <w:gridCol w:w="100"/>
        <w:gridCol w:w="100"/>
        <w:gridCol w:w="100"/>
      </w:tblGrid>
      <w:tr>
        <w:trPr>
          <w:tblHeader/>
        </w:trPr>
        <w:tc>
          <w:tcPr>
            <w:tcW w:type="pct" w:w="55%"/>
            <w:tcBorders>
              <w:top w:val="none"/>
              <w:left w:val="none"/>
              <w:bottom w:val="none"/>
              <w:right w:val="none"/>
            </w:tcBorders>
            <w:shd w:val="pct20" w:color="auto" w:fill="auto"/>
            <w:tcMar>
              <w:top w:type="dxa" w:w="120"/>
              <w:left w:type="dxa" w:w="180"/>
              <w:bottom w:type="dxa" w:w="120"/>
              <w:right w:type="dxa" w:w="180"/>
            </w:tcMar>
            <w:vAlign w:val="center"/>
          </w:tcPr>
          <w:p>
            <w:pPr>
              <w:spacing w:line="276" w:lineRule="auto"/>
            </w:pPr>
            <w:r>
              <w:rPr>
                <w:rFonts w:ascii="Calibri Light" w:cs="Calibri Light" w:eastAsia="Calibri Light" w:hAnsi="Calibri Light"/>
                <w:b/>
                <w:bCs/>
                <w:sz w:val="18"/>
                <w:szCs w:val="18"/>
              </w:rPr>
              <w:t xml:space="preserve">Wat</w:t>
            </w:r>
          </w:p>
        </w:tc>
        <w:tc>
          <w:tcPr>
            <w:tcW w:type="pct" w:w="25%"/>
            <w:tcBorders>
              <w:top w:val="none"/>
              <w:left w:val="none"/>
              <w:bottom w:val="none"/>
              <w:right w:val="none"/>
            </w:tcBorders>
            <w:shd w:val="pct20" w:color="auto" w:fill="auto"/>
            <w:tcMar>
              <w:top w:type="dxa" w:w="120"/>
              <w:left w:type="dxa" w:w="180"/>
              <w:bottom w:type="dxa" w:w="120"/>
              <w:right w:type="dxa" w:w="180"/>
            </w:tcMar>
            <w:vAlign w:val="center"/>
          </w:tcPr>
          <w:p>
            <w:pPr>
              <w:spacing w:line="276" w:lineRule="auto"/>
            </w:pPr>
            <w:r>
              <w:rPr>
                <w:rFonts w:ascii="Calibri Light" w:cs="Calibri Light" w:eastAsia="Calibri Light" w:hAnsi="Calibri Light"/>
                <w:b/>
                <w:bCs/>
                <w:sz w:val="18"/>
                <w:szCs w:val="18"/>
              </w:rPr>
              <w:t xml:space="preserve">Wanneer</w:t>
            </w:r>
          </w:p>
        </w:tc>
        <w:tc>
          <w:tcPr>
            <w:tcW w:type="pct" w:w="20%"/>
            <w:tcBorders>
              <w:top w:val="none"/>
              <w:left w:val="none"/>
              <w:bottom w:val="none"/>
              <w:right w:val="none"/>
            </w:tcBorders>
            <w:shd w:val="pct20" w:color="auto" w:fill="auto"/>
            <w:tcMar>
              <w:top w:type="dxa" w:w="120"/>
              <w:left w:type="dxa" w:w="180"/>
              <w:bottom w:type="dxa" w:w="120"/>
              <w:right w:type="dxa" w:w="180"/>
            </w:tcMar>
            <w:vAlign w:val="center"/>
          </w:tcPr>
          <w:p>
            <w:pPr>
              <w:spacing w:line="276" w:lineRule="auto"/>
            </w:pPr>
            <w:r>
              <w:rPr>
                <w:rFonts w:ascii="Calibri Light" w:cs="Calibri Light" w:eastAsia="Calibri Light" w:hAnsi="Calibri Light"/>
                <w:b/>
                <w:bCs/>
                <w:sz w:val="18"/>
                <w:szCs w:val="18"/>
              </w:rPr>
              <w:t xml:space="preserve">Investering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[Fase 1: omschrijving]</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[maand]</w:t>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[Fase 2: omschrijving]</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[maand]</w:t>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[Fase 3: omschrijving]</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[maand]</w:t>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Projectmanagement</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val="false"/>
                <w:bCs w:val="false"/>
                <w:sz w:val="18"/>
                <w:szCs w:val="18"/>
              </w:rPr>
              <w:t xml:space="preserve">€ [bedrag]</w:t>
            </w:r>
          </w:p>
        </w:tc>
      </w:tr>
      <w:tr>
        <w:tc>
          <w:tcPr>
            <w:tcW w:type="pct" w:w="5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bCs/>
                <w:sz w:val="18"/>
                <w:szCs w:val="18"/>
              </w:rPr>
              <w:t xml:space="preserve">Totaal</w:t>
            </w:r>
          </w:p>
        </w:tc>
        <w:tc>
          <w:tcPr>
            <w:tcW w:type="pct" w:w="25%"/>
            <w:tcBorders>
              <w:top w:val="none"/>
              <w:left w:val="none"/>
              <w:bottom w:val="none"/>
              <w:right w:val="none"/>
            </w:tcBorders>
            <w:tcMar>
              <w:top w:type="dxa" w:w="120"/>
              <w:left w:type="dxa" w:w="180"/>
              <w:bottom w:type="dxa" w:w="120"/>
              <w:right w:type="dxa" w:w="180"/>
            </w:tcMar>
            <w:vAlign w:val="center"/>
          </w:tcPr>
          <w:p>
            <w:pPr>
              <w:spacing w:line="276" w:lineRule="auto"/>
              <w:jc w:val="left"/>
            </w:pPr>
            <w:r>
              <w:rPr>
                <w:rFonts w:ascii="Calibri Light" w:cs="Calibri Light" w:eastAsia="Calibri Light" w:hAnsi="Calibri Light"/>
                <w:b w:val="false"/>
                <w:bCs w:val="false"/>
                <w:sz w:val="18"/>
                <w:szCs w:val="18"/>
              </w:rPr>
              <w:t xml:space="preserve"/>
            </w:r>
          </w:p>
        </w:tc>
        <w:tc>
          <w:tcPr>
            <w:tcW w:type="pct" w:w="20%"/>
            <w:tcBorders>
              <w:top w:val="none"/>
              <w:left w:val="none"/>
              <w:bottom w:val="none"/>
              <w:right w:val="none"/>
            </w:tcBorders>
            <w:tcMar>
              <w:top w:type="dxa" w:w="120"/>
              <w:left w:type="dxa" w:w="180"/>
              <w:bottom w:type="dxa" w:w="120"/>
              <w:right w:type="dxa" w:w="180"/>
            </w:tcMar>
            <w:vAlign w:val="center"/>
          </w:tcPr>
          <w:p>
            <w:pPr>
              <w:spacing w:line="276" w:lineRule="auto"/>
              <w:jc w:val="right"/>
            </w:pPr>
            <w:r>
              <w:rPr>
                <w:rFonts w:ascii="Calibri Light" w:cs="Calibri Light" w:eastAsia="Calibri Light" w:hAnsi="Calibri Light"/>
                <w:b/>
                <w:bCs/>
                <w:sz w:val="18"/>
                <w:szCs w:val="18"/>
              </w:rPr>
              <w:t xml:space="preserve">€ [totaalbedrag]</w:t>
            </w:r>
          </w:p>
        </w:tc>
      </w:tr>
    </w:tbl>
    <w:p>
      <w:pPr>
        <w:spacing w:after="200" w:line="276" w:lineRule="auto"/>
      </w:pPr>
      <w:r>
        <w:rPr>
          <w:rFonts w:ascii="Calibri Light" w:cs="Calibri Light" w:eastAsia="Calibri Light" w:hAnsi="Calibri Light"/>
          <w:b w:val="false"/>
          <w:bCs w:val="false"/>
          <w:color w:val="000000"/>
          <w:sz w:val="21"/>
          <w:szCs w:val="21"/>
        </w:rPr>
        <w:t xml:space="preserve"/>
      </w:r>
    </w:p>
    <w:p>
      <w:pPr>
        <w:spacing w:after="160" w:line="276" w:lineRule="auto"/>
      </w:pPr>
      <w:r>
        <w:rPr>
          <w:rFonts w:ascii="Calibri Light" w:cs="Calibri Light" w:eastAsia="Calibri Light" w:hAnsi="Calibri Light"/>
          <w:b w:val="false"/>
          <w:bCs w:val="false"/>
          <w:color w:val="000000"/>
          <w:sz w:val="21"/>
          <w:szCs w:val="21"/>
        </w:rPr>
        <w:t xml:space="preserve">[Toelichting op prijsafspraak, facturatieritme en btw.]</w:t>
      </w:r>
    </w:p>
    <w:p>
      <w:pPr>
        <w:pStyle w:val="Heading1"/>
      </w:pPr>
      <w:r>
        <w:rPr>
          <w:rFonts w:ascii="Calibri Light" w:cs="Calibri Light" w:eastAsia="Calibri Light" w:hAnsi="Calibri Light"/>
          <w:b/>
          <w:bCs/>
          <w:sz w:val="21"/>
          <w:szCs w:val="21"/>
        </w:rPr>
        <w:t xml:space="preserve">Voorwaarden</w:t>
      </w:r>
    </w:p>
    <w:p>
      <w:pPr>
        <w:spacing w:after="160" w:line="276" w:lineRule="auto"/>
      </w:pPr>
      <w:r>
        <w:rPr>
          <w:rFonts w:ascii="Calibri Light" w:cs="Calibri Light" w:eastAsia="Calibri Light" w:hAnsi="Calibri Light"/>
          <w:b w:val="false"/>
          <w:bCs w:val="false"/>
          <w:color w:val="000000"/>
          <w:sz w:val="21"/>
          <w:szCs w:val="21"/>
        </w:rPr>
        <w:t xml:space="preserve">In de bijlage zijn onze algemene voorwaarden opgenomen. Deze zijn van toepassing op deze offerte.</w:t>
      </w:r>
    </w:p>
    <w:p>
      <w:pPr>
        <w:spacing w:after="400" w:line="276" w:lineRule="auto"/>
      </w:pPr>
      <w:r>
        <w:rPr>
          <w:rFonts w:ascii="Calibri Light" w:cs="Calibri Light" w:eastAsia="Calibri Light" w:hAnsi="Calibri Light"/>
          <w:b w:val="false"/>
          <w:bCs w:val="false"/>
          <w:color w:val="000000"/>
          <w:sz w:val="21"/>
          <w:szCs w:val="21"/>
        </w:rPr>
        <w:t xml:space="preserve"/>
      </w:r>
    </w:p>
    <w:tbl>
      <w:tblPr>
        <w:tblW w:type="pct" w:w="100%"/>
        <w:tblBorders>
          <w:top w:val="none"/>
          <w:left w:val="none"/>
          <w:bottom w:val="none"/>
          <w:right w:val="none"/>
          <w:insideH w:val="none"/>
          <w:insideV w:val="none"/>
        </w:tblBorders>
      </w:tblPr>
      <w:tblGrid>
        <w:gridCol w:w="100"/>
        <w:gridCol w:w="100"/>
      </w:tblGrid>
      <w:tr>
        <w:tc>
          <w:tcPr>
            <w:tcW w:type="pct" w:w="50%"/>
            <w:tcBorders>
              <w:top w:val="none"/>
              <w:left w:val="none"/>
              <w:bottom w:val="none"/>
              <w:right w:val="none"/>
            </w:tcBorders>
          </w:tcPr>
          <w:p>
            <w:pPr>
              <w:spacing w:after="0" w:line="276" w:lineRule="auto"/>
            </w:pPr>
            <w:r>
              <w:rPr>
                <w:rFonts w:ascii="Calibri Light" w:cs="Calibri Light" w:eastAsia="Calibri Light" w:hAnsi="Calibri Light"/>
                <w:b w:val="false"/>
                <w:bCs w:val="false"/>
                <w:color w:val="000000"/>
                <w:sz w:val="21"/>
                <w:szCs w:val="21"/>
              </w:rPr>
              <w:t xml:space="preserve">Voor gezien en akkoord</w:t>
            </w:r>
          </w:p>
        </w:tc>
        <w:tc>
          <w:tcPr>
            <w:tcW w:type="pct" w:w="50%"/>
            <w:tcBorders>
              <w:top w:val="none"/>
              <w:left w:val="none"/>
              <w:bottom w:val="none"/>
              <w:right w:val="none"/>
            </w:tcBorders>
          </w:tcPr>
          <w:p>
            <w:pPr>
              <w:spacing w:after="0" w:line="276" w:lineRule="auto"/>
            </w:pPr>
            <w:r>
              <w:rPr>
                <w:rFonts w:ascii="Calibri Light" w:cs="Calibri Light" w:eastAsia="Calibri Light" w:hAnsi="Calibri Light"/>
                <w:b w:val="false"/>
                <w:bCs w:val="false"/>
                <w:color w:val="000000"/>
                <w:sz w:val="21"/>
                <w:szCs w:val="21"/>
              </w:rPr>
              <w:t xml:space="preserve">Voor gezien en akkoord</w:t>
            </w:r>
          </w:p>
        </w:tc>
      </w:tr>
      <w:tr>
        <w:tc>
          <w:tcPr>
            <w:tcW w:type="pct" w:w="50%"/>
            <w:tcBorders>
              <w:top w:val="none"/>
              <w:left w:val="none"/>
              <w:bottom w:val="none"/>
              <w:right w:val="none"/>
            </w:tcBorders>
          </w:tcPr>
          <w:p>
            <w:pPr>
              <w:spacing w:after="400" w:line="276" w:lineRule="auto"/>
            </w:pPr>
            <w:r>
              <w:rPr>
                <w:rFonts w:ascii="Calibri Light" w:cs="Calibri Light" w:eastAsia="Calibri Light" w:hAnsi="Calibri Light"/>
                <w:b w:val="false"/>
                <w:bCs w:val="false"/>
                <w:color w:val="000000"/>
                <w:sz w:val="21"/>
                <w:szCs w:val="21"/>
              </w:rPr>
              <w:t xml:space="preserve"/>
            </w:r>
          </w:p>
          <w:p>
            <w:pPr>
              <w:spacing w:after="0" w:line="276" w:lineRule="auto"/>
            </w:pPr>
            <w:r>
              <w:rPr>
                <w:rFonts w:ascii="Calibri Light" w:cs="Calibri Light" w:eastAsia="Calibri Light" w:hAnsi="Calibri Light"/>
                <w:b w:val="false"/>
                <w:bCs w:val="false"/>
                <w:color w:val="000000"/>
                <w:sz w:val="21"/>
                <w:szCs w:val="21"/>
              </w:rPr>
              <w:t xml:space="preserve">[Naam]</w:t>
            </w:r>
          </w:p>
          <w:p>
            <w:pPr>
              <w:spacing w:after="0" w:line="276" w:lineRule="auto"/>
            </w:pPr>
            <w:r>
              <w:rPr>
                <w:rFonts w:ascii="Calibri Light" w:cs="Calibri Light" w:eastAsia="Calibri Light" w:hAnsi="Calibri Light"/>
                <w:b w:val="false"/>
                <w:bCs w:val="false"/>
                <w:color w:val="000000"/>
                <w:sz w:val="21"/>
                <w:szCs w:val="21"/>
              </w:rPr>
              <w:t xml:space="preserve">De Betekenisfabriek B.V.</w:t>
            </w:r>
          </w:p>
        </w:tc>
        <w:tc>
          <w:tcPr>
            <w:tcW w:type="pct" w:w="50%"/>
            <w:tcBorders>
              <w:top w:val="none"/>
              <w:left w:val="none"/>
              <w:bottom w:val="none"/>
              <w:right w:val="none"/>
            </w:tcBorders>
          </w:tcPr>
          <w:p>
            <w:pPr>
              <w:spacing w:after="400" w:line="276" w:lineRule="auto"/>
            </w:pPr>
            <w:r>
              <w:rPr>
                <w:rFonts w:ascii="Calibri Light" w:cs="Calibri Light" w:eastAsia="Calibri Light" w:hAnsi="Calibri Light"/>
                <w:b w:val="false"/>
                <w:bCs w:val="false"/>
                <w:color w:val="000000"/>
                <w:sz w:val="21"/>
                <w:szCs w:val="21"/>
              </w:rPr>
              <w:t xml:space="preserve"/>
            </w:r>
          </w:p>
          <w:p>
            <w:pPr>
              <w:spacing w:after="0" w:line="276" w:lineRule="auto"/>
            </w:pPr>
            <w:r>
              <w:rPr>
                <w:rFonts w:ascii="Calibri Light" w:cs="Calibri Light" w:eastAsia="Calibri Light" w:hAnsi="Calibri Light"/>
                <w:b w:val="false"/>
                <w:bCs w:val="false"/>
                <w:color w:val="000000"/>
                <w:sz w:val="21"/>
                <w:szCs w:val="21"/>
              </w:rPr>
              <w:t xml:space="preserve">[Naam contactpersoon]</w:t>
            </w:r>
          </w:p>
          <w:p>
            <w:pPr>
              <w:spacing w:after="0" w:line="276" w:lineRule="auto"/>
            </w:pPr>
            <w:r>
              <w:rPr>
                <w:rFonts w:ascii="Calibri Light" w:cs="Calibri Light" w:eastAsia="Calibri Light" w:hAnsi="Calibri Light"/>
                <w:b w:val="false"/>
                <w:bCs w:val="false"/>
                <w:color w:val="000000"/>
                <w:sz w:val="21"/>
                <w:szCs w:val="21"/>
              </w:rPr>
              <w:t xml:space="preserve">[Klant]</w:t>
            </w:r>
          </w:p>
        </w:tc>
      </w:tr>
    </w:tbl>
    <w:p>
      <w:pPr>
        <w:pageBreakBefore/>
      </w:pPr>
    </w:p>
    <w:p>
      <w:pPr>
        <w:spacing w:after="200" w:before="200" w:line="276" w:lineRule="auto"/>
      </w:pPr>
      <w:r>
        <w:rPr>
          <w:rFonts w:ascii="Calibri" w:cs="Calibri" w:eastAsia="Calibri" w:hAnsi="Calibri"/>
          <w:b/>
          <w:bCs/>
          <w:sz w:val="24"/>
          <w:szCs w:val="24"/>
        </w:rPr>
        <w:t xml:space="preserve">Bijlage	Algemene voorwaarden De Betekenisfabriek Groep B.V.</w:t>
      </w:r>
    </w:p>
    <w:p>
      <w:pPr>
        <w:spacing w:after="80" w:before="160" w:line="276" w:lineRule="auto"/>
      </w:pPr>
      <w:r>
        <w:rPr>
          <w:rFonts w:ascii="Calibri" w:cs="Calibri" w:eastAsia="Calibri" w:hAnsi="Calibri"/>
          <w:b/>
          <w:bCs/>
          <w:sz w:val="12"/>
          <w:szCs w:val="12"/>
        </w:rPr>
        <w:t xml:space="preserve">Artikel 1: Toepasselijkheid</w:t>
      </w:r>
    </w:p>
    <w:p>
      <w:pPr>
        <w:spacing w:after="60" w:line="276" w:lineRule="auto"/>
      </w:pPr>
      <w:r>
        <w:rPr>
          <w:rFonts w:ascii="Calibri" w:cs="Calibri" w:eastAsia="Calibri" w:hAnsi="Calibri"/>
          <w:sz w:val="12"/>
          <w:szCs w:val="12"/>
        </w:rPr>
        <w:t xml:space="preserve">Deze Algemene Voorwaarden De Betekenisfabriek Groep B.V. zijn van toepassing op alle offertes, opdrachtbevestigingen en overeenkomsten van en met De Betekenisfabriek Groep B.V., hierna: De Betekenisfabriek, gevestigd aan de Rigtersbleek-Zandvoort 10 139 te Enschede, alsmede van alle aan De Betekenisfabriek Groep B.V. gelieerde vennootschappen. In deze voorwaarden van De Betekenisfabriek wordt onder opdrachtgever verstaan de natuurlijke persoon of rechtspersoon die aan De Betekenisfabriek de opdracht heeft gegeven tot het leveren van producten en/of diensten, of die met De Betekenisfabriek een overeenkomst heeft gesloten.</w:t>
      </w:r>
    </w:p>
    <w:p>
      <w:pPr>
        <w:spacing w:after="80" w:before="160" w:line="276" w:lineRule="auto"/>
      </w:pPr>
      <w:r>
        <w:rPr>
          <w:rFonts w:ascii="Calibri" w:cs="Calibri" w:eastAsia="Calibri" w:hAnsi="Calibri"/>
          <w:b/>
          <w:bCs/>
          <w:sz w:val="12"/>
          <w:szCs w:val="12"/>
        </w:rPr>
        <w:t xml:space="preserve">Artikel 2: Algemeen</w:t>
      </w:r>
    </w:p>
    <w:p>
      <w:pPr>
        <w:spacing w:after="60" w:line="276" w:lineRule="auto"/>
      </w:pPr>
      <w:r>
        <w:rPr>
          <w:rFonts w:ascii="Calibri" w:cs="Calibri" w:eastAsia="Calibri" w:hAnsi="Calibri"/>
          <w:sz w:val="12"/>
          <w:szCs w:val="12"/>
        </w:rPr>
        <w:t xml:space="preserve">1. Alle aanbiedingen en prijzen zijn vrijblijvend, tenzij in de offerte uitdrukkelijk anders is aangegeven. De overeenkomst tussen opdrachtgever en De Betekenisfabriek treedt in werking wanneer De Betekenisfabriek de door opdrachtgever verstrekte opdracht schriftelijk heeft bevestigd aan opdrachtgever, dan wel wanneer De Betekenisfabriek één exemplaar van de door beide partijen ondertekende overeenkomst terug heeft ontvangen. Mondelinge toezeggingen door en afspraken met ondergeschikten binden De Betekenisfabriek niet dan nadat en voor zover zij door De Betekenisfabriek schriftelijk zijn bevestigd.</w:t>
      </w:r>
    </w:p>
    <w:p>
      <w:pPr>
        <w:spacing w:after="60" w:line="276" w:lineRule="auto"/>
      </w:pPr>
      <w:r>
        <w:rPr>
          <w:rFonts w:ascii="Calibri" w:cs="Calibri" w:eastAsia="Calibri" w:hAnsi="Calibri"/>
          <w:sz w:val="12"/>
          <w:szCs w:val="12"/>
        </w:rPr>
        <w:t xml:space="preserve">2. Eventuele inkoop- of andere voorwaarden van opdrachtgever maken nimmer deel uit van de overeenkomst.</w:t>
      </w:r>
    </w:p>
    <w:p>
      <w:pPr>
        <w:spacing w:after="60" w:line="276" w:lineRule="auto"/>
      </w:pPr>
      <w:r>
        <w:rPr>
          <w:rFonts w:ascii="Calibri" w:cs="Calibri" w:eastAsia="Calibri" w:hAnsi="Calibri"/>
          <w:sz w:val="12"/>
          <w:szCs w:val="12"/>
        </w:rPr>
        <w:t xml:space="preserve">3. Indien enige bepaling van deze algemene voorwaarden nietig is of vernietigd wordt, blijven de overige bepalingen in deze algemene voorwaarden volledig van kracht en treden De Betekenisfabriek en opdrachtgever in overleg teneinde nieuwe bepalingen ter vervanging van de nietige c.q. vernietigde bepalingen overeen te komen, waarbij zoveel mogelijk het doel en de strekking van de nietige c.q. vernietigde bepaling in acht worden genomen.</w:t>
      </w:r>
    </w:p>
    <w:p>
      <w:pPr>
        <w:spacing w:after="80" w:before="160" w:line="276" w:lineRule="auto"/>
      </w:pPr>
      <w:r>
        <w:rPr>
          <w:rFonts w:ascii="Calibri" w:cs="Calibri" w:eastAsia="Calibri" w:hAnsi="Calibri"/>
          <w:b/>
          <w:bCs/>
          <w:sz w:val="12"/>
          <w:szCs w:val="12"/>
        </w:rPr>
        <w:t xml:space="preserve">Artikel 3: Prijs, facturering en betaling</w:t>
      </w:r>
    </w:p>
    <w:p>
      <w:pPr>
        <w:spacing w:after="60" w:line="276" w:lineRule="auto"/>
      </w:pPr>
      <w:r>
        <w:rPr>
          <w:rFonts w:ascii="Calibri" w:cs="Calibri" w:eastAsia="Calibri" w:hAnsi="Calibri"/>
          <w:sz w:val="12"/>
          <w:szCs w:val="12"/>
        </w:rPr>
        <w:t xml:space="preserve">1. Het door de opdrachtgever aan De Betekenisfabriek verschuldigde bedrag wordt vastgelegd in de opdrachtbevestiging of overeenkomst tussen opdrachtgever en De Betekenisfabriek waarop deze algemene voorwaarden van toepassing zijn.</w:t>
      </w:r>
    </w:p>
    <w:p>
      <w:pPr>
        <w:spacing w:after="60" w:line="276" w:lineRule="auto"/>
      </w:pPr>
      <w:r>
        <w:rPr>
          <w:rFonts w:ascii="Calibri" w:cs="Calibri" w:eastAsia="Calibri" w:hAnsi="Calibri"/>
          <w:sz w:val="12"/>
          <w:szCs w:val="12"/>
        </w:rPr>
        <w:t xml:space="preserve">2. Alle prijzen en tarieven zijn exclusief omzetbelasting (BTW) en andere heffingen die van overheidswege worden opgelegd, tenzij anders vermeld. Alle prijzen en tarieven zijn steeds vastgesteld in euro's, tenzij anders vermeld.</w:t>
      </w:r>
    </w:p>
    <w:p>
      <w:pPr>
        <w:spacing w:after="60" w:line="276" w:lineRule="auto"/>
      </w:pPr>
      <w:r>
        <w:rPr>
          <w:rFonts w:ascii="Calibri" w:cs="Calibri" w:eastAsia="Calibri" w:hAnsi="Calibri"/>
          <w:sz w:val="12"/>
          <w:szCs w:val="12"/>
        </w:rPr>
        <w:t xml:space="preserve">3. Facturering door De Betekenisfabriek aan opdrachtgever geschiedt bij voorlevering, dan wel bij deellevering of aflevering, door De Betekenisfabriek tenzij anders is overeengekomen.</w:t>
      </w:r>
    </w:p>
    <w:p>
      <w:pPr>
        <w:spacing w:after="60" w:line="276" w:lineRule="auto"/>
      </w:pPr>
      <w:r>
        <w:rPr>
          <w:rFonts w:ascii="Calibri" w:cs="Calibri" w:eastAsia="Calibri" w:hAnsi="Calibri"/>
          <w:sz w:val="12"/>
          <w:szCs w:val="12"/>
        </w:rPr>
        <w:t xml:space="preserve">4. Betaling dient plaats te vinden binnen 15 dagen na factuurdatum, tenzij anders is overeengekomen.</w:t>
      </w:r>
    </w:p>
    <w:p>
      <w:pPr>
        <w:spacing w:after="60" w:line="276" w:lineRule="auto"/>
      </w:pPr>
      <w:r>
        <w:rPr>
          <w:rFonts w:ascii="Calibri" w:cs="Calibri" w:eastAsia="Calibri" w:hAnsi="Calibri"/>
          <w:sz w:val="12"/>
          <w:szCs w:val="12"/>
        </w:rPr>
        <w:t xml:space="preserve">5. Vanaf het moment dat opdrachtgever de betalingstermijn overschrijdt, is hij voor elke maand of een gedeelte daarvan de wettelijke handelsrente verschuldigd. Voorts komen alle buitengerechtelijke en gerechtelijke kosten verbonden aan de invordering van enig door de opdrachtgever verschuldigd bedrag ten laste van de opdrachtgever. De buitengerechtelijke kosten kunnen worden gesteld op 15% van het door opdrachtgever verschuldigde bedrag, met een minimum van € 75,-, onverminderd het recht van De Betekenisfabriek om -al dan niet gebruik makend van de hem daartoe door de wet verschafte mogelijkheden- volledige vergoeding van (buitengerechtelijke en gerechtelijke) kosten, schade en/of boetes te vorderen van opdrachtgever.</w:t>
      </w:r>
    </w:p>
    <w:p>
      <w:pPr>
        <w:spacing w:after="80" w:before="160" w:line="276" w:lineRule="auto"/>
      </w:pPr>
      <w:r>
        <w:rPr>
          <w:rFonts w:ascii="Calibri" w:cs="Calibri" w:eastAsia="Calibri" w:hAnsi="Calibri"/>
          <w:b/>
          <w:bCs/>
          <w:sz w:val="12"/>
          <w:szCs w:val="12"/>
        </w:rPr>
        <w:t xml:space="preserve">Artikel 4: Vertrouwelijke informatie</w:t>
      </w:r>
    </w:p>
    <w:p>
      <w:pPr>
        <w:spacing w:after="60" w:line="276" w:lineRule="auto"/>
      </w:pPr>
      <w:r>
        <w:rPr>
          <w:rFonts w:ascii="Calibri" w:cs="Calibri" w:eastAsia="Calibri" w:hAnsi="Calibri"/>
          <w:sz w:val="12"/>
          <w:szCs w:val="12"/>
        </w:rPr>
        <w:t xml:space="preserve">Partijen verbinden zich jegens elkaar geheimhouding te verzekeren met betrekking tot alle gegevens van de andere partij, waaromtrent zij en/of hun werknemers bij de uitvoering van de overeenkomst(en) kennis zullen nemen en waarvan zij hebben aangegeven, of waarvan de andere partij weet of in redelijkheid kan weten, dat geheimhouding geboden is. Het is De Betekenisfabriek toegestaan om de naam van opdrachtgever te gebruiken als referentie (bijvoorbeeld, maar daartoe niet beperkt, door vermelding op de website van De Betekenisfabriek of in reclame-uitingen), tenzij opdrachtgever hiertegen schriftelijk bezwaar maakt.</w:t>
      </w:r>
    </w:p>
    <w:p>
      <w:pPr>
        <w:spacing w:after="80" w:before="160" w:line="276" w:lineRule="auto"/>
      </w:pPr>
      <w:r>
        <w:rPr>
          <w:rFonts w:ascii="Calibri" w:cs="Calibri" w:eastAsia="Calibri" w:hAnsi="Calibri"/>
          <w:b/>
          <w:bCs/>
          <w:sz w:val="12"/>
          <w:szCs w:val="12"/>
        </w:rPr>
        <w:t xml:space="preserve">Artikel 5: Aansprakelijkheid</w:t>
      </w:r>
    </w:p>
    <w:p>
      <w:pPr>
        <w:spacing w:after="60" w:line="276" w:lineRule="auto"/>
      </w:pPr>
      <w:r>
        <w:rPr>
          <w:rFonts w:ascii="Calibri" w:cs="Calibri" w:eastAsia="Calibri" w:hAnsi="Calibri"/>
          <w:sz w:val="12"/>
          <w:szCs w:val="12"/>
        </w:rPr>
        <w:t xml:space="preserve">1. De Betekenisfabriek aanvaardt slechts aansprakelijkheid voor zover dat uit dit artikel blijkt.</w:t>
      </w:r>
    </w:p>
    <w:p>
      <w:pPr>
        <w:spacing w:after="60" w:line="276" w:lineRule="auto"/>
      </w:pPr>
      <w:r>
        <w:rPr>
          <w:rFonts w:ascii="Calibri" w:cs="Calibri" w:eastAsia="Calibri" w:hAnsi="Calibri"/>
          <w:sz w:val="12"/>
          <w:szCs w:val="12"/>
        </w:rPr>
        <w:t xml:space="preserve">2. In het geval van toerekenbare tekortkoming in de nakoming van de overeenkomst is De Betekenisfabriek slechts aansprakelijk voor vervangende schadevergoeding, d.w.z. vergoeding van de waarde van de achterwege gebleven prestatie. Iedere aansprakelijkheid van De Betekenisfabriek voor enige andere vorm van schade is uitgesloten, daaronder begrepen aanvullende schadevergoeding in welke vorm dan ook, vergoeding van indirecte schade of gevolgschade of schade wegens gederfde winst. De Betekenisfabriek is voorts in geen geval aansprakelijk voor vertragingsschade, schade wegens verlies van gegevens, schade wegens overschrijding van leveringstermijnen als gevolg van gewijzigde omstandigheden, schade als gevolg van het verschaffen van gebrekkige medewerking, informatie of materialen door opdrachtgever en schade wegens door De Betekenisfabriek gegeven inlichtingen of adviezen waarvan de inhoud niet uitdrukkelijk onderdeel van een schriftelijke overeenkomst vormt. De Betekenisfabriek is in geen geval aansprakelijk indien opdrachtgever wijzigingen aanbrengt of door derden laat aanbrengen aan de door De Betekenisfabriek geleverde producten en/of diensten. Hieronder wordt tevens verstaan het gebruik voor doeleinden waartoe de producten en diensten niet zijn geleverd.</w:t>
      </w:r>
    </w:p>
    <w:p>
      <w:pPr>
        <w:spacing w:after="60" w:line="276" w:lineRule="auto"/>
      </w:pPr>
      <w:r>
        <w:rPr>
          <w:rFonts w:ascii="Calibri" w:cs="Calibri" w:eastAsia="Calibri" w:hAnsi="Calibri"/>
          <w:sz w:val="12"/>
          <w:szCs w:val="12"/>
        </w:rPr>
        <w:t xml:space="preserve">3. De door De Betekenisfabriek te betalen schadevergoeding wegens toerekenbare tekortkoming in de nakoming van een overeenkomst zal in geen geval meer bedragen dan het totaal van de op grond van die overeenkomst gefactureerde bedragen (exclusief BTW) en de nog niet gefactureerde bedragen (exclusief BTW) voor reeds geleverde producten of diensten, welke De Betekenisfabriek op grond van die overeenkomst reeds wel had kunnen factureren. Indien sprake is van een overeenkomst die telkens van rechtswege met een jaar wordt verlengd, zal de schadevergoeding wegens toerekenbare tekortkoming maximaal het per jaar voor de overeenkomst verschuldigde bedrag (exclusief BTW) zijn. De schadevergoeding wegens toerekenbare tekortkoming zal in geen geval meer bedragen dan de prijs (exclusief BTW) bedongen in de desbetreffende overeenkomst voor de prestaties van De Betekenisfabriek in de periode van 3 maanden voorafgaande aan het verzuim van De Betekenisfabriek. De in dit lid 3 bedoelde bedragen en prijzen worden verminderd met door opdrachtgever bedongen en door De Betekenisfabriek verleende crediteringen.</w:t>
      </w:r>
    </w:p>
    <w:p>
      <w:pPr>
        <w:spacing w:after="60" w:line="276" w:lineRule="auto"/>
      </w:pPr>
      <w:r>
        <w:rPr>
          <w:rFonts w:ascii="Calibri" w:cs="Calibri" w:eastAsia="Calibri" w:hAnsi="Calibri"/>
          <w:sz w:val="12"/>
          <w:szCs w:val="12"/>
        </w:rPr>
        <w:t xml:space="preserve">4. In geval van opzet of grove schuld van De Betekenisfabriek, zijn werknemers of ondergeschikten waarvoor De Betekenisfabriek rechtens aansprakelijk gehouden kan worden, is De Betekenisfabriek slechts aansprakelijk voor vergoeding van schade door dood of lichamelijk letsel. In deze gevallen zal de schadevergoeding in geen geval meer bedragen dan het verzekerde bedrag per schade toebrengende gebeurtenis, waarbij een reeks van samenhangende gebeurtenissen geldt als één gebeurtenis.</w:t>
      </w:r>
    </w:p>
    <w:p>
      <w:pPr>
        <w:spacing w:after="60" w:line="276" w:lineRule="auto"/>
      </w:pPr>
      <w:r>
        <w:rPr>
          <w:rFonts w:ascii="Calibri" w:cs="Calibri" w:eastAsia="Calibri" w:hAnsi="Calibri"/>
          <w:sz w:val="12"/>
          <w:szCs w:val="12"/>
        </w:rPr>
        <w:t xml:space="preserve">5. Aansprakelijkheid van De Betekenisfabriek voor schade wegens onrechtmatige daad anders dan bedoeld in lid 4 van dit artikel wordt uitdrukkelijk uitgesloten. Indien en voor zover hierop geen beroep kan worden gedaan, zal de schadevergoeding per gebeurtenis -waarbij een reeks van samenhangende gebeurtenissen geldt als één gebeurtenis- in geen geval meer bedragen dan de prijs (exclusief BTW) bedongen in de overeenkomst tussen partijen in het kader waarvan zich de gebeurtenis heeft voorgedaan of, bij gebreke daarvan, de overeenkomst die tussen partijen van kracht is op het moment van ontstaan van de schade, doch nooit meer dan het verzekerde bedrag. Indien sprake is van een overeenkomst die telkens van rechtswege met een jaar wordt verlengd, zal de schadevergoeding wegens toerekenbare tekortkoming maximaal het per jaar voor de overeenkomst verschuldigde bedrag (exclusief BTW) zijn.</w:t>
      </w:r>
    </w:p>
    <w:p>
      <w:pPr>
        <w:spacing w:after="60" w:line="276" w:lineRule="auto"/>
      </w:pPr>
      <w:r>
        <w:rPr>
          <w:rFonts w:ascii="Calibri" w:cs="Calibri" w:eastAsia="Calibri" w:hAnsi="Calibri"/>
          <w:sz w:val="12"/>
          <w:szCs w:val="12"/>
        </w:rPr>
        <w:t xml:space="preserve">6. Voorwaarde voor het ontstaan van enig recht op schadevergoeding is dat opdrachtgever na het ontstaan van de schade daarvan zo spoedig als redelijkerwijs mogelijk is schriftelijk melding heeft gedaan aan De Betekenisfabriek.</w:t>
      </w:r>
    </w:p>
    <w:p>
      <w:pPr>
        <w:spacing w:after="60" w:line="276" w:lineRule="auto"/>
      </w:pPr>
      <w:r>
        <w:rPr>
          <w:rFonts w:ascii="Calibri" w:cs="Calibri" w:eastAsia="Calibri" w:hAnsi="Calibri"/>
          <w:sz w:val="12"/>
          <w:szCs w:val="12"/>
        </w:rPr>
        <w:t xml:space="preserve">7. Opdrachtgever vrijwaart De Betekenisfabriek voor alle schade die De Betekenisfabriek mocht lijden als gevolg van aanspraken van derden die verband houden met de door De Betekenisfabriek geleverde producten of diensten, daaronder mede, doch niet uitsluitend, begrepen: aanspraken van derden, werknemers van opdrachtgever daarin begrepen, die schade lijden als gevolg van onrechtmatig handelen van werknemers van De Betekenisfabriek die ter beschikking zijn gesteld van opdrachtgever en werken onder diens toezicht of op diens aanwijzingen; aanspraken van derden, werknemers van De Betekenisfabriek daarin begrepen, die in verband met de uitvoering van de overeenkomst schade lijden als gevolg van handelen of nalaten van opdrachtgever of van onveilige situaties in diens bedrijf; aanspraken van derden die schade lijden als gevolg van een gebrek in door De Betekenisfabriek geleverde producten of diensten die door opdrachtgever werden gebruikt, gewijzigd of doorgeleverd onder toevoeging van of in samenhang met producten en/of diensten van opdrachtgever of derden, tenzij opdrachtgever bewijst dat het gebrek niet het gevolg is van gebruik, wijziging of doorlevering als hiervoor bedoeld.</w:t>
      </w:r>
    </w:p>
    <w:p>
      <w:pPr>
        <w:spacing w:after="60" w:line="276" w:lineRule="auto"/>
      </w:pPr>
      <w:r>
        <w:rPr>
          <w:rFonts w:ascii="Calibri" w:cs="Calibri" w:eastAsia="Calibri" w:hAnsi="Calibri"/>
          <w:sz w:val="12"/>
          <w:szCs w:val="12"/>
        </w:rPr>
        <w:t xml:space="preserve">8. Met inachtneming van het in lid 1 tot en met 8 van dit artikel bepaalde, wordt, voor zover rechtens aansprakelijkheid zou komen vast te staan, door De Betekenisfabriek iedere aansprakelijkheid in ieder geval beperkt tot het bedrag dat in het betreffende geval onder de bedrijfsaansprakelijkheidsverzekering van De Betekenisfabriek wordt uitbetaald. In alle gevallen, waarin op grond van dit artikel rechtens aansprakelijkheid zou komen vast te staan, heeft opdrachtgever slechts aanspraak op vergoeding van schade indien en voor zover de bedrijfsaansprakelijkheidsverzekering van De Betekenisfabriek in het betreffende geval aanspraak op uitkering geeft.</w:t>
      </w:r>
    </w:p>
    <w:p>
      <w:pPr>
        <w:spacing w:after="80" w:before="160" w:line="276" w:lineRule="auto"/>
      </w:pPr>
      <w:r>
        <w:rPr>
          <w:rFonts w:ascii="Calibri" w:cs="Calibri" w:eastAsia="Calibri" w:hAnsi="Calibri"/>
          <w:b/>
          <w:bCs/>
          <w:sz w:val="12"/>
          <w:szCs w:val="12"/>
        </w:rPr>
        <w:t xml:space="preserve">Artikel 6: Intellectuele en industriële eigendom</w:t>
      </w:r>
    </w:p>
    <w:p>
      <w:pPr>
        <w:spacing w:after="60" w:line="276" w:lineRule="auto"/>
      </w:pPr>
      <w:r>
        <w:rPr>
          <w:rFonts w:ascii="Calibri" w:cs="Calibri" w:eastAsia="Calibri" w:hAnsi="Calibri"/>
          <w:sz w:val="12"/>
          <w:szCs w:val="12"/>
        </w:rPr>
        <w:t xml:space="preserve">Alle rechten van intellectuele en industriële eigendom op alle krachtens de opdracht of overeenkomst door of in opdracht van De Betekenisfabriek ontwikkelde en/of aan opdrachtgever ter beschikking gestelde producten en diensten (waaronder, maar daartoe niet beperkt, ter beschikking gestelde software, hardware, opleidingsmaterialen of andere materialen zoals analyses, ontwerpen, documentatie, rapporten, offertes, alsmede voorbereidend materiaal) berusten uitsluitend bij De Betekenisfabriek of diens licentiegevers. Opdrachtgever kan hier op geen enkele wijze aanspraken op doen gelden. Opdrachtgever verkrijgt uitsluitend de gebruiksrechten en bevoegdheden die in deze voorwaarden of anderszins uitdrukkelijk worden toegekend. Opdrachtgever zal de aan haar ter beschikking gestelde producten en materialen niet verveelvoudigen of kopiëren zonder voorafgaande schriftelijke toestemming van De Betekenisfabriek.</w:t>
      </w:r>
    </w:p>
    <w:p>
      <w:pPr>
        <w:spacing w:after="80" w:before="160" w:line="276" w:lineRule="auto"/>
      </w:pPr>
      <w:r>
        <w:rPr>
          <w:rFonts w:ascii="Calibri" w:cs="Calibri" w:eastAsia="Calibri" w:hAnsi="Calibri"/>
          <w:b/>
          <w:bCs/>
          <w:sz w:val="12"/>
          <w:szCs w:val="12"/>
        </w:rPr>
        <w:t xml:space="preserve">Artikel 7: Verplichtingen van de opdrachtgever</w:t>
      </w:r>
    </w:p>
    <w:p>
      <w:pPr>
        <w:spacing w:after="60" w:line="276" w:lineRule="auto"/>
      </w:pPr>
      <w:r>
        <w:rPr>
          <w:rFonts w:ascii="Calibri" w:cs="Calibri" w:eastAsia="Calibri" w:hAnsi="Calibri"/>
          <w:sz w:val="12"/>
          <w:szCs w:val="12"/>
        </w:rPr>
        <w:t xml:space="preserve">1. Opdrachtgever draagt er zorg voor dat De Betekenisfabriek voor het uitvoeren van de opdracht de beschikking krijgt over voldoende faciliteiten en voldoende ondersteuning door medewerkers van opdrachtgever. Opdrachtgever verschaft De Betekenisfabriek steeds tijdig alle voor een behoorlijke uitvoering van de overeenkomst nuttige en noodzakelijke gegevens of informatie en zal hiertoe alle medewerking verlenen.</w:t>
      </w:r>
    </w:p>
    <w:p>
      <w:pPr>
        <w:spacing w:after="60" w:line="276" w:lineRule="auto"/>
      </w:pPr>
      <w:r>
        <w:rPr>
          <w:rFonts w:ascii="Calibri" w:cs="Calibri" w:eastAsia="Calibri" w:hAnsi="Calibri"/>
          <w:sz w:val="12"/>
          <w:szCs w:val="12"/>
        </w:rPr>
        <w:t xml:space="preserve">2. Indien voor de uitvoering van de opdracht of overeenkomst noodzakelijke gegevens niet, niet tijdig of niet overeenkomstig de afspraken ter beschikking van De Betekenisfabriek staan of indien opdrachtgever op andere wijze niet aan zijn verplichtingen voldoet, heeft De Betekenisfabriek in ieder geval het recht tot opschorting van de uitvoering van de opdracht of overeenkomst en heeft hij het recht om de daardoor ontstane kosten volgens zijn gebruikelijke tarieven in rekening te brengen.</w:t>
      </w:r>
    </w:p>
    <w:p>
      <w:pPr>
        <w:spacing w:after="80" w:before="160" w:line="276" w:lineRule="auto"/>
      </w:pPr>
      <w:r>
        <w:rPr>
          <w:rFonts w:ascii="Calibri" w:cs="Calibri" w:eastAsia="Calibri" w:hAnsi="Calibri"/>
          <w:b/>
          <w:bCs/>
          <w:sz w:val="12"/>
          <w:szCs w:val="12"/>
        </w:rPr>
        <w:t xml:space="preserve">Artikel 8: Leveringstermijnen</w:t>
      </w:r>
    </w:p>
    <w:p>
      <w:pPr>
        <w:spacing w:after="60" w:line="276" w:lineRule="auto"/>
      </w:pPr>
      <w:r>
        <w:rPr>
          <w:rFonts w:ascii="Calibri" w:cs="Calibri" w:eastAsia="Calibri" w:hAnsi="Calibri"/>
          <w:sz w:val="12"/>
          <w:szCs w:val="12"/>
        </w:rPr>
        <w:t xml:space="preserve">Alle door De Betekenisfabriek genoemde (leverings)termijnen zijn naar beste weten vastgesteld op grond van de gegevens die bij het aangaan van de opdracht of overeenkomst aan De Betekenisfabriek bekend waren. De genoemde leveringstermijnen worden zoveel mogelijk in acht genomen. De enkele overschrijding van een genoemde (leverings)termijn brengt De Betekenisfabriek niet in verzuim. De Betekenisfabriek is niet gebonden aan (leverings)termijnen die, vanwege buiten zijn macht gelegen omstandigheden die zich na het aangaan van de overeenkomst hebben voorgedaan, niet meer gehaald kunnen worden. Indien overschrijding van enige termijn dreigt, treden De Betekenisfabriek en opdrachtgever zo spoedig mogelijk in overleg, teneinde te trachten een voor beide partijen redelijke en aanvaardbare oplossing te bereiken.</w:t>
      </w:r>
    </w:p>
    <w:p>
      <w:pPr>
        <w:spacing w:after="80" w:before="160" w:line="276" w:lineRule="auto"/>
      </w:pPr>
      <w:r>
        <w:rPr>
          <w:rFonts w:ascii="Calibri" w:cs="Calibri" w:eastAsia="Calibri" w:hAnsi="Calibri"/>
          <w:b/>
          <w:bCs/>
          <w:sz w:val="12"/>
          <w:szCs w:val="12"/>
        </w:rPr>
        <w:t xml:space="preserve">Artikel 9: Ontbinding overeenkomst</w:t>
      </w:r>
    </w:p>
    <w:p>
      <w:pPr>
        <w:spacing w:after="60" w:line="276" w:lineRule="auto"/>
      </w:pPr>
      <w:r>
        <w:rPr>
          <w:rFonts w:ascii="Calibri" w:cs="Calibri" w:eastAsia="Calibri" w:hAnsi="Calibri"/>
          <w:sz w:val="12"/>
          <w:szCs w:val="12"/>
        </w:rPr>
        <w:t xml:space="preserve">1. Partijen hebben het recht de opdracht of overeenkomst geheel of gedeeltelijk met onmiddellijke ingang te ontbinden wanneer de wederpartij enige verplichting uit deze overeenkomst niet nakomt welke van zo ernstige aard is, dat van de opzeggende partij voortzetting van de overeenkomst in redelijkheid niet kan worden gevergd en de verzakende partij, nadat deze bij aangetekende brief in gebreke is gesteld en een redelijke termijn is gesteld om alsnog na te komen, nalatig blijft deze verplichting na te komen respectievelijk geëigende stappen te ondernemen om dit te corrigeren.</w:t>
      </w:r>
    </w:p>
    <w:p>
      <w:pPr>
        <w:spacing w:after="60" w:line="276" w:lineRule="auto"/>
      </w:pPr>
      <w:r>
        <w:rPr>
          <w:rFonts w:ascii="Calibri" w:cs="Calibri" w:eastAsia="Calibri" w:hAnsi="Calibri"/>
          <w:sz w:val="12"/>
          <w:szCs w:val="12"/>
        </w:rPr>
        <w:t xml:space="preserve">2. De Betekenisfabriek kan de overeenkomst in ieder geval met onmiddellijke ingang schriftelijk geheel of gedeeltelijk beëindigen, indien opdrachtgever in staat van faillissement wordt verklaard, indien opdrachtgever surseance van betaling aanvraagt of wordt verleend of indien opdrachtgever anderszins niet in staat is aan zijn betalingsverplichtingen te voldoen. De Betekenisfabriek is ter zake de ontbinding als bedoeld in de vorige volzin nimmer tot enige schadevergoeding gehouden.</w:t>
      </w:r>
    </w:p>
    <w:p>
      <w:pPr>
        <w:spacing w:after="60" w:line="276" w:lineRule="auto"/>
      </w:pPr>
      <w:r>
        <w:rPr>
          <w:rFonts w:ascii="Calibri" w:cs="Calibri" w:eastAsia="Calibri" w:hAnsi="Calibri"/>
          <w:sz w:val="12"/>
          <w:szCs w:val="12"/>
        </w:rPr>
        <w:t xml:space="preserve">3. Indien opdrachtgever op het moment van de ontbinding reeds prestaties ter uitvoering van de overeenkomst heeft ontvangen, kan opdrachtgever de overeenkomst slechts gedeeltelijk ontbinden en wel uitsluitend voor dat gedeelte dat door De Betekenisfabriek nog niet is uitgevoerd. Bedragen die De Betekenisfabriek vóór de ontbinding heeft gefactureerd in verband met hetgeen hij reeds ter uitvoering van de overeenkomst heeft verricht of geleverd, blijven onverminderd verschuldigd en worden op het moment van de ontbinding direct opeisbaar.</w:t>
      </w:r>
    </w:p>
    <w:p>
      <w:pPr>
        <w:spacing w:after="60" w:line="276" w:lineRule="auto"/>
      </w:pPr>
      <w:r>
        <w:rPr>
          <w:rFonts w:ascii="Calibri" w:cs="Calibri" w:eastAsia="Calibri" w:hAnsi="Calibri"/>
          <w:sz w:val="12"/>
          <w:szCs w:val="12"/>
        </w:rPr>
        <w:t xml:space="preserve">4. Ontbinding van de overeenkomst geschiedt per aangetekende brief met bericht van ontvangst aan de andere partij.</w:t>
      </w:r>
    </w:p>
    <w:p>
      <w:pPr>
        <w:spacing w:after="80" w:before="160" w:line="276" w:lineRule="auto"/>
      </w:pPr>
      <w:r>
        <w:rPr>
          <w:rFonts w:ascii="Calibri" w:cs="Calibri" w:eastAsia="Calibri" w:hAnsi="Calibri"/>
          <w:b/>
          <w:bCs/>
          <w:sz w:val="12"/>
          <w:szCs w:val="12"/>
        </w:rPr>
        <w:t xml:space="preserve">Artikel 10: Overige bepalingen</w:t>
      </w:r>
    </w:p>
    <w:p>
      <w:pPr>
        <w:spacing w:after="60" w:line="276" w:lineRule="auto"/>
      </w:pPr>
      <w:r>
        <w:rPr>
          <w:rFonts w:ascii="Calibri" w:cs="Calibri" w:eastAsia="Calibri" w:hAnsi="Calibri"/>
          <w:sz w:val="12"/>
          <w:szCs w:val="12"/>
        </w:rPr>
        <w:t xml:space="preserve">1. Wijzigingen van of aanvullingen op deze Algemene Voorwaarden De Betekenisfabriek zijn slechts geldig voor zover deze schriftelijk zijn overeengekomen.</w:t>
      </w:r>
    </w:p>
    <w:p>
      <w:pPr>
        <w:spacing w:after="60" w:line="276" w:lineRule="auto"/>
      </w:pPr>
      <w:r>
        <w:rPr>
          <w:rFonts w:ascii="Calibri" w:cs="Calibri" w:eastAsia="Calibri" w:hAnsi="Calibri"/>
          <w:sz w:val="12"/>
          <w:szCs w:val="12"/>
        </w:rPr>
        <w:t xml:space="preserve">2. Op opdrachten en/of overeenkomsten tussen De Betekenisfabriek en opdrachtgever is het Nederlands recht van toepassing. De toepasselijkheid van het Verdrag der Verenigde Naties inzake internationale koopovereenkomsten betreffende roerende zaken (Weens Koopverdrag) wordt uitdrukkelijk uitgesloten.</w:t>
      </w:r>
    </w:p>
    <w:p>
      <w:pPr>
        <w:spacing w:after="60" w:line="276" w:lineRule="auto"/>
      </w:pPr>
      <w:r>
        <w:rPr>
          <w:rFonts w:ascii="Calibri" w:cs="Calibri" w:eastAsia="Calibri" w:hAnsi="Calibri"/>
          <w:sz w:val="12"/>
          <w:szCs w:val="12"/>
        </w:rPr>
        <w:t xml:space="preserve">3. Gebruik van de door De Betekenisfabriek geleverde zaken geschiedt voor rekening en risico van opdrachtgever.</w:t>
      </w:r>
    </w:p>
    <w:p>
      <w:pPr>
        <w:spacing w:after="60" w:line="276" w:lineRule="auto"/>
      </w:pPr>
      <w:r>
        <w:rPr>
          <w:rFonts w:ascii="Calibri" w:cs="Calibri" w:eastAsia="Calibri" w:hAnsi="Calibri"/>
          <w:sz w:val="12"/>
          <w:szCs w:val="12"/>
        </w:rPr>
        <w:t xml:space="preserve">4. Kennisgevingen die partijen op grond van deze overeenkomst aan elkaar zullen doen, vinden schriftelijk plaats. Mondelinge mededelingen, toezeggingen of afspraken binden partijen niet, tenzij deze schriftelijk zijn bevestigd.</w:t>
      </w:r>
    </w:p>
    <w:p>
      <w:pPr>
        <w:spacing w:after="60" w:line="276" w:lineRule="auto"/>
      </w:pPr>
      <w:r>
        <w:rPr>
          <w:rFonts w:ascii="Calibri" w:cs="Calibri" w:eastAsia="Calibri" w:hAnsi="Calibri"/>
          <w:sz w:val="12"/>
          <w:szCs w:val="12"/>
        </w:rPr>
        <w:t xml:space="preserve">5. In geval van overmacht worden de verplichtingen van De Betekenisfabriek ter zake de uitvoering van de opdracht of overeenkomst opgeschort voor de duur van zodanige overmacht, zonder dat partijen over en weer tot enige schadevergoeding ter zake zijn gehouden. Onder overmacht wordt verstaan elke buiten de directe invloed van De Betekenisfabriek liggende of elke voor hem redelijkerwijs niet voorzienbare omstandigheid, die de nakoming van de verplichtingen van De Betekenisfabriek met betrekking tot de verkoop en/of levering tijdelijk of blijvend onmogelijk maakt. Dergelijke omstandigheden zijn onder meer het geheel of gedeeltelijk in gebreke blijven van derden van wie zaken en/of diensten worden ontvangen.</w:t>
      </w:r>
    </w:p>
    <w:p>
      <w:pPr>
        <w:spacing w:after="60" w:line="276" w:lineRule="auto"/>
      </w:pPr>
      <w:r>
        <w:rPr>
          <w:rFonts w:ascii="Calibri" w:cs="Calibri" w:eastAsia="Calibri" w:hAnsi="Calibri"/>
          <w:sz w:val="12"/>
          <w:szCs w:val="12"/>
        </w:rPr>
        <w:t xml:space="preserve">6. De Betekenisfabriek is gerechtigd alle rechten en verplichtingen, voortvloeiend uit de opdracht of overeenkomst waarop deze algemene voorwaarden van toepassing zijn, aan derden over te dragen.</w:t>
      </w:r>
    </w:p>
    <w:p>
      <w:pPr>
        <w:spacing w:after="80" w:before="160" w:line="276" w:lineRule="auto"/>
      </w:pPr>
      <w:r>
        <w:rPr>
          <w:rFonts w:ascii="Calibri" w:cs="Calibri" w:eastAsia="Calibri" w:hAnsi="Calibri"/>
          <w:b/>
          <w:bCs/>
          <w:sz w:val="12"/>
          <w:szCs w:val="12"/>
        </w:rPr>
        <w:t xml:space="preserve">Artikel 11: Geschillen</w:t>
      </w:r>
    </w:p>
    <w:p>
      <w:pPr>
        <w:spacing w:after="60" w:line="276" w:lineRule="auto"/>
      </w:pPr>
      <w:r>
        <w:rPr>
          <w:rFonts w:ascii="Calibri" w:cs="Calibri" w:eastAsia="Calibri" w:hAnsi="Calibri"/>
          <w:sz w:val="12"/>
          <w:szCs w:val="12"/>
        </w:rPr>
        <w:t xml:space="preserve">Elk geschil betreffende de totstandkoming, de uitleg of de uitvoering van de opdracht of overeenkomst waarop deze algemene voorwaarden van toepassing zijn en van de opdrachten/overeenkomsten die daaruit mochten voortvloeien, alsmede elk ander geschil ter zake van of in verband met deze algemene voorwaarden of andere voorwaarden van De Betekenisfabriek, hetzij juridisch, hetzij feitelijk, geen uitgezonderd, wordt door de bevoegde rechter te Almelo beslecht.</w:t>
      </w:r>
    </w:p>
    <w:sectPr>
      <w:headerReference w:type="default" r:id="rId7"/>
      <w:footerReference w:type="default" r:id="rId8"/>
      <w:pgSz w:w="11906" w:h="16838" w:orient="portrait"/>
      <w:pgMar w:top="2792" w:right="1728" w:bottom="1817" w:left="1814" w:header="275" w:footer="709"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line="360" w:lineRule="auto"/>
    </w:pPr>
    <w:r>
      <w:rPr>
        <w:rFonts w:ascii="Calibri Light" w:cs="Calibri Light" w:eastAsia="Calibri Light" w:hAnsi="Calibri Light"/>
        <w:color w:val="27275B"/>
        <w:sz w:val="11"/>
        <w:szCs w:val="11"/>
      </w:rPr>
      <w:t xml:space="preserve">© De Betekenisfabriek B.V.</w:t>
    </w:r>
  </w:p>
  <w:p>
    <w:pPr>
      <w:tabs>
        <w:tab w:val="right" w:pos="9026"/>
      </w:tabs>
      <w:spacing w:line="360" w:lineRule="auto"/>
    </w:pPr>
    <w:r>
      <w:rPr>
        <w:rFonts w:ascii="Calibri Light" w:cs="Calibri Light" w:eastAsia="Calibri Light" w:hAnsi="Calibri Light"/>
        <w:color w:val="27275B"/>
        <w:sz w:val="11"/>
        <w:szCs w:val="11"/>
      </w:rPr>
      <w:t xml:space="preserve">Spinnerij Oosterveld, studio 1.39  •  Rigtersbleek-Zandvoort 10  •  7521 BE Enschede  •  W www.debetekenisfabriek.nl  •  E info@debetekenisfabriek.nl  •  T 06 164 111 26  •  KVK 08094953  •  BTW NL.810020191.B01  •  NL68 INGB 0678 1516 95</w:t>
    </w:r>
  </w:p>
  <w:p>
    <w:pPr>
      <w:jc w:val="right"/>
    </w:pPr>
    <w:r>
      <w:rPr>
        <w:rFonts w:ascii="Calibri Light" w:cs="Calibri Light" w:eastAsia="Calibri Light" w:hAnsi="Calibri Light"/>
        <w:color w:val="000000"/>
        <w:sz w:val="18"/>
        <w:szCs w:val="18"/>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r>
      <w:drawing>
        <wp:anchor distT="0" distB="0" distL="0" distR="0" simplePos="0" allowOverlap="1" behindDoc="0" locked="0" layoutInCell="1" relativeHeight="723900">
          <wp:simplePos x="0" y="0"/>
          <wp:positionH relativeFrom="column">
            <wp:posOffset>-795020</wp:posOffset>
          </wp:positionH>
          <wp:positionV relativeFrom="paragraph">
            <wp:posOffset>397510</wp:posOffset>
          </wp:positionV>
          <wp:extent cx="2333625" cy="723900"/>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2333625" cy="723900"/>
                  </a:xfrm>
                  <a:prstGeom prst="rect">
                    <a:avLst/>
                  </a:prstGeom>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pPr>
      <w:keepNext/>
      <w:outlineLvl w:val="0"/>
    </w:pPr>
    <w:rPr>
      <w:rFonts w:ascii="Calibri Light" w:hAnsi="Calibri Light" w:eastAsia="Calibri Light" w:cs="Calibri Light"/>
      <w:b/>
      <w:bCs/>
      <w:color w:val="000000"/>
      <w:sz w:val="21"/>
      <w:szCs w:val="21"/>
    </w:rPr>
  </w:style>
  <w:style w:type="paragraph" w:styleId="Heading2">
    <w:name w:val="Heading 2"/>
    <w:basedOn w:val="Normal"/>
    <w:next w:val="Normal"/>
    <w:qFormat/>
    <w:pPr>
      <w:keepNext/>
      <w:outlineLvl w:val="1"/>
    </w:pPr>
    <w:rPr>
      <w:rFonts w:ascii="Calibri Light" w:hAnsi="Calibri Light" w:eastAsia="Calibri Light" w:cs="Calibri Light"/>
      <w:b/>
      <w:bCs/>
      <w:color w:val="000000"/>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Heading1">
    <w:name w:val="Heading 1"/>
    <w:basedOn w:val="Normal"/>
    <w:next w:val="Normal"/>
    <w:qFormat/>
    <w:pPr>
      <w:spacing w:after="120" w:before="240" w:line="276" w:lineRule="auto"/>
      <w:outlineLvl w:val="1"/>
    </w:pPr>
    <w:rPr>
      <w:rFonts w:ascii="Calibri Light" w:cs="Calibri Light" w:eastAsia="Calibri Light" w:hAnsi="Calibri Light"/>
      <w:b/>
      <w:bCs/>
      <w:color w:val="000000"/>
      <w:sz w:val="21"/>
      <w:szCs w:val="21"/>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fb85aa0ba513fc01acd4bb34f66943ac0fda1d32.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2026-09-10T09:33:17.111Z</dcterms:created>
  <dcterms:modified xsi:type="dcterms:W3CDTF">2026-09-10T09:33:17.126Z</dcterms:modified>
</cp:coreProperties>
</file>

<file path=docProps/custom.xml><?xml version="1.0" encoding="utf-8"?>
<Properties xmlns="http://schemas.openxmlformats.org/officeDocument/2006/custom-properties" xmlns:vt="http://schemas.openxmlformats.org/officeDocument/2006/docPropsVTypes"/>
</file>