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1.xml" ContentType="application/vnd.openxmlformats-officedocument.wordprocessingml.footer+xml"/>
</ns0:Types>
</file>

<file path=_rels/.rels><?xml version='1.0' encoding='UTF-8' standalone='yes'?>
<ns0:Relationships xmlns:ns0="http://schemas.openxmlformats.org/package/2006/relationships"><ns0:Relationship Id="rId1" Type="http://schemas.openxmlformats.org/officeDocument/2006/relationships/officeDocument" Target="word/document.xml"/></ns0: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rPr/>
        <w:t xml:space="preserve">中文论文初稿：逐节修改说明</w:t>
      </w:r>
    </w:p>
    <w:p>
      <w:pPr>
        <w:pStyle w:val="Normal"/>
      </w:pPr>
      <w:r>
        <w:rPr/>
        <w:t xml:space="preserve">本文件与《中文论文初稿.md》配套，记录待核实信息、可能受到的审稿质疑、数据来源和实质性技术修订。它是作者工作记录，不作为论文补充材料提交。正文目前是可编辑的完整工作稿，尚未排版测量RA-L页数。</w:t>
      </w:r>
    </w:p>
    <w:p>
      <w:pPr>
        <w:pStyle w:val="Heading1"/>
      </w:pPr>
      <w:r>
        <w:rPr/>
        <w:t xml:space="preserve">摘要与题目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最终核心机制与投稿范围；是否同时保留定位实车研究与独立合成控制研究。摘要中的7.78 mm只对应一场会话的空间留出静止残差；1.46/5.73 mm只对应合成失配场景。控制器尚无实车证据。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题目包含三个层面的工作，核心贡献是否集中；局部残差改善与终点恶化同时存在时，论文的主要技术进展是什么。</w:t>
      </w:r>
    </w:p>
    <w:p>
      <w:pPr>
        <w:pStyle w:val="Normal"/>
      </w:pPr>
      <w:r>
        <w:rPr>
          <w:b/>
        </w:rPr>
        <w:t xml:space="preserve">修改方向：</w:t>
      </w:r>
      <w:r>
        <w:rPr/>
        <w:t xml:space="preserve">当前保留用户希望表达的定位、几何、控制主线，但不将三个模块分别包装为三个已成立创新。完成关键补充后，摘要应围绕一个可验证主张重新压缩。全文没有以“高精度”“首次”“显著领先”代替证据。</w:t>
      </w:r>
    </w:p>
    <w:p>
      <w:pPr>
        <w:pStyle w:val="Heading1"/>
      </w:pPr>
      <w:r>
        <w:rPr/>
        <w:t xml:space="preserve">I. 引言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具体巡检对象、观测距离要求、所需精度阈值及其任务依据；用户所述固定物理路标是否另有未归档材料。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为何常规外部位姿初始化或融合不能满足任务；采用本方案的具体必要性是什么；系统集成与新增机制边界是否清楚。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架构</w:t>
      </w:r>
      <w:r>
        <w:rPr/>
        <w:t xml:space="preserve">、</w:t>
      </w:r>
      <w:r>
        <w:rPr/>
        <w:t xml:space="preserve">定位方法</w:t>
      </w:r>
      <w:r>
        <w:rPr/>
        <w:t xml:space="preserve">、</w:t>
      </w:r>
      <w:r>
        <w:rPr/>
        <w:t xml:space="preserve">第一轮审查</w:t>
      </w:r>
      <w:r>
        <w:rPr/>
        <w:t xml:space="preserve">。</w:t>
      </w:r>
    </w:p>
    <w:p>
      <w:pPr>
        <w:pStyle w:val="Heading1"/>
      </w:pPr>
      <w:r>
        <w:rPr/>
        <w:t xml:space="preserve">II. 相关工作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正式投稿时的参考文献格式、出版年份及最接近工作检索是否完整。BibTeX优先保留已核实的原始arXiv记录，不补造卷期页码；CLIS-MPPI明确为预印本。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冻结刚体对齐与标准map→odom更新已有先例；几何buffer不构成新增规划算法；反馈引导、延迟补偿与MPPI结合已有工作。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同目录</w:t>
      </w:r>
      <w:r>
        <w:rPr>
          <w:rFonts w:ascii="Consolas" w:hAnsi="Consolas" w:eastAsia="Noto Serif CJK SC"/>
        </w:rPr>
        <w:t xml:space="preserve">REFERENCE_VERIFICATION.md</w:t>
      </w:r>
      <w:r>
        <w:rPr/>
        <w:t xml:space="preserve">及各条原始链接。正式稿应将“现有工作”限定到已经读到的机制，不写未经核实的普遍缺陷。</w:t>
      </w:r>
    </w:p>
    <w:p>
      <w:pPr>
        <w:pStyle w:val="Heading1"/>
      </w:pPr>
      <w:r>
        <w:rPr/>
        <w:t xml:space="preserve">III. 问题定义与评价口径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相机曝光时刻与接收时刻关系、跨源偏移、动捕厂家标定编号；完整试验冻结配置；统一的目标到达精度阈值。所有试次的静止窗时长、最大配对间隔应最终汇成参数表。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起始对齐是否吸收固定偏差；动捕是否既参与估计又参与评价；帧数是否被当作独立实验；停止尾段是否影响动态RMSE。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ABC指标边界</w:t>
      </w:r>
      <w:r>
        <w:rPr/>
        <w:t xml:space="preserve">、</w:t>
      </w:r>
      <w:r>
        <w:rPr/>
        <w:t xml:space="preserve">有限线段投影</w:t>
      </w:r>
      <w:r>
        <w:rPr/>
        <w:t xml:space="preserve">、</w:t>
      </w:r>
      <w:r>
        <w:rPr/>
        <w:t xml:space="preserve">锚定误差实现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(2)仅定义定位残差；式(3)分别保留欧氏路径距离和法向横向误差，并区分全图全部线段搜索和合成记录带进度提示的局部搜索。终点定位残差、目标到达误差、静止抖动分别命名。正文未报告缺少真值的目标到达数值。</w:t>
      </w:r>
    </w:p>
    <w:p>
      <w:pPr>
        <w:pStyle w:val="Heading1"/>
      </w:pPr>
      <w:r>
        <w:rPr/>
        <w:t xml:space="preserve">IV-A. 锚定与重启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Tracker→base与base→IMU安装外参的独立测量依据；三秒初始化是否对所有正式记录一致；跨日期/多次冷启动的重复性。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单个静止站位如何处理完整姿态外参不确定性；世界关系与启动关系共享后，空间验证能独立说明什么；保留原生地图时为何称为动捕锚定。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core.py</w:t>
      </w:r>
      <w:r>
        <w:rPr/>
        <w:t xml:space="preserve">、</w:t>
      </w:r>
      <w:r>
        <w:rPr/>
        <w:t xml:space="preserve">world_capture.py</w:t>
      </w:r>
      <w:r>
        <w:rPr/>
        <w:t xml:space="preserve">、</w:t>
      </w:r>
      <w:r>
        <w:rPr/>
        <w:t xml:space="preserve">方法文档</w:t>
      </w:r>
      <w:r>
        <w:rPr/>
        <w:t xml:space="preserve">。式(5)是逐对刚体变换后分别求旋转和平移均值，没有全轨迹优化或尺度拟合。</w:t>
      </w:r>
    </w:p>
    <w:p>
      <w:pPr>
        <w:pStyle w:val="Heading1"/>
      </w:pPr>
      <w:r>
        <w:rPr/>
        <w:t xml:space="preserve">IV-B. 中途纠偏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局部偏差的主要来源；最终拟采用何种更新状态与作用范围；是否需要更换当前持久全局替换方案。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为何单站残差可施加到所有后续位置；同站后续窗口是否只是短时一致性；终点过补偿是否否定有效性主张。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checkpoints.py</w:t>
      </w:r>
      <w:r>
        <w:rPr/>
        <w:t xml:space="preserve">、</w:t>
      </w:r>
      <w:r>
        <w:rPr/>
        <w:t xml:space="preserve">最新三组审计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正文写明当前为完整SE(3)替换，无空间衰减、跨位置门控或协方差融合。没有把待研究的SE(2)约束、局部有效补偿等机制补写成现有实现。式(4)样本变换使用Aᵢ，与O→G更新变换H₀/H₁区分。</w:t>
      </w:r>
    </w:p>
    <w:p>
      <w:pPr>
        <w:pStyle w:val="Heading1"/>
      </w:pPr>
      <w:r>
        <w:rPr/>
        <w:t xml:space="preserve">IV-C. 几何路径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是否另有自动边缘转巡检多边形或多区域实现；每个试次实际偏置距离、路径采样和方向；巡检传感器视场与任务覆盖定义。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标准buffer外还有什么新算法；最大外环选择是否遗漏任务区域；凹形、窄通道和障碍下是否可行；人工操作量是否有比较。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方向估计</w:t>
      </w:r>
      <w:r>
        <w:rPr/>
        <w:t xml:space="preserve">、</w:t>
      </w:r>
      <w:r>
        <w:rPr/>
        <w:t xml:space="preserve">点击直通</w:t>
      </w:r>
      <w:r>
        <w:rPr/>
        <w:t xml:space="preserve">、</w:t>
      </w:r>
      <w:r>
        <w:rPr/>
        <w:t xml:space="preserve">多边形</w:t>
      </w:r>
      <w:r>
        <w:rPr/>
        <w:t xml:space="preserve">、</w:t>
      </w:r>
      <w:r>
        <w:rPr/>
        <w:t xml:space="preserve">偏置</w:t>
      </w:r>
      <w:r>
        <w:rPr/>
        <w:t xml:space="preserve">、</w:t>
      </w:r>
      <w:r>
        <w:rPr/>
        <w:t xml:space="preserve">执行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式(7)直接描述标准Buffer输出和最大外环选择，不宣称自动提边、多区域最优或覆盖保证。C++默认偏置1.0 m、launch默认0.9 m，不能直接用任一默认值代替实验冻结参数。</w:t>
      </w:r>
    </w:p>
    <w:p>
      <w:pPr>
        <w:pStyle w:val="Heading1"/>
      </w:pPr>
      <w:r>
        <w:rPr/>
        <w:t xml:space="preserve">IV-D. 引导采样控制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代码默认C++加速后端与Python参考实现的数值一致性；真实执行链辨识；在线平滑状态和队列重建；前馈项及代价索引是否需要修订。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重要性采样推导缺失；纯跟踪器已足够时为何需要1000条候选；执行模型和预瞄同时消融造成归因不清；比较方法计算预算和约束是否匹配。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controller.py</w:t>
      </w:r>
      <w:r>
        <w:rPr/>
        <w:t xml:space="preserve">、</w:t>
      </w:r>
      <w:r>
        <w:rPr/>
        <w:t xml:space="preserve">现有方法文档</w:t>
      </w:r>
      <w:r>
        <w:rPr/>
        <w:t xml:space="preserve">、</w:t>
      </w:r>
      <w:r>
        <w:rPr/>
        <w:t xml:space="preserve">机器可读模型</w:t>
      </w:r>
      <w:r>
        <w:rPr/>
        <w:t xml:space="preserve">、</w:t>
      </w:r>
      <w:r>
        <w:rPr/>
        <w:t xml:space="preserve">shadow入口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(8)由待执行队列长度确定预瞄，而不是假定已经从硬件辨识延迟；预测进度推进另给出实际分母限幅公式。式(12)保留实际阶段/终端索引，没有悄悄改成标准终端成本。式(13)平均残差序列，再复验，不写成直接平均动作。正文称引导采样MPC，不声称新增MPPI理论保证。</w:t>
      </w:r>
    </w:p>
    <w:p>
      <w:pPr>
        <w:pStyle w:val="Heading1"/>
      </w:pPr>
      <w:r>
        <w:rPr/>
        <w:t xml:space="preserve">V-A至V-C. 定位实验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底盘和动捕系统完整型号、计算平台、设备版本及硬件同步；多次独立启动、固定路标记录；公平对照和预先定义精度阈值。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三趟非配对试验的因果解释；持续动捕校正的同源评价；三处位置一次会话是否足够；三点拟合与第四点误差差异的原因。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ABC表</w:t>
      </w:r>
      <w:r>
        <w:rPr/>
        <w:t xml:space="preserve">、</w:t>
      </w:r>
      <w:r>
        <w:rPr/>
        <w:t xml:space="preserve">固定配准</w:t>
      </w:r>
      <w:r>
        <w:rPr/>
        <w:t xml:space="preserve">、</w:t>
      </w:r>
      <w:r>
        <w:rPr/>
        <w:t xml:space="preserve">三静止位置</w:t>
      </w:r>
      <w:r>
        <w:rPr/>
        <w:t xml:space="preserve">、</w:t>
      </w:r>
      <w:r>
        <w:rPr/>
        <w:t xml:space="preserve">动态前进汇总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复核状态：</w:t>
      </w:r>
      <w:r>
        <w:rPr/>
        <w:t xml:space="preserve">三静止点的冻结矩阵与原始95对位姿已重算，XY=7.784793962 mm、3D=16.317017238 mm，与表II一致。其余实车表主要引用归档报告和最新审计，并非本轮全部重放。</w:t>
      </w:r>
    </w:p>
    <w:p>
      <w:pPr>
        <w:pStyle w:val="Heading1"/>
      </w:pPr>
      <w:r>
        <w:rPr/>
        <w:t xml:space="preserve">V-D. 整圈巡检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统一路线和控制参数的重复试验；原生LIO长缺录原因；缓存TF时间问题的修复；各站点测量链在相机移动和刚体重识别后的有效性。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不同地图/路线/速度下如何比较；仅3帧终点能否说明稳定性；局部更新后终点恶化；长停车是否稀释跟踪指标。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最新审计</w:t>
      </w:r>
      <w:r>
        <w:rPr/>
        <w:t xml:space="preserve">、</w:t>
      </w:r>
      <w:r>
        <w:rPr/>
        <w:t xml:space="preserve">跨组统计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正式trial_02与0.60 m测试版2分行，未拼接数据；H₀离线终点值不冒充无纠偏重跑；异常刚体记录不作为有效精度；内部地图路径偏差不写成覆盖外真值跟踪精度。</w:t>
      </w:r>
    </w:p>
    <w:p>
      <w:pPr>
        <w:pStyle w:val="Heading1"/>
      </w:pPr>
      <w:r>
        <w:rPr/>
        <w:t xml:space="preserve">V-E. 合成控制实验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实车模型与在线状态、完整导航链对照、计算耗时闭环反馈、独立控制机制消融；增加核实后的原生MPPI版本作为单独基线。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为什么名义纯跟踪器更好；模型生成和评测是否过于一致；状态扰动能否代表真实定位；命令导数更大时如何说明代价；插件变异对比较有多大影响。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完整方法</w:t>
      </w:r>
      <w:r>
        <w:rPr/>
        <w:t xml:space="preserve">、</w:t>
      </w:r>
      <w:r>
        <w:rPr/>
        <w:t xml:space="preserve">弯道主表</w:t>
      </w:r>
      <w:r>
        <w:rPr/>
        <w:t xml:space="preserve">、</w:t>
      </w:r>
      <w:r>
        <w:rPr/>
        <w:t xml:space="preserve">平滑性表</w:t>
      </w:r>
      <w:r>
        <w:rPr/>
        <w:t xml:space="preserve">、</w:t>
      </w:r>
      <w:r>
        <w:rPr/>
        <w:t xml:space="preserve">基线检查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表V计算P95使用“单条弯道分位数后跨条汇总”，没有混用RESULTS.md全程计算P95。每条件9条为固定路径与复用种子的条件观测，不写成9个独立路线抽样；标准差不标为置信区间。正文另明确原生MPPI内部加速度限幅0.35 m/s²、0.65 rad/s²与完整预测/共同执行封套0.45 m/s²、0.80 rad/s²的差异，不将现有配置比较当成约束完全匹配的机制验证。其余24条恢复和2条历史路线仿真保留在原包，本版正文未展开，避免扩散主张。</w:t>
      </w:r>
    </w:p>
    <w:p>
      <w:pPr>
        <w:pStyle w:val="Heading1"/>
      </w:pPr>
      <w:r>
        <w:rPr/>
        <w:t xml:space="preserve">VI—VII. 讨论与结论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补充实验后哪个机制能够支撑最终贡献；是否需要将控制研究独立成稿。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目前更多体现实现与失效分析，是否具有足够方法增量；三部分之间是否有已经验证的必要联系。</w:t>
      </w:r>
    </w:p>
    <w:p>
      <w:pPr>
        <w:pStyle w:val="Normal"/>
      </w:pPr>
      <w:r>
        <w:rPr>
          <w:b/>
        </w:rPr>
        <w:t xml:space="preserve">修改方向：</w:t>
      </w:r>
      <w:r>
        <w:rPr/>
        <w:t xml:space="preserve">本版未按“凑齐三个创新点”拆分贡献。定位和控制结论分别限定，不用一个部分的仿真数据支持另一部分的实车主张。正式稿需在新增机制与统一验证完成后重新收敛标题、摘要和贡献段。</w:t>
      </w:r>
    </w:p>
    <w:p>
      <w:pPr>
        <w:pStyle w:val="Heading1"/>
      </w:pPr>
      <w:r>
        <w:rPr/>
        <w:t xml:space="preserve">与口述方案相比的实质性技术修订</w:t>
      </w:r>
    </w:p>
    <w:p>
      <w:pPr>
        <w:pStyle w:val="ListText"/>
      </w:pPr>
      <w:r>
        <w:rPr/>
        <w:t xml:space="preserve">1. “基于动捕坐标建图”改为“保留原生地图，冻结其与动捕世界的关系”，匹配现有实现。</w:t>
      </w:r>
    </w:p>
    <w:p>
      <w:pPr>
        <w:pStyle w:val="ListText"/>
      </w:pPr>
      <w:r>
        <w:rPr/>
        <w:t xml:space="preserve">2. “绝对精度7.78 mm”改为“一次会话三个留出位置相对既定动捕参考的静止残差RMSE”。</w:t>
      </w:r>
    </w:p>
    <w:p>
      <w:pPr>
        <w:pStyle w:val="ListText"/>
      </w:pPr>
      <w:r>
        <w:rPr/>
        <w:t xml:space="preserve">3. “NDT造成误差”限定为当前配置的短程诊断结果，不声称普遍因果。</w:t>
      </w:r>
    </w:p>
    <w:p>
      <w:pPr>
        <w:pStyle w:val="ListText"/>
      </w:pPr>
      <w:r>
        <w:rPr/>
        <w:t xml:space="preserve">4. “纠偏有效改善整圈轨迹”改为局部一致性收益与终点过补偿并列，保留失败证据。</w:t>
      </w:r>
    </w:p>
    <w:p>
      <w:pPr>
        <w:pStyle w:val="ListText"/>
      </w:pPr>
      <w:r>
        <w:rPr/>
        <w:t xml:space="preserve">5. “自动多区域几何规划”改为人工边界、标准外偏置及指定顺序执行；未补造另一版算法。</w:t>
      </w:r>
    </w:p>
    <w:p>
      <w:pPr>
        <w:pStyle w:val="ListText"/>
      </w:pPr>
      <w:r>
        <w:rPr/>
        <w:t xml:space="preserve">6. “新MPPI实车创新”改为有仿真证据的引导采样MPC原型；不添加理论保证。</w:t>
      </w:r>
    </w:p>
    <w:p>
      <w:pPr>
        <w:pStyle w:val="Heading1"/>
      </w:pPr>
      <w:r>
        <w:rPr/>
        <w:t xml:space="preserve">建议定稿时保留的图表</w:t>
      </w:r>
    </w:p>
    <w:p>
      <w:pPr>
        <w:pStyle w:val="ListText"/>
      </w:pPr>
      <w:r>
        <w:rPr/>
        <w:t xml:space="preserve">• 系统与坐标图：区分首次建图关系、每次启动关系、停点更新及两条实验链，不能画成新控制器已实车部署。</w:t>
      </w:r>
    </w:p>
    <w:p>
      <w:pPr>
        <w:pStyle w:val="ListText"/>
      </w:pPr>
      <w:r>
        <w:rPr/>
        <w:t xml:space="preserve">• 空间留出图：沿用三位置真实坐标与残差，不重新对齐以使曲线更好看。</w:t>
      </w:r>
    </w:p>
    <w:p>
      <w:pPr>
        <w:pStyle w:val="ListText"/>
      </w:pPr>
      <w:r>
        <w:rPr/>
        <w:t xml:space="preserve">• 纠偏作用图：使用同批保存位姿H₀/H₁审计，标清离线诊断。</w:t>
      </w:r>
    </w:p>
    <w:p>
      <w:pPr>
        <w:pStyle w:val="ListText"/>
      </w:pPr>
      <w:r>
        <w:rPr/>
        <w:t xml:space="preserve">• 控制对照图：名义和失配同时展示，包含纯跟踪器及命令导数代价。</w:t>
      </w:r>
    </w:p>
    <w:p>
      <w:pPr>
        <w:pStyle w:val="Normal"/>
      </w:pPr>
      <w:r>
        <w:rPr/>
        <w:t xml:space="preserve">当前全文是内容工作稿，公式与表格多于紧凑6页版本所需。后续应围绕最终主张删减，必要论证、限制和不利结果应保留在允许篇幅内。</w:t>
      </w:r>
    </w:p>
    <w:sectPr>
      <w:footerReference w:type="default" r:id="rIdFooter"/>
      <w:pgSz w:w="11906" w:h="16838"/>
      <w:pgMar w:top="1134" w:right="1203" w:bottom="1134" w:left="1203" w:header="567" w:footer="567" w:gutter="0"/>
      <w:cols w:space="425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szCs w:val="18"/>
        </w:rPr>
        <w:t xml:space="preserve">1</w:t>
      </w:r>
    </w:fldSimple>
  </w:p>
</w:ftr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>
  <w:zoom w:percent="100"/>
  <w:compat/>
  <m:mathPr>
    <m:mathFont m:val="Cambria Math"/>
    <m:brkBin m:val="before"/>
    <m:defJc m:val="center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Noto Serif CJK SC"/>
        <w:sz w:val="22"/>
        <w:szCs w:val="22"/>
        <w:lang w:val="en-US" w:eastAsia="zh-CN"/>
      </w:rPr>
    </w:rPrDefault>
  </w:docDefaults>
  <w:style w:type="paragraph" w:styleId="Normal" w:default="1">
    <w:name w:val="正文"/>
    <w:pPr>
      <w:spacing w:before="0" w:after="100" w:line="300" w:lineRule="auto"/>
      <w:widowControl/>
      <w:ind w:firstLine="440"/>
    </w:pPr>
    <w:rPr>
      <w:sz w:val="22"/>
      <w:szCs w:val="22"/>
    </w:rPr>
  </w:style>
  <w:style w:type="paragraph" w:styleId="Title">
    <w:name w:val="文稿标题"/>
    <w:basedOn w:val="Normal"/>
    <w:pPr>
      <w:spacing w:before="0" w:after="260" w:line="300" w:lineRule="auto"/>
      <w:widowControl/>
      <w:ind w:firstLine="0"/>
      <w:keepNext/>
      <w:keepLines/>
      <w:jc w:val="center"/>
    </w:pPr>
    <w:rPr>
      <w:sz w:val="34"/>
      <w:szCs w:val="34"/>
      <w:b/>
      <w:rFonts w:ascii="Times New Roman" w:hAnsi="Times New Roman" w:eastAsia="Noto Sans CJK SC"/>
    </w:rPr>
  </w:style>
  <w:style w:type="paragraph" w:styleId="Heading1">
    <w:name w:val="一级标题"/>
    <w:basedOn w:val="Normal"/>
    <w:pPr>
      <w:spacing w:before="250" w:after="130" w:line="300" w:lineRule="auto"/>
      <w:widowControl/>
      <w:ind w:firstLine="0"/>
      <w:keepNext/>
      <w:keepLines/>
      <w:outlineLvl w:val="0"/>
    </w:pPr>
    <w:rPr>
      <w:sz w:val="27"/>
      <w:szCs w:val="27"/>
      <w:b/>
      <w:rFonts w:ascii="Times New Roman" w:hAnsi="Times New Roman" w:eastAsia="Noto Sans CJK SC"/>
    </w:rPr>
  </w:style>
  <w:style w:type="paragraph" w:styleId="Heading2">
    <w:name w:val="二级标题"/>
    <w:basedOn w:val="Normal"/>
    <w:pPr>
      <w:spacing w:before="190" w:after="100" w:line="300" w:lineRule="auto"/>
      <w:widowControl/>
      <w:ind w:firstLine="0"/>
      <w:keepNext/>
      <w:keepLines/>
      <w:outlineLvl w:val="1"/>
    </w:pPr>
    <w:rPr>
      <w:sz w:val="24"/>
      <w:szCs w:val="24"/>
      <w:b/>
      <w:rFonts w:ascii="Times New Roman" w:hAnsi="Times New Roman" w:eastAsia="Noto Sans CJK SC"/>
    </w:rPr>
  </w:style>
  <w:style w:type="paragraph" w:styleId="Heading3">
    <w:name w:val="三级标题"/>
    <w:basedOn w:val="Normal"/>
    <w:pPr>
      <w:spacing w:before="140" w:after="80" w:line="300" w:lineRule="auto"/>
      <w:widowControl/>
      <w:ind w:firstLine="0"/>
      <w:keepNext/>
      <w:keepLines/>
      <w:outlineLvl w:val="2"/>
    </w:pPr>
    <w:rPr>
      <w:sz w:val="22"/>
      <w:szCs w:val="22"/>
      <w:b/>
      <w:rFonts w:ascii="Times New Roman" w:hAnsi="Times New Roman" w:eastAsia="Noto Sans CJK SC"/>
    </w:rPr>
  </w:style>
  <w:style w:type="paragraph" w:styleId="Equation">
    <w:name w:val="公式"/>
    <w:basedOn w:val="Normal"/>
    <w:pPr>
      <w:spacing w:before="100" w:after="120" w:line="300" w:lineRule="auto"/>
      <w:widowControl/>
      <w:ind w:firstLine="0"/>
      <w:jc w:val="center"/>
    </w:pPr>
    <w:rPr>
      <w:sz w:val="21"/>
      <w:szCs w:val="21"/>
    </w:rPr>
  </w:style>
  <w:style w:type="paragraph" w:styleId="TableText">
    <w:name w:val="表格正文"/>
    <w:basedOn w:val="Normal"/>
    <w:pPr>
      <w:spacing w:before="0" w:after="35" w:line="300" w:lineRule="auto"/>
      <w:widowControl/>
      <w:ind w:firstLine="0"/>
      <w:jc w:val="center"/>
    </w:pPr>
    <w:rPr>
      <w:sz w:val="18"/>
      <w:szCs w:val="18"/>
    </w:rPr>
  </w:style>
  <w:style w:type="paragraph" w:styleId="Caption">
    <w:name w:val="表题"/>
    <w:basedOn w:val="Normal"/>
    <w:pPr>
      <w:spacing w:before="130" w:after="90" w:line="300" w:lineRule="auto"/>
      <w:widowControl/>
      <w:ind w:firstLine="0"/>
      <w:keepNext/>
      <w:keepLines/>
      <w:jc w:val="center"/>
    </w:pPr>
    <w:rPr>
      <w:sz w:val="21"/>
      <w:szCs w:val="21"/>
      <w:b/>
      <w:rFonts w:ascii="Times New Roman" w:hAnsi="Times New Roman" w:eastAsia="Noto Sans CJK SC"/>
    </w:rPr>
  </w:style>
  <w:style w:type="paragraph" w:styleId="TableNote">
    <w:name w:val="表注"/>
    <w:basedOn w:val="Normal"/>
    <w:pPr>
      <w:spacing w:before="0" w:after="100" w:line="300" w:lineRule="auto"/>
      <w:widowControl/>
      <w:ind w:firstLine="0"/>
    </w:pPr>
    <w:rPr>
      <w:sz w:val="18"/>
      <w:szCs w:val="18"/>
    </w:rPr>
  </w:style>
  <w:style w:type="paragraph" w:styleId="Reference">
    <w:name w:val="参考文献"/>
    <w:basedOn w:val="Normal"/>
    <w:pPr>
      <w:spacing w:before="0" w:after="75" w:line="300" w:lineRule="auto"/>
      <w:widowControl/>
      <w:ind w:firstLine="0"/>
    </w:pPr>
    <w:rPr>
      <w:sz w:val="19"/>
      <w:szCs w:val="19"/>
    </w:rPr>
  </w:style>
  <w:style w:type="paragraph" w:styleId="AuthorNote">
    <w:name w:val="版本说明"/>
    <w:basedOn w:val="Normal"/>
    <w:pPr>
      <w:spacing w:before="0" w:after="180" w:line="300" w:lineRule="auto"/>
      <w:widowControl/>
      <w:ind w:firstLine="0"/>
    </w:pPr>
    <w:rPr>
      <w:sz w:val="18"/>
      <w:szCs w:val="18"/>
      <w:color w:val="666666"/>
    </w:rPr>
  </w:style>
  <w:style w:type="paragraph" w:styleId="ListText">
    <w:name w:val="列表"/>
    <w:basedOn w:val="Normal"/>
    <w:pPr>
      <w:spacing w:before="0" w:after="80" w:line="300" w:lineRule="auto"/>
      <w:widowControl/>
      <w:ind w:firstLine="0"/>
      <w:ind w:left="280" w:hanging="280"/>
    </w:pPr>
    <w:rPr>
      <w:sz w:val="21"/>
      <w:szCs w:val="21"/>
    </w:rPr>
  </w:style>
  <w:style w:type="paragraph" w:styleId="Spacer">
    <w:name w:val="间隔"/>
    <w:basedOn w:val="Normal"/>
    <w:pPr>
      <w:spacing w:before="0" w:after="0" w:line="300" w:lineRule="auto"/>
      <w:widowControl/>
      <w:ind w:firstLine="0"/>
    </w:pPr>
    <w:rPr>
      <w:sz w:val="6"/>
      <w:szCs w:val="6"/>
    </w:rPr>
  </w:style>
</w:styles>
</file>

<file path=word/_rels/document.xml.rels><?xml version='1.0' encoding='UTF-8' standalone='yes'?>
<ns0:Relationships xmlns:ns0="http://schemas.openxmlformats.org/package/2006/relationships"><ns0:Relationship Id="rIdStyles" Type="http://schemas.openxmlformats.org/officeDocument/2006/relationships/styles" Target="styles.xml"/><ns0:Relationship Id="rIdSettings" Type="http://schemas.openxmlformats.org/officeDocument/2006/relationships/settings" Target="settings.xml"/><ns0:Relationship Id="rIdFooter" Type="http://schemas.openxmlformats.org/officeDocument/2006/relationships/footer" Target="footer1.xml"/></ns0:Relationships>
</file>