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相关工作（基准建图与时延补偿研究稿）</w:t>
      </w:r>
    </w:p>
    <w:p>
      <w:pPr>
        <w:pStyle w:val="Subtitle"/>
      </w:pPr>
      <w:r>
        <w:t xml:space="preserve">外部绝对参考约束下的基准建图、观测补偿与路径执行</w:t>
      </w:r>
    </w:p>
    <w:p>
      <w:pPr>
        <w:pStyle w:val="Meta"/>
      </w:pPr>
      <w:r>
        <w:t xml:space="preserve">中文章节草稿｜检索截止：2026年10月22日｜本文件引用编号独立，合稿时统一编号。</w:t>
      </w:r>
    </w:p>
    <w:p>
      <w:pPr>
        <w:pStyle w:val="Meta"/>
      </w:pPr>
      <w:r>
        <w:t xml:space="preserve">研究设计状态：时延感知观测补偿模型及补偿增益尚待建立与验证；本稿不包含该模型的实验结论。</w:t>
      </w:r>
    </w:p>
    <w:p>
      <w:pPr>
        <w:pStyle w:val="Heading1"/>
      </w:pPr>
      <w:r>
        <w:t xml:space="preserve">II. 相关工作</w:t>
      </w:r>
    </w:p>
    <w:p>
      <w:pPr>
        <w:pStyle w:val="Heading2"/>
      </w:pPr>
      <w:r>
        <w:t xml:space="preserve">A. 激光惯性估计与地图定位</w:t>
      </w:r>
    </w:p>
    <w:p>
      <w:pPr>
        <w:pStyle w:val="Normal"/>
      </w:pPr>
      <w:r>
        <w:t xml:space="preserve">室内移动作业需要将机器人运动与地图中的固定任务位置建立对应关系。激光惯性估计通过融合环境几何与惯性观测，为这一过程提供连续位姿。KISS-ICP结合运动补偿、自适应对应阈值与鲁棒核，构建简洁的点到点配准流程</w:t>
      </w:r>
      <w:hyperlink w:anchor="ref_1">
        <w:r>
          <w:rPr>
            <w:color w:val="245B9E"/>
          </w:rPr>
          <w:t xml:space="preserve">[1]</w:t>
        </w:r>
      </w:hyperlink>
      <w:r>
        <w:t xml:space="preserve">；FAST-LIO2通过原始点云直接配准、迭代卡尔曼滤波和增量地图维护实现紧耦合运动估计</w:t>
      </w:r>
      <w:hyperlink w:anchor="ref_2">
        <w:r>
          <w:rPr>
            <w:color w:val="245B9E"/>
          </w:rPr>
          <w:t xml:space="preserve">[2]</w:t>
        </w:r>
      </w:hyperlink>
      <w:r>
        <w:t xml:space="preserve">。针对观测与地图之间的关联，LIO-GVM利用高斯分布差异筛选对应并构造测量残差</w:t>
      </w:r>
      <w:hyperlink w:anchor="ref_3">
        <w:r>
          <w:rPr>
            <w:color w:val="245B9E"/>
          </w:rPr>
          <w:t xml:space="preserve">[3]</w:t>
        </w:r>
      </w:hyperlink>
      <w:r>
        <w:t xml:space="preserve">，LocNDF则以连续神经距离场支持扫描配准和地图定位</w:t>
      </w:r>
      <w:hyperlink w:anchor="ref_4">
        <w:r>
          <w:rPr>
            <w:color w:val="245B9E"/>
          </w:rPr>
          <w:t xml:space="preserve">[4]</w:t>
        </w:r>
      </w:hyperlink>
      <w:r>
        <w:t xml:space="preserve">。这些方法从不同环节改善机器人对自身运动及环境几何的估计。</w:t>
      </w:r>
    </w:p>
    <w:p>
      <w:pPr>
        <w:pStyle w:val="Normal"/>
      </w:pPr>
      <w:r>
        <w:t xml:space="preserve">进一步的性能提升可以来自异构观测与平台约束。FAST-LIVO2在统一体素地图中融合激光、视觉和惯性信息，并通过顺序更新与在线曝光估计处理异构测量和图像亮度变化</w:t>
      </w:r>
      <w:hyperlink w:anchor="ref_5">
        <w:r>
          <w:rPr>
            <w:color w:val="245B9E"/>
          </w:rPr>
          <w:t xml:space="preserve">[5]</w:t>
        </w:r>
      </w:hyperlink>
      <w:r>
        <w:t xml:space="preserve">。Wheel-Legged SLAM利用轮腿运动学构造垂直修正因子，并通过重力重估因子约束姿态估计</w:t>
      </w:r>
      <w:hyperlink w:anchor="ref_6">
        <w:r>
          <w:rPr>
            <w:color w:val="245B9E"/>
          </w:rPr>
          <w:t xml:space="preserve">[6]</w:t>
        </w:r>
      </w:hyperlink>
      <w:r>
        <w:t xml:space="preserve">。上述工作体现了观测模型与任务平台结合的价值。对于固定位置上的高精度作业，还需要明确估计轨迹与外部作业基准之间的关系：局部地图中的轨迹吻合程度，不能直接代替机器人相对于任务基准的位置准确性。</w:t>
      </w:r>
    </w:p>
    <w:p>
      <w:pPr>
        <w:pStyle w:val="Heading2"/>
      </w:pPr>
      <w:r>
        <w:t xml:space="preserve">B. 外部定位约束与固定作业基准</w:t>
      </w:r>
    </w:p>
    <w:p>
      <w:pPr>
        <w:pStyle w:val="Normal"/>
      </w:pPr>
      <w:r>
        <w:t xml:space="preserve">GNSS等外部定位观测能够将局部运动估计关联至固定空间参考。GVINS将GNSS伪距、多普勒与视觉、惯性观测纳入因子图，并通过初始化建立局部坐标与全球参考之间的关系</w:t>
      </w:r>
      <w:hyperlink w:anchor="ref_7">
        <w:r>
          <w:rPr>
            <w:color w:val="245B9E"/>
          </w:rPr>
          <w:t xml:space="preserve">[7]</w:t>
        </w:r>
      </w:hyperlink>
      <w:r>
        <w:t xml:space="preserve">。GLIO进一步联合GNSS、LiDAR和IMU原始观测，以滑动窗口和批量优化协调局部运动估计与全局约束</w:t>
      </w:r>
      <w:hyperlink w:anchor="ref_8">
        <w:r>
          <w:rPr>
            <w:color w:val="245B9E"/>
          </w:rPr>
          <w:t xml:space="preserve">[8]</w:t>
        </w:r>
      </w:hyperlink>
      <w:r>
        <w:t xml:space="preserve">。在GNSS不可用的环境中，MR-ULINS将UWB测距、LiDAR帧间观测和IMU观测紧耦合，并通过测距误差估计与多历元异常值剔除处理外部观测偏差</w:t>
      </w:r>
      <w:hyperlink w:anchor="ref_9">
        <w:r>
          <w:rPr>
            <w:color w:val="245B9E"/>
          </w:rPr>
          <w:t xml:space="preserve">[9]</w:t>
        </w:r>
      </w:hyperlink>
      <w:r>
        <w:t xml:space="preserve">。这些研究说明，外部定位约束的作用取决于参考坐标、观测质量及其与机载估计的结合方式。</w:t>
      </w:r>
    </w:p>
    <w:p>
      <w:pPr>
        <w:pStyle w:val="Normal"/>
      </w:pPr>
      <w:r>
        <w:t xml:space="preserve">室内高精度作业进一步要求地图、定位结果与任务目标共享固定基准。GNSS在建筑遮挡和室内环境中的可用性受限，其他外部设施也具有各自的测量覆盖与标定条件。因此，局部外部参考可用的场景需要同时解决两个问题：如何在建图阶段建立可追溯的坐标基准，以及机器人离开和重新进入参考覆盖区时如何维持与更新定位关系。已有AMR校准研究以外部动捕数据学习目标到达偏差，并在目标层实施位置补偿</w:t>
      </w:r>
      <w:hyperlink w:anchor="ref_10">
        <w:r>
          <w:rPr>
            <w:color w:val="245B9E"/>
          </w:rPr>
          <w:t xml:space="preserve">[10]</w:t>
        </w:r>
      </w:hyperlink>
      <w:r>
        <w:t xml:space="preserve">，提供了外部测量改善作业定位的一种路径。</w:t>
      </w:r>
    </w:p>
    <w:p>
      <w:pPr>
        <w:pStyle w:val="Normal"/>
      </w:pPr>
      <w:r>
        <w:t xml:space="preserve">围绕这一需求，本文将运动捕捉作为固定空间基准的来源，采用外部参考锚定的基准建图思路：利用外部位姿观测确定并冻结地图原点及坐标关系，使环境地图、机器人位姿与作业目标具有可追溯的空间联系。该设计为固定基准下的重复定位、路径定义与定位误差评价提供基础，并为重新获得外部观测后的局部补偿建立统一参考。其研究价值体现在建图基准与后续定位之间的衔接。</w:t>
      </w:r>
    </w:p>
    <w:p>
      <w:pPr>
        <w:pStyle w:val="Heading2"/>
      </w:pPr>
      <w:r>
        <w:t xml:space="preserve">C. 异步观测与时延感知位姿补偿</w:t>
      </w:r>
    </w:p>
    <w:p>
      <w:pPr>
        <w:pStyle w:val="Normal"/>
      </w:pPr>
      <w:r>
        <w:t xml:space="preserve">固定的空间参考解决了位姿表达的基准问题，但动态定位还取决于观测对应的时间。传感器间时间偏移会影响观测关联，计算与传输造成的输出滞后则会影响导航使用状态的时效性。FF-LINS在相对测量与IMU预积分联合优化中估计LiDAR–IMU外参和时间延迟参数</w:t>
      </w:r>
      <w:hyperlink w:anchor="ref_11">
        <w:r>
          <w:rPr>
            <w:color w:val="245B9E"/>
          </w:rPr>
          <w:t xml:space="preserve">[11]</w:t>
        </w:r>
      </w:hyperlink>
      <w:r>
        <w:t xml:space="preserve">。Li等将相机–IMU时间偏移加入视觉惯性系统状态，并通过双阶段滤波实施在线时间标定</w:t>
      </w:r>
      <w:hyperlink w:anchor="ref_12">
        <w:r>
          <w:rPr>
            <w:color w:val="245B9E"/>
          </w:rPr>
          <w:t xml:space="preserve">[12]</w:t>
        </w:r>
      </w:hyperlink>
      <w:r>
        <w:t xml:space="preserve">。MoCap2GT联合外部位姿与IMU观测，估计空间标定参数、变化的时间偏移及参考轨迹，其目标是构造用于SLAM评价的参考</w:t>
      </w:r>
      <w:hyperlink w:anchor="ref_13">
        <w:r>
          <w:rPr>
            <w:color w:val="245B9E"/>
          </w:rPr>
          <w:t xml:space="preserve">[13]</w:t>
        </w:r>
      </w:hyperlink>
      <w:r>
        <w:t xml:space="preserve">。这些工作分别说明了内部观测时间标定和外部参考时序处理的作用。</w:t>
      </w:r>
    </w:p>
    <w:p>
      <w:pPr>
        <w:pStyle w:val="Normal"/>
      </w:pPr>
      <w:r>
        <w:t xml:space="preserve">对于局部外部参考辅助的在线导航，需要进一步区分运动累计偏差与观测时序差异：同一车体在不同时刻的位置差异，可能同时包含真实运动和定位误差。本文拟在冻结的地图基准下构建时延感知外部位姿补偿模型，围绕观测时间关联、运动传播与补偿增益设计，研究如何利用对齐后的外部位姿残差补偿FAST-LIO累计位姿误差，并将补偿与导航使用的状态时刻关联。研究目标是协调固定参考下的定位准确性与动态状态的时效性；具体更新对象、增益机制及其对导航误差的作用将在模型实现后验证。</w:t>
      </w:r>
    </w:p>
    <w:p>
      <w:pPr>
        <w:pStyle w:val="Heading2"/>
      </w:pPr>
      <w:r>
        <w:t xml:space="preserve">D. 作业几何约束与参考路径生成</w:t>
      </w:r>
    </w:p>
    <w:p>
      <w:pPr>
        <w:pStyle w:val="Normal"/>
      </w:pPr>
      <w:r>
        <w:t xml:space="preserve">作业路径需要将地图中的目标几何转化为具有明确空间含义的运动参考。Becoy等通过二维导航地图的形态学骨架生成兴趣点和访问序列，组织机器人导航与环境扫描</w:t>
      </w:r>
      <w:hyperlink w:anchor="ref_14">
        <w:r>
          <w:rPr>
            <w:color w:val="245B9E"/>
          </w:rPr>
          <w:t xml:space="preserve">[14]</w:t>
        </w:r>
      </w:hyperlink>
      <w:r>
        <w:t xml:space="preserve">。Ramesh等研究栅格区域中的覆盖线组织与子回路合并，并在其问题设定下给出路径长度近似保证</w:t>
      </w:r>
      <w:hyperlink w:anchor="ref_15">
        <w:r>
          <w:rPr>
            <w:color w:val="245B9E"/>
          </w:rPr>
          <w:t xml:space="preserve">[15]</w:t>
        </w:r>
      </w:hyperlink>
      <w:r>
        <w:t xml:space="preserve">。Yang等结合多边形边界内缩、障碍外扩、区域分解与作业方向搜索生成覆盖路径</w:t>
      </w:r>
      <w:hyperlink w:anchor="ref_16">
        <w:r>
          <w:rPr>
            <w:color w:val="245B9E"/>
          </w:rPr>
          <w:t xml:space="preserve">[16]</w:t>
        </w:r>
      </w:hyperlink>
      <w:r>
        <w:t xml:space="preserve">。这些方法分别关注环境遍历、覆盖效率与区域几何处理。</w:t>
      </w:r>
    </w:p>
    <w:p>
      <w:pPr>
        <w:pStyle w:val="Normal"/>
      </w:pPr>
      <w:r>
        <w:t xml:space="preserve">沿设备或区域边界进行观测和作业时，路径还需要表达相对于目标边界的指定间距。本文以二维地图上选定的边界点构成多边形，通过可调距离外偏置和采样构造参考路径，使边界形状、作业间距与执行路径之间保持明确对应。固定空间基准为该几何关系提供坐标基础，路径执行则决定机器人能否保持预定的作业位置关系。由此，定位基准、路径几何与跟踪误差需要在同一任务定义下进行评价。</w:t>
      </w:r>
    </w:p>
    <w:p>
      <w:pPr>
        <w:pStyle w:val="Heading2"/>
      </w:pPr>
      <w:r>
        <w:t xml:space="preserve">E. 采样预测控制与执行响应补偿</w:t>
      </w:r>
    </w:p>
    <w:p>
      <w:pPr>
        <w:pStyle w:val="Normal"/>
      </w:pPr>
      <w:r>
        <w:t xml:space="preserve">准确的定位和几何参考仍需通过底盘响应转化为实际运动。MPPI通过采样控制序列、滚动预测与轨迹代价加权更新处理非线性控制问题</w:t>
      </w:r>
      <w:hyperlink w:anchor="ref_17">
        <w:r>
          <w:rPr>
            <w:color w:val="245B9E"/>
          </w:rPr>
          <w:t xml:space="preserve">[17]</w:t>
        </w:r>
      </w:hyperlink>
      <w:r>
        <w:t xml:space="preserve">。RMPPI将跟踪控制器纳入增广预测与重要性采样</w:t>
      </w:r>
      <w:hyperlink w:anchor="ref_18">
        <w:r>
          <w:rPr>
            <w:color w:val="245B9E"/>
          </w:rPr>
          <w:t xml:space="preserve">[18]</w:t>
        </w:r>
      </w:hyperlink>
      <w:r>
        <w:t xml:space="preserve">，SVG-MPPI则利用Stein变分方法搜索目标模态并引导采样</w:t>
      </w:r>
      <w:hyperlink w:anchor="ref_19">
        <w:r>
          <w:rPr>
            <w:color w:val="245B9E"/>
          </w:rPr>
          <w:t xml:space="preserve">[19]</w:t>
        </w:r>
      </w:hyperlink>
      <w:r>
        <w:t xml:space="preserve">。这些工作为反馈与采样搜索的结合提供了基础。</w:t>
      </w:r>
    </w:p>
    <w:p>
      <w:pPr>
        <w:pStyle w:val="Normal"/>
      </w:pPr>
      <w:r>
        <w:t xml:space="preserve">近期方法进一步关注优化更新、模型不确定性与执行时刻。Feedback-MPPI利用预测轨迹及代价的敏感度计算局部反馈，使完整优化更新之间能够执行快速闭环修正</w:t>
      </w:r>
      <w:hyperlink w:anchor="ref_20">
        <w:r>
          <w:rPr>
            <w:color w:val="245B9E"/>
          </w:rPr>
          <w:t xml:space="preserve">[20]</w:t>
        </w:r>
      </w:hyperlink>
      <w:r>
        <w:t xml:space="preserve">。PRMPPI通过在线参数学习与概率安全约束处理模型不确定性</w:t>
      </w:r>
      <w:hyperlink w:anchor="ref_21">
        <w:r>
          <w:rPr>
            <w:color w:val="245B9E"/>
          </w:rPr>
          <w:t xml:space="preserve">[21]</w:t>
        </w:r>
      </w:hyperlink>
      <w:r>
        <w:t xml:space="preserve">。CLIS-MPPI将执行延迟引起的状态差异表示为初始状态不确定性，并联合采样初始状态与控制序列；本文按其2026年预印本引用</w:t>
      </w:r>
      <w:hyperlink w:anchor="ref_22">
        <w:r>
          <w:rPr>
            <w:color w:val="245B9E"/>
          </w:rPr>
          <w:t xml:space="preserve">[22]</w:t>
        </w:r>
      </w:hyperlink>
      <w:r>
        <w:t xml:space="preserve">。这些工作的作用位置不同，也提示位姿输出滞后与控制执行延迟需要分别建模。</w:t>
      </w:r>
    </w:p>
    <w:p>
      <w:pPr>
        <w:pStyle w:val="Normal"/>
      </w:pPr>
      <w:r>
        <w:t xml:space="preserve">本文控制原型以曲率跟踪器提供动作提议，搜索输入残差序列，并将指令限幅、待执行命令队列和一阶响应纳入运动预测，重点处理转弯过程中的执行失配。结合前述外部基准与拟研究的定位补偿，整体研究围绕三个相互关联的环节展开：建图与任务定义采用何种空间基准，导航获得的位姿对应何种运动时刻，以及控制指令如何形成实际轨迹。这一组织方式使定位、规划和控制分别对应可检验的误差来源。</w:t>
      </w:r>
    </w:p>
    <w:p>
      <w:pPr>
        <w:pStyle w:val="Heading1"/>
        <w:pageBreakBefore/>
      </w:pPr>
      <w:r>
        <w:t xml:space="preserve">参考文献</w:t>
      </w:r>
    </w:p>
    <w:p>
      <w:pPr>
        <w:pStyle w:val="Meta"/>
      </w:pPr>
      <w:r>
        <w:t xml:space="preserve">优先采用已核实的正式出版题录；会议论文及预印本保留对应出版类型。DOI与原始来源均可点击。</w:t>
      </w:r>
    </w:p>
    <w:p>
      <w:pPr>
        <w:pStyle w:val="Reference"/>
      </w:pPr>
      <w:bookmarkStart w:id="1" w:name="ref_1"/>
      <w:r>
        <w:t xml:space="preserve">[1] I. Vizzo, T. Guadagnino, B. Mersch, L. Wiesmann, J. Behley, and C. Stachniss, “KISS-ICP: In Defense of Point-to-Point ICP—Simple, Accurate, and Robust Registration If Done the Right Way,” IEEE Robotics and Automation Letters, vol. 8, no. 2, pp. 1029–1036, 2023. doi: 10.1109/LRA.2023.3236571.</w:t>
      </w:r>
      <w:r>
        <w:t xml:space="preserve"> </w:t>
      </w:r>
      <w:hyperlink r:id="rId4">
        <w:r>
          <w:rPr>
            <w:color w:val="245B9E"/>
          </w:rPr>
          <w:t xml:space="preserve">DOI / 原文</w:t>
        </w:r>
      </w:hyperlink>
      <w:bookmarkEnd w:id="1"/>
    </w:p>
    <w:p>
      <w:pPr>
        <w:pStyle w:val="Reference"/>
      </w:pPr>
      <w:bookmarkStart w:id="2" w:name="ref_2"/>
      <w:r>
        <w:t xml:space="preserve">[2] W. Xu, Y. Cai, D. He, J. Lin, and F. Zhang, “FAST-LIO2: Fast Direct LiDAR-Inertial Odometry,” IEEE Transactions on Robotics, vol. 38, no. 4, pp. 2053–2073, 2022. doi: 10.1109/TRO.2022.3141876.</w:t>
      </w:r>
      <w:r>
        <w:t xml:space="preserve"> </w:t>
      </w:r>
      <w:hyperlink r:id="rId5">
        <w:r>
          <w:rPr>
            <w:color w:val="245B9E"/>
          </w:rPr>
          <w:t xml:space="preserve">DOI / 原文</w:t>
        </w:r>
      </w:hyperlink>
      <w:bookmarkEnd w:id="2"/>
    </w:p>
    <w:p>
      <w:pPr>
        <w:pStyle w:val="Reference"/>
      </w:pPr>
      <w:bookmarkStart w:id="3" w:name="ref_3"/>
      <w:r>
        <w:t xml:space="preserve">[3] X. Ji, S. Yuan, P. Yin, and L. Xie, “LIO-GVM: An Accurate, Tightly-Coupled Lidar-Inertial Odometry With Gaussian Voxel Map,” IEEE Robotics and Automation Letters, vol. 9, no. 3, pp. 2200–2207, 2024. doi: 10.1109/LRA.2024.3354616.</w:t>
      </w:r>
      <w:r>
        <w:t xml:space="preserve"> </w:t>
      </w:r>
      <w:hyperlink r:id="rId6">
        <w:r>
          <w:rPr>
            <w:color w:val="245B9E"/>
          </w:rPr>
          <w:t xml:space="preserve">DOI / 原文</w:t>
        </w:r>
      </w:hyperlink>
      <w:bookmarkEnd w:id="3"/>
    </w:p>
    <w:p>
      <w:pPr>
        <w:pStyle w:val="Reference"/>
      </w:pPr>
      <w:bookmarkStart w:id="4" w:name="ref_4"/>
      <w:r>
        <w:t xml:space="preserve">[4] L. Wiesmann, T. Guadagnino, I. Vizzo, N. Zimmerman, Y. Pan, H. Kuang, J. Behley, and C. Stachniss, “LocNDF: Neural Distance Field Mapping for Robot Localization,” IEEE Robotics and Automation Letters, vol. 8, no. 8, pp. 4999–5006, 2023. doi: 10.1109/LRA.2023.3291274.</w:t>
      </w:r>
      <w:r>
        <w:t xml:space="preserve"> </w:t>
      </w:r>
      <w:hyperlink r:id="rId7">
        <w:r>
          <w:rPr>
            <w:color w:val="245B9E"/>
          </w:rPr>
          <w:t xml:space="preserve">DOI / 原文</w:t>
        </w:r>
      </w:hyperlink>
      <w:bookmarkEnd w:id="4"/>
    </w:p>
    <w:p>
      <w:pPr>
        <w:pStyle w:val="Reference"/>
      </w:pPr>
      <w:bookmarkStart w:id="5" w:name="ref_5"/>
      <w:r>
        <w:t xml:space="preserve">[5] C. Zheng, W. Xu, Z. Zou, T. Hua, C. Yuan, D. He, B. Zhou, Z. Liu, J. Lin, F. Zhu, Y. Ren, R. Wang, F. Meng, and F. Zhang, “FAST-LIVO2: Fast, Direct LiDAR–Inertial–Visual Odometry,” IEEE Transactions on Robotics, vol. 41, pp. 326–346, 2025. doi: 10.1109/TRO.2024.3502198.</w:t>
      </w:r>
      <w:r>
        <w:t xml:space="preserve"> </w:t>
      </w:r>
      <w:hyperlink r:id="rId8">
        <w:r>
          <w:rPr>
            <w:color w:val="245B9E"/>
          </w:rPr>
          <w:t xml:space="preserve">DOI / 原文</w:t>
        </w:r>
      </w:hyperlink>
      <w:bookmarkEnd w:id="5"/>
    </w:p>
    <w:p>
      <w:pPr>
        <w:pStyle w:val="Reference"/>
      </w:pPr>
      <w:bookmarkStart w:id="6" w:name="ref_6"/>
      <w:r>
        <w:t xml:space="preserve">[6] Y. Wen, Y. Li, Q. Shang, C. Jiang, H. Hou, H. Liu, Y. Zhang, and L. Han, “Wheel-Legged SLAM: Indoor LiDAR-Inertial SLAM Integrating Kinematic Model of Wheel-Legged Robots,” IEEE Robotics and Automation Letters, vol. 10, no. 2, pp. 1273–1280, 2025. doi: 10.1109/LRA.2024.3521184.</w:t>
      </w:r>
      <w:r>
        <w:t xml:space="preserve"> </w:t>
      </w:r>
      <w:hyperlink r:id="rId9">
        <w:r>
          <w:rPr>
            <w:color w:val="245B9E"/>
          </w:rPr>
          <w:t xml:space="preserve">DOI / 原文</w:t>
        </w:r>
      </w:hyperlink>
      <w:bookmarkEnd w:id="6"/>
    </w:p>
    <w:p>
      <w:pPr>
        <w:pStyle w:val="Reference"/>
      </w:pPr>
      <w:bookmarkStart w:id="7" w:name="ref_7"/>
      <w:r>
        <w:t xml:space="preserve">[7] S. Cao, X. Lu, and S. Shen, “GVINS: Tightly Coupled GNSS–Visual–Inertial Fusion for Smooth and Consistent State Estimation,” IEEE Transactions on Robotics, vol. 38, no. 4, pp. 2004–2021, 2022. doi: 10.1109/TRO.2021.3133730.</w:t>
      </w:r>
      <w:r>
        <w:t xml:space="preserve"> </w:t>
      </w:r>
      <w:hyperlink r:id="rId10">
        <w:r>
          <w:rPr>
            <w:color w:val="245B9E"/>
          </w:rPr>
          <w:t xml:space="preserve">DOI / 原文</w:t>
        </w:r>
      </w:hyperlink>
      <w:bookmarkEnd w:id="7"/>
    </w:p>
    <w:p>
      <w:pPr>
        <w:pStyle w:val="Reference"/>
      </w:pPr>
      <w:bookmarkStart w:id="8" w:name="ref_8"/>
      <w:r>
        <w:t xml:space="preserve">[8] X. Liu, W. Wen, and L.-T. Hsu, “GLIO: Tightly-Coupled GNSS/LiDAR/IMU Integration for Continuous and Drift-Free State Estimation of Intelligent Vehicles in Urban Areas,” IEEE Transactions on Intelligent Vehicles, vol. 9, no. 1, pp. 1412–1422, 2024. doi: 10.1109/TIV.2023.3323648.</w:t>
      </w:r>
      <w:r>
        <w:t xml:space="preserve"> </w:t>
      </w:r>
      <w:hyperlink r:id="rId11">
        <w:r>
          <w:rPr>
            <w:color w:val="245B9E"/>
          </w:rPr>
          <w:t xml:space="preserve">DOI / 原文</w:t>
        </w:r>
      </w:hyperlink>
      <w:bookmarkEnd w:id="8"/>
    </w:p>
    <w:p>
      <w:pPr>
        <w:pStyle w:val="Reference"/>
      </w:pPr>
      <w:bookmarkStart w:id="9" w:name="ref_9"/>
      <w:r>
        <w:t xml:space="preserve">[9] T. Zhang, M. Yuan, L. Wei, Y. Wang, H. Tang, and X. Niu, “MR-ULINS: A Tightly-Coupled UWB-LiDAR-Inertial Estimator With Multi-Epoch Outlier Rejection,” IEEE Robotics and Automation Letters, vol. 9, no. 12, pp. 11786–11793, 2024. doi: 10.1109/LRA.2024.3498780.</w:t>
      </w:r>
      <w:r>
        <w:t xml:space="preserve"> </w:t>
      </w:r>
      <w:hyperlink r:id="rId12">
        <w:r>
          <w:rPr>
            <w:color w:val="245B9E"/>
          </w:rPr>
          <w:t xml:space="preserve">DOI / 原文</w:t>
        </w:r>
      </w:hyperlink>
      <w:bookmarkEnd w:id="9"/>
    </w:p>
    <w:p>
      <w:pPr>
        <w:pStyle w:val="Reference"/>
      </w:pPr>
      <w:bookmarkStart w:id="10" w:name="ref_10"/>
      <w:r>
        <w:t xml:space="preserve">[10] Andrae Vincent, Johannes Mäule, and Fabian Behrendt, “AI-Based Calibration by Using a Motion Capture System for Autonomous Mobile Robots,” IFAC-PapersOnLine, vol. 59, no. 10, pp. 903–908, 2025. doi: 10.1016/j.ifacol.2025.09.153.</w:t>
      </w:r>
      <w:r>
        <w:t xml:space="preserve"> </w:t>
      </w:r>
      <w:hyperlink r:id="rId13">
        <w:r>
          <w:rPr>
            <w:color w:val="245B9E"/>
          </w:rPr>
          <w:t xml:space="preserve">DOI / 原文</w:t>
        </w:r>
      </w:hyperlink>
      <w:bookmarkEnd w:id="10"/>
    </w:p>
    <w:p>
      <w:pPr>
        <w:pStyle w:val="Reference"/>
      </w:pPr>
      <w:bookmarkStart w:id="11" w:name="ref_11"/>
      <w:r>
        <w:t xml:space="preserve">[11] H. Tang, T. Zhang, X. Niu, L. Wang, L. Wei, and J. Liu, “FF-LINS: A Consistent Frame-to-Frame Solid-State-LiDAR-Inertial State Estimator,” IEEE Robotics and Automation Letters, vol. 8, no. 12, pp. 8525–8532, 2023. doi: 10.1109/LRA.2023.3329625.</w:t>
      </w:r>
      <w:r>
        <w:t xml:space="preserve"> </w:t>
      </w:r>
      <w:hyperlink r:id="rId14">
        <w:r>
          <w:rPr>
            <w:color w:val="245B9E"/>
          </w:rPr>
          <w:t xml:space="preserve">DOI / 原文</w:t>
        </w:r>
      </w:hyperlink>
      <w:bookmarkEnd w:id="11"/>
    </w:p>
    <w:p>
      <w:pPr>
        <w:pStyle w:val="Reference"/>
      </w:pPr>
      <w:bookmarkStart w:id="12" w:name="ref_12"/>
      <w:r>
        <w:t xml:space="preserve">[12] S. Li, J. Nie, C. Guo, Y. Yang, and L. Mei, “A novel online time calibration framework via double-stage EKF for visual-inertial odometry,” Robotica, vol. 42, no. 11, pp. 3675–3691, 2024. doi: 10.1017/S0263574724001589.</w:t>
      </w:r>
      <w:r>
        <w:t xml:space="preserve"> </w:t>
      </w:r>
      <w:hyperlink r:id="rId15">
        <w:r>
          <w:rPr>
            <w:color w:val="245B9E"/>
          </w:rPr>
          <w:t xml:space="preserve">DOI / 原文</w:t>
        </w:r>
      </w:hyperlink>
      <w:bookmarkEnd w:id="12"/>
    </w:p>
    <w:p>
      <w:pPr>
        <w:pStyle w:val="Reference"/>
      </w:pPr>
      <w:bookmarkStart w:id="13" w:name="ref_13"/>
      <w:r>
        <w:t xml:space="preserve">[13] Z. Shu, S. Bei, J. Dai, L. Li, and Z. Chen, “MoCap2GT: A High-Precision Ground Truth Estimator for SLAM Benchmarking Based on Motion Capture and IMU Fusion,” IEEE Robotics and Automation Letters, vol. 11, no. 2, pp. 1538–1545, 2026. doi: 10.1109/LRA.2025.3643287.</w:t>
      </w:r>
      <w:r>
        <w:t xml:space="preserve"> </w:t>
      </w:r>
      <w:hyperlink r:id="rId16">
        <w:r>
          <w:rPr>
            <w:color w:val="245B9E"/>
          </w:rPr>
          <w:t xml:space="preserve">DOI / 原文</w:t>
        </w:r>
      </w:hyperlink>
      <w:bookmarkEnd w:id="13"/>
    </w:p>
    <w:p>
      <w:pPr>
        <w:pStyle w:val="Reference"/>
      </w:pPr>
      <w:bookmarkStart w:id="14" w:name="ref_14"/>
      <w:r>
        <w:t xml:space="preserve">[14] A. J. Becoy, K. Khomenko, L. Peternel, and R. T. Rajan, “Autonomous navigation of quadrupeds using coverage path planning with morphological skeleton maps,” Frontiers in Robotics and AI, vol. 12, Art. no. 1601862, 2025. doi: 10.3389/frobt.2025.1601862.</w:t>
      </w:r>
      <w:r>
        <w:t xml:space="preserve"> </w:t>
      </w:r>
      <w:hyperlink r:id="rId17">
        <w:r>
          <w:rPr>
            <w:color w:val="245B9E"/>
          </w:rPr>
          <w:t xml:space="preserve">DOI / 原文</w:t>
        </w:r>
      </w:hyperlink>
      <w:bookmarkEnd w:id="14"/>
    </w:p>
    <w:p>
      <w:pPr>
        <w:pStyle w:val="Reference"/>
      </w:pPr>
      <w:bookmarkStart w:id="15" w:name="ref_15"/>
      <w:r>
        <w:t xml:space="preserve">[15] M. Ramesh, F. Imeson, B. Fidan, and S. L. Smith, “Minimum-Length Coverage Path Planning for Grid Environments With Approximation Guarantees,” IEEE Robotics and Automation Letters, vol. 10, no. 10, pp. 10674–10681, 2025. doi: 10.1109/LRA.2025.3604732.</w:t>
      </w:r>
      <w:r>
        <w:t xml:space="preserve"> </w:t>
      </w:r>
      <w:hyperlink r:id="rId18">
        <w:r>
          <w:rPr>
            <w:color w:val="245B9E"/>
          </w:rPr>
          <w:t xml:space="preserve">DOI / 原文</w:t>
        </w:r>
      </w:hyperlink>
      <w:bookmarkEnd w:id="15"/>
    </w:p>
    <w:p>
      <w:pPr>
        <w:pStyle w:val="Reference"/>
      </w:pPr>
      <w:bookmarkStart w:id="16" w:name="ref_16"/>
      <w:r>
        <w:t xml:space="preserve">[16] T. Yang, X. Du, B. Zhang, X. Wang, Z. Zhang, and C. Wu, “Coverage Path Planning Based on Region Segmentation and Path Orientation Optimization,” Agriculture, vol. 15, no. 14, Art. no. 1479, 2025. doi: 10.3390/agriculture15141479.</w:t>
      </w:r>
      <w:r>
        <w:t xml:space="preserve"> </w:t>
      </w:r>
      <w:hyperlink r:id="rId19">
        <w:r>
          <w:rPr>
            <w:color w:val="245B9E"/>
          </w:rPr>
          <w:t xml:space="preserve">DOI / 原文</w:t>
        </w:r>
      </w:hyperlink>
      <w:bookmarkEnd w:id="16"/>
    </w:p>
    <w:p>
      <w:pPr>
        <w:pStyle w:val="Reference"/>
      </w:pPr>
      <w:bookmarkStart w:id="17" w:name="ref_17"/>
      <w:r>
        <w:t xml:space="preserve">[17] G. Williams, P. Drews, B. Goldfain, J. M. Rehg, and E. A. Theodorou, “Information-Theoretic Model Predictive Control: Theory and Applications to Autonomous Driving,” IEEE Transactions on Robotics, vol. 34, no. 6, pp. 1603–1622, 2018. doi: 10.1109/TRO.2018.2865891.</w:t>
      </w:r>
      <w:r>
        <w:t xml:space="preserve"> </w:t>
      </w:r>
      <w:hyperlink r:id="rId20">
        <w:r>
          <w:rPr>
            <w:color w:val="245B9E"/>
          </w:rPr>
          <w:t xml:space="preserve">DOI / 原文</w:t>
        </w:r>
      </w:hyperlink>
      <w:bookmarkEnd w:id="17"/>
    </w:p>
    <w:p>
      <w:pPr>
        <w:pStyle w:val="Reference"/>
      </w:pPr>
      <w:bookmarkStart w:id="18" w:name="ref_18"/>
      <w:r>
        <w:t xml:space="preserve">[18] M. Gandhi, B. Vlahov, J. Gibson, G. Williams, and E. A. Theodorou, “Robust Model Predictive Path Integral Control: Analysis and Performance Guarantees,” IEEE Robotics and Automation Letters, 2021. doi: 10.1109/LRA.2021.3057563.</w:t>
      </w:r>
      <w:r>
        <w:t xml:space="preserve"> </w:t>
      </w:r>
      <w:hyperlink r:id="rId21">
        <w:r>
          <w:rPr>
            <w:color w:val="245B9E"/>
          </w:rPr>
          <w:t xml:space="preserve">DOI / 原文</w:t>
        </w:r>
      </w:hyperlink>
      <w:bookmarkEnd w:id="18"/>
    </w:p>
    <w:p>
      <w:pPr>
        <w:pStyle w:val="Reference"/>
      </w:pPr>
      <w:bookmarkStart w:id="19" w:name="ref_19"/>
      <w:r>
        <w:t xml:space="preserve">[19] K. Honda, N. Akai, K. Suzuki, M. Aoki, H. Hosogaya, H. Okuda, and T. Suzuki, “Stein Variational Guided Model Predictive Path Integral Control: Proposal and Experiments with Fast Maneuvering Vehicles,” 2024 IEEE International Conference on Robotics and Automation (ICRA), 2024. doi: 10.1109/ICRA57147.2024.10611021.</w:t>
      </w:r>
      <w:r>
        <w:t xml:space="preserve"> </w:t>
      </w:r>
      <w:hyperlink r:id="rId22">
        <w:r>
          <w:rPr>
            <w:color w:val="245B9E"/>
          </w:rPr>
          <w:t xml:space="preserve">DOI / 原文</w:t>
        </w:r>
      </w:hyperlink>
      <w:bookmarkEnd w:id="19"/>
    </w:p>
    <w:p>
      <w:pPr>
        <w:pStyle w:val="Reference"/>
      </w:pPr>
      <w:bookmarkStart w:id="20" w:name="ref_20"/>
      <w:r>
        <w:t xml:space="preserve">[20] T. Belvedere, M. Ziegltrum, G. Turrisi, and V. Modugno, “Feedback-MPPI: Fast Sampling-Based MPC via Rollout Differentiation—Adios Low-Level Controllers,” IEEE Robotics and Automation Letters, vol. 11, no. 1, pp. 1–8, 2026. doi: 10.1109/LRA.2025.3630871.</w:t>
      </w:r>
      <w:r>
        <w:t xml:space="preserve"> </w:t>
      </w:r>
      <w:hyperlink r:id="rId23">
        <w:r>
          <w:rPr>
            <w:color w:val="245B9E"/>
          </w:rPr>
          <w:t xml:space="preserve">DOI / 原文</w:t>
        </w:r>
      </w:hyperlink>
      <w:bookmarkEnd w:id="20"/>
    </w:p>
    <w:p>
      <w:pPr>
        <w:pStyle w:val="Reference"/>
      </w:pPr>
      <w:bookmarkStart w:id="21" w:name="ref_21"/>
      <w:r>
        <w:t xml:space="preserve">[21] M. Vahs, J. Choi, N. Schmid, J. Tumova, and C. Fan, “Parameter-Robust MPPI for Safe Online Learning of Unknown Parameters,” IEEE Robotics and Automation Letters, vol. 11, no. 4, pp. 3931–3938, 2026. doi: 10.1109/LRA.2026.3662531.</w:t>
      </w:r>
      <w:r>
        <w:t xml:space="preserve"> </w:t>
      </w:r>
      <w:hyperlink r:id="rId24">
        <w:r>
          <w:rPr>
            <w:color w:val="245B9E"/>
          </w:rPr>
          <w:t xml:space="preserve">DOI / 原文</w:t>
        </w:r>
      </w:hyperlink>
      <w:bookmarkEnd w:id="21"/>
    </w:p>
    <w:p>
      <w:pPr>
        <w:pStyle w:val="Reference"/>
      </w:pPr>
      <w:bookmarkStart w:id="22" w:name="ref_22"/>
      <w:r>
        <w:t xml:space="preserve">[22] Z. Liu and X. Chen, “CLIS-MPPI: Closed-Loop Model Predictive Path Integral Control With Initial-State Sampling Under Execution Delay,” arXiv preprint arXiv:2610.21239v1, 2026.</w:t>
      </w:r>
      <w:r>
        <w:t xml:space="preserve"> </w:t>
      </w:r>
      <w:hyperlink r:id="rId25">
        <w:r>
          <w:rPr>
            <w:color w:val="245B9E"/>
          </w:rPr>
          <w:t xml:space="preserve">DOI / 原文</w:t>
        </w:r>
      </w:hyperlink>
      <w:bookmarkEnd w:id="22"/>
    </w:p>
    <w:p>
      <w:pPr>
        <w:pStyle w:val="Heading1"/>
        <w:pageBreakBefore/>
      </w:pPr>
      <w:r>
        <w:t xml:space="preserve">作者工作记录：修改说明与核实范围</w:t>
      </w:r>
    </w:p>
    <w:p>
      <w:pPr>
        <w:pStyle w:val="Meta"/>
      </w:pPr>
      <w:r>
        <w:t xml:space="preserve">以下为作者修改和查证材料，不属于论文正文。</w:t>
      </w:r>
    </w:p>
    <w:p>
      <w:pPr>
        <w:pStyle w:val="Heading2"/>
      </w:pPr>
      <w:r>
        <w:t xml:space="preserve">1. 稿件状态与证据口径</w:t>
      </w:r>
    </w:p>
    <w:p>
      <w:pPr>
        <w:pStyle w:val="Note"/>
      </w:pPr>
      <w:r>
        <w:t xml:space="preserve">本文件为另行生成的相关工作研究稿，保留上一版文件。正文已使用的机载估计、坐标管理、几何生成及控制原型描述以现有材料为基础；时延感知外部位姿补偿模型、补偿增益及其性能收益依据用户本轮计划录入，明确为拟建立、待实现与验证的内容。</w:t>
      </w:r>
    </w:p>
    <w:p>
      <w:pPr>
        <w:pStyle w:val="Note"/>
      </w:pPr>
      <w:r>
        <w:t xml:space="preserve">基准建图体现地图与外部参考之间的可追溯关系，不能仅凭冻结原点或坐标变换推导点云几何更准确、建图全域无漂移或独立绝对定位达到某一数值。精度结论应由未参与基准建立的独立位置或时段检验。</w:t>
      </w:r>
    </w:p>
    <w:p>
      <w:pPr>
        <w:pStyle w:val="Note"/>
      </w:pPr>
      <w:r>
        <w:t xml:space="preserve">正文包含22项参考文献，其中19项期刊论文、2项会议/会议论文集条目及1项预印本；15项发表于2024—2026年。另有3项评测类文献保留为补充阅读。文献核实截止2026-10-22，未进行穷尽性新颖性检索。</w:t>
      </w:r>
    </w:p>
    <w:p>
      <w:pPr>
        <w:pStyle w:val="Heading2"/>
      </w:pPr>
      <w:r>
        <w:t xml:space="preserve">2. 本轮实质性改写</w:t>
      </w:r>
    </w:p>
    <w:p>
      <w:pPr>
        <w:pStyle w:val="Note"/>
      </w:pPr>
      <w:r>
        <w:t xml:space="preserve">以“固定空间基准—动态观测补偿—作业路径执行”组织相关工作，增强研究问题之间的联系。外部绝对参考指相对于指定外部测量坐标系的参考，不自动等同于经独立认证的绝对精度。</w:t>
      </w:r>
    </w:p>
    <w:p>
      <w:pPr>
        <w:pStyle w:val="Note"/>
      </w:pPr>
      <w:r>
        <w:t xml:space="preserve">新增独立的异步观测与时延感知位姿补偿小节，将FF-LINS的内部时间标定、2024年视觉惯性在线时间标定及MoCap2GT的参考轨迹估计置于各自任务范围内比较；保留直接相关的外部测量目标补偿工作。</w:t>
      </w:r>
    </w:p>
    <w:p>
      <w:pPr>
        <w:pStyle w:val="Note"/>
      </w:pPr>
      <w:r>
        <w:t xml:space="preserve">保留“拟构建”“拟研究”等状态词，不写成已实现在线校准、自适应融合、回溯重传播、IMU偏置重估或已提高实车导航精度。模型尚未确定，不补造公式、雅可比、增益参数或稳定性证明。</w:t>
      </w:r>
    </w:p>
    <w:p>
      <w:pPr>
        <w:pStyle w:val="Note"/>
      </w:pPr>
      <w:r>
        <w:t xml:space="preserve">“FAST-LIO积分补偿”在当前稿中收束为“对FAST-LIO累计位姿误差的外部观测补偿”。若后续修改其内部速度、IMU偏置或积分状态，应依据实际更新方程另行描述；仅更新map–odom变换不等于修改内部积分。</w:t>
      </w:r>
    </w:p>
    <w:p>
      <w:pPr>
        <w:pStyle w:val="Heading2"/>
      </w:pPr>
      <w:r>
        <w:t xml:space="preserve">3. 补偿模型需要区分的时间与更新对象</w:t>
      </w:r>
    </w:p>
    <w:p>
      <w:pPr>
        <w:pStyle w:val="Note"/>
      </w:pPr>
      <w:r>
        <w:t xml:space="preserve">传感器时间偏移：不同观测流的时钟、时间戳定义与采样时刻之间的偏差；它影响观测配对，应通过独立标定或明确的估计机制处理。</w:t>
      </w:r>
    </w:p>
    <w:p>
      <w:pPr>
        <w:pStyle w:val="Note"/>
      </w:pPr>
      <w:r>
        <w:t xml:space="preserve">定位输出滞后：位姿表示的状态时刻与导航消费该位姿的时刻之间的时间差。历史位姿不能因更换发布时间戳就成为当前状态；是否传播、如何传播及传播误差需要单独建立模型。</w:t>
      </w:r>
    </w:p>
    <w:p>
      <w:pPr>
        <w:pStyle w:val="Note"/>
      </w:pPr>
      <w:r>
        <w:t xml:space="preserve">执行延迟：指令从生成到实际影响底盘运动的延迟，属于控制预测与执行过程。它与观测时间偏移、定位输出滞后不是同一个参数。</w:t>
      </w:r>
    </w:p>
    <w:p>
      <w:pPr>
        <w:pStyle w:val="Note"/>
      </w:pPr>
      <w:r>
        <w:t xml:space="preserve">补偿对象和增益：需确定更新的是外部地图变换、当前车体位姿，还是FAST-LIO内部状态；需明确残差、增益来源、观测质量条件、更新连续性与生效区间。固定增益不能未经证据称为自适应增益。</w:t>
      </w:r>
    </w:p>
    <w:p>
      <w:pPr>
        <w:pStyle w:val="Heading2"/>
      </w:pPr>
      <w:r>
        <w:t xml:space="preserve">4. 待核实信息与审稿问题</w:t>
      </w:r>
    </w:p>
    <w:p>
      <w:pPr>
        <w:pStyle w:val="Note"/>
      </w:pPr>
      <w:r>
        <w:t xml:space="preserve">待核实：冻结的是地图原点还是包含方向的完整坐标关系；点云存储坐标系和冻结时刻；刚体到车体的安装外参；动捕与LIO的状态时间、接收时间和发布时间。</w:t>
      </w:r>
    </w:p>
    <w:p>
      <w:pPr>
        <w:pStyle w:val="Note"/>
      </w:pPr>
      <w:r>
        <w:t xml:space="preserve">待核实：动态时延是否已独立测量；补偿模型是否已编码；增益是固定、优化获得还是由协方差计算；局部观测失效与恢复时采用何种更新规则；控制器是否已完成实车验证。</w:t>
      </w:r>
    </w:p>
    <w:p>
      <w:pPr>
        <w:pStyle w:val="Note"/>
      </w:pPr>
      <w:r>
        <w:t xml:space="preserve">审稿问题：固定基准、时间关联、状态传播和补偿增益各自贡献多少收益？建议以无补偿、仅基准锚定、时间对齐、位姿补偿及完整模型的匹配实验逐步检验，避免将收益都归因于新模型。</w:t>
      </w:r>
    </w:p>
    <w:p>
      <w:pPr>
        <w:pStyle w:val="Note"/>
      </w:pPr>
      <w:r>
        <w:t xml:space="preserve">审稿问题：同一动捕同时用于锚定、补偿和评价时，相关性如何处理？动捕覆盖区外以何种独立参考验证导航精度？局部误差下降能否在离站后的留出位置保持？</w:t>
      </w:r>
    </w:p>
    <w:p>
      <w:pPr>
        <w:pStyle w:val="Note"/>
      </w:pPr>
      <w:r>
        <w:t xml:space="preserve">审稿问题：与GNSS/UWB辅助估计、已有时间标定及外部目标补偿相比，新增机制是什么？相关工作中的问题组织提供研究动机，创新成立仍需具体模型、代码和实验支持。</w:t>
      </w:r>
    </w:p>
    <w:p>
      <w:pPr>
        <w:pStyle w:val="Heading2"/>
      </w:pPr>
      <w:r>
        <w:t xml:space="preserve">5. 逐项文献核实范围</w:t>
      </w:r>
    </w:p>
    <w:p>
      <w:pPr>
        <w:pStyle w:val="AuditHeading"/>
      </w:pPr>
      <w:r>
        <w:t xml:space="preserve">[1] KISS-ICP: In Defense of Point-to-Point ICP—Simple, Accurate, and Robust Registration If Done the Right Way</w:t>
      </w:r>
    </w:p>
    <w:p>
      <w:pPr>
        <w:pStyle w:val="Note"/>
      </w:pPr>
      <w:r>
        <w:t xml:space="preserve">方法依据book/RA-L.pdf的作者接收稿；2023年正式卷期、页码与DOI核对作者官方仓库引用条目。未以2022年接收日期作为正式发表年份。</w:t>
      </w:r>
    </w:p>
    <w:p>
      <w:pPr>
        <w:pStyle w:val="Source"/>
      </w:pPr>
      <w:hyperlink r:id="rId26">
        <w:r>
          <w:rPr>
            <w:color w:val="245B9E"/>
          </w:rPr>
          <w:t xml:space="preserve">https://github.com/PRBonn/kiss-icp</w:t>
        </w:r>
      </w:hyperlink>
    </w:p>
    <w:p>
      <w:pPr>
        <w:pStyle w:val="AuditHeading"/>
      </w:pPr>
      <w:r>
        <w:t xml:space="preserve">[2] FAST-LIO2: Fast Direct LiDAR-Inertial Odometry</w:t>
      </w:r>
    </w:p>
    <w:p>
      <w:pPr>
        <w:pStyle w:val="Note"/>
      </w:pPr>
      <w:r>
        <w:t xml:space="preserve">已读原始预印本摘要、系统与估计方法相关内容；正式题录由IEEE出版记录核对。机器人实际分支与配置需另行绑定。</w:t>
      </w:r>
    </w:p>
    <w:p>
      <w:pPr>
        <w:pStyle w:val="Source"/>
      </w:pPr>
      <w:hyperlink r:id="rId27">
        <w:r>
          <w:rPr>
            <w:color w:val="245B9E"/>
          </w:rPr>
          <w:t xml:space="preserve">https://arxiv.org/html/2107.06829v1</w:t>
        </w:r>
      </w:hyperlink>
    </w:p>
    <w:p>
      <w:pPr>
        <w:pStyle w:val="Source"/>
      </w:pPr>
      <w:hyperlink r:id="rId5">
        <w:r>
          <w:rPr>
            <w:color w:val="245B9E"/>
          </w:rPr>
          <w:t xml:space="preserve">https://doi.org/10.1109/TRO.2022.3141876</w:t>
        </w:r>
      </w:hyperlink>
    </w:p>
    <w:p>
      <w:pPr>
        <w:pStyle w:val="AuditHeading"/>
      </w:pPr>
      <w:r>
        <w:t xml:space="preserve">[3] LIO-GVM: An Accurate, Tightly-Coupled Lidar-Inertial Odometry With Gaussian Voxel Map</w:t>
      </w:r>
    </w:p>
    <w:p>
      <w:pPr>
        <w:pStyle w:val="Note"/>
      </w:pPr>
      <w:r>
        <w:t xml:space="preserve">依据book正式PDF的摘要、引言及高斯关联、残差与地图维护相关方法段；题录读取原始PDF。</w:t>
      </w:r>
    </w:p>
    <w:p>
      <w:pPr>
        <w:pStyle w:val="Source"/>
      </w:pPr>
      <w:r>
        <w:t xml:space="preserve">原始全文：用户提供的book文件夹；正式题录见该PDF首页和页眉。</w:t>
      </w:r>
    </w:p>
    <w:p>
      <w:pPr>
        <w:pStyle w:val="AuditHeading"/>
      </w:pPr>
      <w:r>
        <w:t xml:space="preserve">[4] LocNDF: Neural Distance Field Mapping for Robot Localization</w:t>
      </w:r>
    </w:p>
    <w:p>
      <w:pPr>
        <w:pStyle w:val="Note"/>
      </w:pPr>
      <w:r>
        <w:t xml:space="preserve">方法依据book作者接收稿；正式卷期、页码和DOI核对作者实验室主页的BibTeX。未声称本项目已使用神经距离场。</w:t>
      </w:r>
    </w:p>
    <w:p>
      <w:pPr>
        <w:pStyle w:val="Source"/>
      </w:pPr>
      <w:hyperlink r:id="rId28">
        <w:r>
          <w:rPr>
            <w:color w:val="245B9E"/>
          </w:rPr>
          <w:t xml:space="preserve">https://www.ipb.uni-bonn.de/people/louis-wiesmann/index.html</w:t>
        </w:r>
      </w:hyperlink>
    </w:p>
    <w:p>
      <w:pPr>
        <w:pStyle w:val="AuditHeading"/>
      </w:pPr>
      <w:r>
        <w:t xml:space="preserve">[5] FAST-LIVO2: Fast, Direct LiDAR–Inertial–Visual Odometry</w:t>
      </w:r>
    </w:p>
    <w:p>
      <w:pPr>
        <w:pStyle w:val="Note"/>
      </w:pPr>
      <w:r>
        <w:t xml:space="preserve">已读原始全文中的摘要、系统及视觉/激光更新相关段；作者顺序核对原始版本，卷41及页码核对IEEE记录。按2025年正式卷年引用，在线发表日期为2024-11-19。</w:t>
      </w:r>
    </w:p>
    <w:p>
      <w:pPr>
        <w:pStyle w:val="Source"/>
      </w:pPr>
      <w:hyperlink r:id="rId29">
        <w:r>
          <w:rPr>
            <w:color w:val="245B9E"/>
          </w:rPr>
          <w:t xml:space="preserve">https://arxiv.org/html/2408.14035v2</w:t>
        </w:r>
      </w:hyperlink>
    </w:p>
    <w:p>
      <w:pPr>
        <w:pStyle w:val="Source"/>
      </w:pPr>
      <w:hyperlink r:id="rId30">
        <w:r>
          <w:rPr>
            <w:color w:val="245B9E"/>
          </w:rPr>
          <w:t xml:space="preserve">https://ieeexplore.ieee.org/document/10757429/</w:t>
        </w:r>
      </w:hyperlink>
    </w:p>
    <w:p>
      <w:pPr>
        <w:pStyle w:val="Source"/>
      </w:pPr>
      <w:hyperlink r:id="rId31">
        <w:r>
          <w:rPr>
            <w:color w:val="245B9E"/>
          </w:rPr>
          <w:t xml:space="preserve">https://github.com/hku-mars/FAST-LIVO2</w:t>
        </w:r>
      </w:hyperlink>
    </w:p>
    <w:p>
      <w:pPr>
        <w:pStyle w:val="AuditHeading"/>
      </w:pPr>
      <w:r>
        <w:t xml:space="preserve">[6] Wheel-Legged SLAM: Indoor LiDAR-Inertial SLAM Integrating Kinematic Model of Wheel-Legged Robots</w:t>
      </w:r>
    </w:p>
    <w:p>
      <w:pPr>
        <w:pStyle w:val="Note"/>
      </w:pPr>
      <w:r>
        <w:t xml:space="preserve">依据book正式PDF第三、四节；已核对垂直修正和重力重估因子及平地条件。该文内部因子优化与本项目外部坐标变换更新不同。</w:t>
      </w:r>
    </w:p>
    <w:p>
      <w:pPr>
        <w:pStyle w:val="Source"/>
      </w:pPr>
      <w:r>
        <w:t xml:space="preserve">原始全文：用户提供的book文件夹；正式题录见该PDF首页和页眉。</w:t>
      </w:r>
    </w:p>
    <w:p>
      <w:pPr>
        <w:pStyle w:val="AuditHeading"/>
      </w:pPr>
      <w:r>
        <w:t xml:space="preserve">[7] GVINS: Tightly Coupled GNSS–Visual–Inertial Fusion for Smooth and Consistent State Estimation</w:t>
      </w:r>
    </w:p>
    <w:p>
      <w:pPr>
        <w:pStyle w:val="Note"/>
      </w:pPr>
      <w:r>
        <w:t xml:space="preserve">本轮查阅原始全文第六节观测因子、第七节初始化与相关坐标关系；正式作者、卷期页码和DOI核对作者所在机构HKUST出版记录。仅描述GNSS与局部估计的融合机制，不移用其性能或漂移结论。</w:t>
      </w:r>
    </w:p>
    <w:p>
      <w:pPr>
        <w:pStyle w:val="Source"/>
      </w:pPr>
      <w:hyperlink r:id="rId32">
        <w:r>
          <w:rPr>
            <w:color w:val="245B9E"/>
          </w:rPr>
          <w:t xml:space="preserve">https://arxiv.org/html/2103.07899v3</w:t>
        </w:r>
      </w:hyperlink>
    </w:p>
    <w:p>
      <w:pPr>
        <w:pStyle w:val="Source"/>
      </w:pPr>
      <w:hyperlink r:id="rId33">
        <w:r>
          <w:rPr>
            <w:color w:val="245B9E"/>
          </w:rPr>
          <w:t xml:space="preserve">https://github.com/HKUST-Aerial-Robotics/GVINS</w:t>
        </w:r>
      </w:hyperlink>
    </w:p>
    <w:p>
      <w:pPr>
        <w:pStyle w:val="Source"/>
      </w:pPr>
      <w:hyperlink r:id="rId34">
        <w:r>
          <w:rPr>
            <w:color w:val="245B9E"/>
          </w:rPr>
          <w:t xml:space="preserve">https://researchportal.hkust.edu.hk/en/publications/gvins-tightly-coupled-gnss-visual-inertial-fusion-for-smooth-and-/</w:t>
        </w:r>
      </w:hyperlink>
    </w:p>
    <w:p>
      <w:pPr>
        <w:pStyle w:val="AuditHeading"/>
      </w:pPr>
      <w:r>
        <w:t xml:space="preserve">[8] GLIO: Tightly-Coupled GNSS/LiDAR/IMU Integration for Continuous and Drift-Free State Estimation of Intelligent Vehicles in Urban Areas</w:t>
      </w:r>
    </w:p>
    <w:p>
      <w:pPr>
        <w:pStyle w:val="Note"/>
      </w:pPr>
      <w:r>
        <w:t xml:space="preserve">本轮取得作者实验室提供的11页正式PDF，查阅首页题录、摘要及引言中GNSS观测质量、两阶段优化相关内容；正式卷年为2024，2023为在线发表年。只引用观测类型与优化组织，不将题名中的“Drift-Free”作为本项目结论。</w:t>
      </w:r>
    </w:p>
    <w:p>
      <w:pPr>
        <w:pStyle w:val="Source"/>
      </w:pPr>
      <w:hyperlink r:id="rId35">
        <w:r>
          <w:rPr>
            <w:color w:val="245B9E"/>
          </w:rPr>
          <w:t xml:space="preserve">https://polyu-taslab.github.io/publications/2024-liu-glio-tightlycoupled-gnsslidarimu-2/</w:t>
        </w:r>
      </w:hyperlink>
    </w:p>
    <w:p>
      <w:pPr>
        <w:pStyle w:val="Source"/>
      </w:pPr>
      <w:hyperlink r:id="rId36">
        <w:r>
          <w:rPr>
            <w:color w:val="245B9E"/>
          </w:rPr>
          <w:t xml:space="preserve">https://polyu-taslab.github.io/publications/papers/GLIO_Tightly-Coupled_GNSS_LiDAR_IMU_Integration_for_Continuous_and_Drift-Free_State_Estimation_of_Intelligent_Vehicles_in_Urban_Areas.pdf</w:t>
        </w:r>
      </w:hyperlink>
    </w:p>
    <w:p>
      <w:pPr>
        <w:pStyle w:val="AuditHeading"/>
      </w:pPr>
      <w:r>
        <w:t xml:space="preserve">[9] MR-ULINS: A Tightly-Coupled UWB-LiDAR-Inertial Estimator With Multi-Epoch Outlier Rejection</w:t>
      </w:r>
    </w:p>
    <w:p>
      <w:pPr>
        <w:pStyle w:val="Note"/>
      </w:pPr>
      <w:r>
        <w:t xml:space="preserve">本轮核对作者团队原始PDF的搜索索引所返回的首页、摘要及末页结论，包含作者、卷期页码和DOI；直接打开PDF超时，未阅读全文。正文只使用摘要明确列出的UWB/帧间LiDAR/IMU融合、系统测距误差估计与多历元剔除，不引用公式或实验数值。</w:t>
      </w:r>
    </w:p>
    <w:p>
      <w:pPr>
        <w:pStyle w:val="Source"/>
      </w:pPr>
      <w:hyperlink r:id="rId37">
        <w:r>
          <w:rPr>
            <w:color w:val="245B9E"/>
          </w:rPr>
          <w:t xml:space="preserve">https://i2nav.cn/ueditor/jsp/upload/file/20241126/1732622538933063283.pdf</w:t>
        </w:r>
      </w:hyperlink>
    </w:p>
    <w:p>
      <w:pPr>
        <w:pStyle w:val="AuditHeading"/>
      </w:pPr>
      <w:r>
        <w:t xml:space="preserve">[10] AI-Based Calibration by Using a Motion Capture System for Autonomous Mobile Robots</w:t>
      </w:r>
    </w:p>
    <w:p>
      <w:pPr>
        <w:pStyle w:val="Note"/>
      </w:pPr>
      <w:r>
        <w:t xml:space="preserve">已读Fraunhofer机构库六页原始全文中的第三至第五节；实际机制为离线训练误差预测模型并修正下发目标，不能概括为在线估计器融合。首作者保留PDF原始署名“Andrae Vincent”，不擅自重排；机构记录亦写作“Vincent, Andrae”，投稿前建议再核对姓名字段。属于IFAC会议论文集条目。</w:t>
      </w:r>
    </w:p>
    <w:p>
      <w:pPr>
        <w:pStyle w:val="Source"/>
      </w:pPr>
      <w:hyperlink r:id="rId38">
        <w:r>
          <w:rPr>
            <w:color w:val="245B9E"/>
          </w:rPr>
          <w:t xml:space="preserve">https://www.sciencedirect.com/science/article/pii/S2405896325009140</w:t>
        </w:r>
      </w:hyperlink>
    </w:p>
    <w:p>
      <w:pPr>
        <w:pStyle w:val="Source"/>
      </w:pPr>
      <w:hyperlink r:id="rId39">
        <w:r>
          <w:rPr>
            <w:color w:val="245B9E"/>
          </w:rPr>
          <w:t xml:space="preserve">https://publica-rest.fraunhofer.de/server/api/core/bitstreams/d5ab4695-b0de-4cb2-bb84-f2965b364efc/content</w:t>
        </w:r>
      </w:hyperlink>
    </w:p>
    <w:p>
      <w:pPr>
        <w:pStyle w:val="AuditHeading"/>
      </w:pPr>
      <w:r>
        <w:t xml:space="preserve">[11] FF-LINS: A Consistent Frame-to-Frame Solid-State-LiDAR-Inertial State Estimator</w:t>
      </w:r>
    </w:p>
    <w:p>
      <w:pPr>
        <w:pStyle w:val="Note"/>
      </w:pPr>
      <w:r>
        <w:t xml:space="preserve">依据book正式PDF的引言、关联与测量模型相关内容；一致性指状态估计的一致性。该文对自建地图的讨论不能直接证明固定外部地图NDT存在同一种问题。</w:t>
      </w:r>
    </w:p>
    <w:p>
      <w:pPr>
        <w:pStyle w:val="Source"/>
      </w:pPr>
      <w:r>
        <w:t xml:space="preserve">原始全文：用户提供的book文件夹；正式题录见该PDF首页和页眉。</w:t>
      </w:r>
    </w:p>
    <w:p>
      <w:pPr>
        <w:pStyle w:val="AuditHeading"/>
      </w:pPr>
      <w:r>
        <w:t xml:space="preserve">[12] A novel online time calibration framework via double-stage EKF for visual-inertial odometry</w:t>
      </w:r>
    </w:p>
    <w:p>
      <w:pPr>
        <w:pStyle w:val="Note"/>
      </w:pPr>
      <w:r>
        <w:t xml:space="preserve">本轮核对Cambridge出版社原始摘要、作者、卷期页码与DOI，未阅读全文。正文仅使用摘要明确描述的双阶段滤波与相机–IMU时间偏移状态估计；不能据此认定已处理本项目FAST-LIO输出滞后。</w:t>
      </w:r>
    </w:p>
    <w:p>
      <w:pPr>
        <w:pStyle w:val="Source"/>
      </w:pPr>
      <w:hyperlink r:id="rId40">
        <w:r>
          <w:rPr>
            <w:color w:val="245B9E"/>
          </w:rPr>
          <w:t xml:space="preserve">https://www.cambridge.org/core/journals/robotica/article/abs/novel-online-time-calibration-framework-via-doublestage-ekf-for-visualinertial-odometry/926E37A6CD22DA654EEE116DDB936096</w:t>
        </w:r>
      </w:hyperlink>
    </w:p>
    <w:p>
      <w:pPr>
        <w:pStyle w:val="AuditHeading"/>
      </w:pPr>
      <w:r>
        <w:t xml:space="preserve">[13] MoCap2GT: A High-Precision Ground Truth Estimator for SLAM Benchmarking Based on Motion Capture and IMU Fusion</w:t>
      </w:r>
    </w:p>
    <w:p>
      <w:pPr>
        <w:pStyle w:val="Note"/>
      </w:pPr>
      <w:r>
        <w:t xml:space="preserve">已读原始全文的问题定义和方法相关段；正式卷期、页码及DOI核对IEEE记录。期刊版逐字差异未核对；本稿只描述两版摘要一致的机制。其任务是生成评测参考，不是证明本项目的动捕误差为零。</w:t>
      </w:r>
    </w:p>
    <w:p>
      <w:pPr>
        <w:pStyle w:val="Source"/>
      </w:pPr>
      <w:hyperlink r:id="rId41">
        <w:r>
          <w:rPr>
            <w:color w:val="245B9E"/>
          </w:rPr>
          <w:t xml:space="preserve">https://arxiv.org/html/2507.12920v1</w:t>
        </w:r>
      </w:hyperlink>
    </w:p>
    <w:p>
      <w:pPr>
        <w:pStyle w:val="Source"/>
      </w:pPr>
      <w:hyperlink r:id="rId42">
        <w:r>
          <w:rPr>
            <w:color w:val="245B9E"/>
          </w:rPr>
          <w:t xml:space="preserve">https://ieeexplore.ieee.org/abstract/document/11297812/references</w:t>
        </w:r>
      </w:hyperlink>
    </w:p>
    <w:p>
      <w:pPr>
        <w:pStyle w:val="AuditHeading"/>
      </w:pPr>
      <w:r>
        <w:t xml:space="preserve">[14] Autonomous navigation of quadrupeds using coverage path planning with morphological skeleton maps</w:t>
      </w:r>
    </w:p>
    <w:p>
      <w:pPr>
        <w:pStyle w:val="Note"/>
      </w:pPr>
      <w:r>
        <w:t xml:space="preserve">已读原始全文第三节地图读取、骨架、兴趣点排序与状态机相关内容，并查看实验设置。该文兴趣点遍历不等同于本项目指定边距的边界路径。</w:t>
      </w:r>
    </w:p>
    <w:p>
      <w:pPr>
        <w:pStyle w:val="Source"/>
      </w:pPr>
      <w:hyperlink r:id="rId43">
        <w:r>
          <w:rPr>
            <w:color w:val="245B9E"/>
          </w:rPr>
          <w:t xml:space="preserve">https://www.frontiersin.org/journals/robotics-and-ai/articles/10.3389/frobt.2025.1601862/full</w:t>
        </w:r>
      </w:hyperlink>
    </w:p>
    <w:p>
      <w:pPr>
        <w:pStyle w:val="AuditHeading"/>
      </w:pPr>
      <w:r>
        <w:t xml:space="preserve">[15] Minimum-Length Coverage Path Planning for Grid Environments With Approximation Guarantees</w:t>
      </w:r>
    </w:p>
    <w:p>
      <w:pPr>
        <w:pStyle w:val="Note"/>
      </w:pPr>
      <w:r>
        <w:t xml:space="preserve">核实范围仅为IEEE原始出版记录、摘要与作者主页题录，未取得并阅读全文及证明。正文仅使用摘要明确列出的覆盖线、子回路合并和有条件近似保证，不转引证明或实验数字。</w:t>
      </w:r>
    </w:p>
    <w:p>
      <w:pPr>
        <w:pStyle w:val="Source"/>
      </w:pPr>
      <w:hyperlink r:id="rId44">
        <w:r>
          <w:rPr>
            <w:color w:val="245B9E"/>
          </w:rPr>
          <w:t xml:space="preserve">https://ieeexplore.ieee.org/abstract/document/11146610/</w:t>
        </w:r>
      </w:hyperlink>
    </w:p>
    <w:p>
      <w:pPr>
        <w:pStyle w:val="Source"/>
      </w:pPr>
      <w:hyperlink r:id="rId45">
        <w:r>
          <w:rPr>
            <w:color w:val="245B9E"/>
          </w:rPr>
          <w:t xml:space="preserve">https://www.megnath.com/publications/</w:t>
        </w:r>
      </w:hyperlink>
    </w:p>
    <w:p>
      <w:pPr>
        <w:pStyle w:val="AuditHeading"/>
      </w:pPr>
      <w:r>
        <w:t xml:space="preserve">[16] Coverage Path Planning Based on Region Segmentation and Path Orientation Optimization</w:t>
      </w:r>
    </w:p>
    <w:p>
      <w:pPr>
        <w:pStyle w:val="Note"/>
      </w:pPr>
      <w:r>
        <w:t xml:space="preserve">核对出版社原始索引返回的摘要、几何预处理和分区规划相关全文片段及官方引用条目；直接打开HTML遇到限流。未阅读完整PDF，未引用其性能数字或将其安全表述移用于本项目。</w:t>
      </w:r>
    </w:p>
    <w:p>
      <w:pPr>
        <w:pStyle w:val="Source"/>
      </w:pPr>
      <w:hyperlink r:id="rId46">
        <w:r>
          <w:rPr>
            <w:color w:val="245B9E"/>
          </w:rPr>
          <w:t xml:space="preserve">https://www.mdpi.com/2077-0472/15/14/1479</w:t>
        </w:r>
      </w:hyperlink>
    </w:p>
    <w:p>
      <w:pPr>
        <w:pStyle w:val="AuditHeading"/>
      </w:pPr>
      <w:r>
        <w:t xml:space="preserve">[17] Information-Theoretic Model Predictive Control: Theory and Applications to Autonomous Driving</w:t>
      </w:r>
    </w:p>
    <w:p>
      <w:pPr>
        <w:pStyle w:val="Note"/>
      </w:pPr>
      <w:r>
        <w:t xml:space="preserve">已读原始预印本采样控制算法相关内容；正式题录核对作者所在机构出版记录。保留该基础文献用于控制框架来源，不将其理论结论移用于本项目修改后的原型。</w:t>
      </w:r>
    </w:p>
    <w:p>
      <w:pPr>
        <w:pStyle w:val="Source"/>
      </w:pPr>
      <w:hyperlink r:id="rId47">
        <w:r>
          <w:rPr>
            <w:color w:val="245B9E"/>
          </w:rPr>
          <w:t xml:space="preserve">https://arxiv.org/html/1707.02342v1</w:t>
        </w:r>
      </w:hyperlink>
    </w:p>
    <w:p>
      <w:pPr>
        <w:pStyle w:val="Source"/>
      </w:pPr>
      <w:hyperlink r:id="rId48">
        <w:r>
          <w:rPr>
            <w:color w:val="245B9E"/>
          </w:rPr>
          <w:t xml:space="preserve">https://experts.illinois.edu/en/publications/information-theoretic-model-predictive-control-theory-and-applica/</w:t>
        </w:r>
      </w:hyperlink>
    </w:p>
    <w:p>
      <w:pPr>
        <w:pStyle w:val="AuditHeading"/>
      </w:pPr>
      <w:r>
        <w:t xml:space="preserve">[18] Robust Model Predictive Path Integral Control: Analysis and Performance Guarantees</w:t>
      </w:r>
    </w:p>
    <w:p>
      <w:pPr>
        <w:pStyle w:val="Note"/>
      </w:pPr>
      <w:r>
        <w:t xml:space="preserve">已读原始全文第三节增广预测与重要性采样。作者arXiv记录确认RA-L及正式DOI；本轮未从原始出版页核对卷期页码，因此参考文献不填该字段。</w:t>
      </w:r>
    </w:p>
    <w:p>
      <w:pPr>
        <w:pStyle w:val="Source"/>
      </w:pPr>
      <w:hyperlink r:id="rId49">
        <w:r>
          <w:rPr>
            <w:color w:val="245B9E"/>
          </w:rPr>
          <w:t xml:space="preserve">https://arxiv.org/html/2102.09027v1</w:t>
        </w:r>
      </w:hyperlink>
    </w:p>
    <w:p>
      <w:pPr>
        <w:pStyle w:val="Source"/>
      </w:pPr>
      <w:hyperlink r:id="rId50">
        <w:r>
          <w:rPr>
            <w:color w:val="245B9E"/>
          </w:rPr>
          <w:t xml:space="preserve">https://arxiv.org/abs/2102.09027v1</w:t>
        </w:r>
      </w:hyperlink>
    </w:p>
    <w:p>
      <w:pPr>
        <w:pStyle w:val="AuditHeading"/>
      </w:pPr>
      <w:r>
        <w:t xml:space="preserve">[19] Stein Variational Guided Model Predictive Path Integral Control: Proposal and Experiments with Fast Maneuvering Vehicles</w:t>
      </w:r>
    </w:p>
    <w:p>
      <w:pPr>
        <w:pStyle w:val="Note"/>
      </w:pPr>
      <w:r>
        <w:t xml:space="preserve">已读原始全文第三、四节相关方法；正式会议名称、年份与DOI核对IEEE原始记录。按ICRA会议论文引用，不写成RA-L期刊论文。会议页码本轮未核对，不填。</w:t>
      </w:r>
    </w:p>
    <w:p>
      <w:pPr>
        <w:pStyle w:val="Source"/>
      </w:pPr>
      <w:hyperlink r:id="rId51">
        <w:r>
          <w:rPr>
            <w:color w:val="245B9E"/>
          </w:rPr>
          <w:t xml:space="preserve">https://arxiv.org/html/2309.11040v3</w:t>
        </w:r>
      </w:hyperlink>
    </w:p>
    <w:p>
      <w:pPr>
        <w:pStyle w:val="Source"/>
      </w:pPr>
      <w:hyperlink r:id="rId52">
        <w:r>
          <w:rPr>
            <w:color w:val="245B9E"/>
          </w:rPr>
          <w:t xml:space="preserve">https://ieeexplore.ieee.org/abstract/document/10611021</w:t>
        </w:r>
      </w:hyperlink>
    </w:p>
    <w:p>
      <w:pPr>
        <w:pStyle w:val="AuditHeading"/>
      </w:pPr>
      <w:r>
        <w:t xml:space="preserve">[20] Feedback-MPPI: Fast Sampling-Based MPC via Rollout Differentiation—Adios Low-Level Controllers</w:t>
      </w:r>
    </w:p>
    <w:p>
      <w:pPr>
        <w:pStyle w:val="Note"/>
      </w:pPr>
      <w:r>
        <w:t xml:space="preserve">已读UCL机构库八页作者接收稿的第二节局部敏感度与反馈增益；正式卷期、页码和DOI核对IEEE出版记录。按2026年卷期引用，2025年接收/在线发表不混作卷年。</w:t>
      </w:r>
    </w:p>
    <w:p>
      <w:pPr>
        <w:pStyle w:val="Source"/>
      </w:pPr>
      <w:hyperlink r:id="rId53">
        <w:r>
          <w:rPr>
            <w:color w:val="245B9E"/>
          </w:rPr>
          <w:t xml:space="preserve">https://discovery.ucl.ac.uk/id/eprint/10218402/1/RA_L_FeedbackMPPI_Final.pdf</w:t>
        </w:r>
      </w:hyperlink>
    </w:p>
    <w:p>
      <w:pPr>
        <w:pStyle w:val="Source"/>
      </w:pPr>
      <w:hyperlink r:id="rId23">
        <w:r>
          <w:rPr>
            <w:color w:val="245B9E"/>
          </w:rPr>
          <w:t xml:space="preserve">https://doi.org/10.1109/LRA.2025.3630871</w:t>
        </w:r>
      </w:hyperlink>
    </w:p>
    <w:p>
      <w:pPr>
        <w:pStyle w:val="AuditHeading"/>
      </w:pPr>
      <w:r>
        <w:t xml:space="preserve">[21] Parameter-Robust MPPI for Safe Online Learning of Unknown Parameters</w:t>
      </w:r>
    </w:p>
    <w:p>
      <w:pPr>
        <w:pStyle w:val="Note"/>
      </w:pPr>
      <w:r>
        <w:t xml:space="preserve">已读原始全文参数表示与在线估计相关段；正式卷期页码核对IEEE及作者机构记录。正文不转引其安全保证到本项目。</w:t>
      </w:r>
    </w:p>
    <w:p>
      <w:pPr>
        <w:pStyle w:val="Source"/>
      </w:pPr>
      <w:hyperlink r:id="rId54">
        <w:r>
          <w:rPr>
            <w:color w:val="245B9E"/>
          </w:rPr>
          <w:t xml:space="preserve">https://arxiv.org/html/2601.02948v1</w:t>
        </w:r>
      </w:hyperlink>
    </w:p>
    <w:p>
      <w:pPr>
        <w:pStyle w:val="Source"/>
      </w:pPr>
      <w:hyperlink r:id="rId55">
        <w:r>
          <w:rPr>
            <w:color w:val="245B9E"/>
          </w:rPr>
          <w:t xml:space="preserve">https://ieeexplore.ieee.org/abstract/document/11373877</w:t>
        </w:r>
      </w:hyperlink>
    </w:p>
    <w:p>
      <w:pPr>
        <w:pStyle w:val="Source"/>
      </w:pPr>
      <w:hyperlink r:id="rId56">
        <w:r>
          <w:rPr>
            <w:color w:val="245B9E"/>
          </w:rPr>
          <w:t xml:space="preserve">https://www.kth.se/rpl/publications</w:t>
        </w:r>
      </w:hyperlink>
    </w:p>
    <w:p>
      <w:pPr>
        <w:pStyle w:val="AuditHeading"/>
      </w:pPr>
      <w:r>
        <w:t xml:space="preserve">[22] CLIS-MPPI: Closed-Loop Model Predictive Path Integral Control With Initial-State Sampling Under Execution Delay</w:t>
      </w:r>
    </w:p>
    <w:p>
      <w:pPr>
        <w:pStyle w:val="Note"/>
      </w:pPr>
      <w:r>
        <w:t xml:space="preserve">已读原始全文第二节及算法1；首发2026-10-15。未核实正式会议录或期刊出版记录，明确按预印本引用。</w:t>
      </w:r>
    </w:p>
    <w:p>
      <w:pPr>
        <w:pStyle w:val="Source"/>
      </w:pPr>
      <w:hyperlink r:id="rId57">
        <w:r>
          <w:rPr>
            <w:color w:val="245B9E"/>
          </w:rPr>
          <w:t xml:space="preserve">https://arxiv.org/html/2610.21239v1</w:t>
        </w:r>
      </w:hyperlink>
    </w:p>
    <w:p>
      <w:pPr>
        <w:pStyle w:val="Heading2"/>
      </w:pPr>
      <w:r>
        <w:t xml:space="preserve">6. 补充阅读记录（不占正文引用编号）</w:t>
      </w:r>
    </w:p>
    <w:p>
      <w:pPr>
        <w:pStyle w:val="Note"/>
      </w:pPr>
      <w:r>
        <w:t xml:space="preserve">以下研究主要用于参考质量、评价设计与复现性讨论，保留供方法和实验章节引用。</w:t>
      </w:r>
    </w:p>
    <w:p>
      <w:pPr>
        <w:pStyle w:val="Note"/>
      </w:pPr>
      <w:r>
        <w:t xml:space="preserve">M. Frosi, R. Bertoglio, and M. Matteucci, “On the precision of 6 DoF IMU-LiDAR based localization in GNSS-denied scenarios,” Frontiers in Robotics and AI, vol. 10, Art. no. 1064930, 2023. doi: 10.3389/frobt.2023.1064930.</w:t>
      </w:r>
    </w:p>
    <w:p>
      <w:pPr>
        <w:pStyle w:val="Note"/>
      </w:pPr>
      <w:r>
        <w:t xml:space="preserve">已读原始全文第三节及局部OptiTrack覆盖、两次轨迹、停点与时间配对相关实验段。该文使用自定义重定位误差，本稿未将其数值与本项目RMSE直接比较。</w:t>
      </w:r>
    </w:p>
    <w:p>
      <w:pPr>
        <w:pStyle w:val="Source"/>
      </w:pPr>
      <w:hyperlink r:id="rId58">
        <w:r>
          <w:rPr>
            <w:color w:val="245B9E"/>
          </w:rPr>
          <w:t xml:space="preserve">https://doi.org/10.3389/frobt.2023.1064930</w:t>
        </w:r>
      </w:hyperlink>
    </w:p>
    <w:p>
      <w:pPr>
        <w:pStyle w:val="Source"/>
      </w:pPr>
      <w:hyperlink r:id="rId59">
        <w:r>
          <w:rPr>
            <w:color w:val="245B9E"/>
          </w:rPr>
          <w:t xml:space="preserve">https://www.frontiersin.org/journals/robotics-and-ai/articles/10.3389/frobt.2023.1064930/full</w:t>
        </w:r>
      </w:hyperlink>
    </w:p>
    <w:p>
      <w:pPr>
        <w:pStyle w:val="Note"/>
      </w:pPr>
      <w:r>
        <w:t xml:space="preserve">G. Franchini, D. Rodríguez-Martínez, A. Martínez-Petersen, C. J. Pérez-del-Pulgar, and M. Chiaberge, “CAVERS: Multimodal SLAM Data From a Natural Karstic Cave With Ground Truth Motion Capture,” IEEE Robotics and Automation Letters, vol. 11, no. 10, pp. 11514–11521, 2026. doi: 10.1109/LRA.2026.3726391.</w:t>
      </w:r>
    </w:p>
    <w:p>
      <w:pPr>
        <w:pStyle w:val="Note"/>
      </w:pPr>
      <w:r>
        <w:t xml:space="preserve">依据book正式PDF第二节及局限段。有效动捕参考只覆盖部分序列，其他算法轨迹不能混称独立真值；标定误差也不能替代独立位姿不确定度。</w:t>
      </w:r>
    </w:p>
    <w:p>
      <w:pPr>
        <w:pStyle w:val="Source"/>
      </w:pPr>
      <w:hyperlink r:id="rId60">
        <w:r>
          <w:rPr>
            <w:color w:val="245B9E"/>
          </w:rPr>
          <w:t xml:space="preserve">https://doi.org/10.1109/LRA.2026.3726391</w:t>
        </w:r>
      </w:hyperlink>
    </w:p>
    <w:p>
      <w:pPr>
        <w:pStyle w:val="Note"/>
      </w:pPr>
      <w:r>
        <w:t xml:space="preserve">H. Huang, M. Zhang, J. Hu, and X. Guan, “Unveiling Non-Reproducibility in LiDAR-Inertial Odometry,” IEEE Robotics and Automation Letters, vol. 11, no. 1, pp. 994–1001, 2026. doi: 10.1109/LRA.2025.3636030.</w:t>
      </w:r>
    </w:p>
    <w:p>
      <w:pPr>
        <w:pStyle w:val="Note"/>
      </w:pPr>
      <w:r>
        <w:t xml:space="preserve">依据book正式PDF摘要、实现干预与重复运行相关内容。只支持记录运行条件和重复性的重要性，不用于归因本项目中任何未诊断的误差。</w:t>
      </w:r>
    </w:p>
    <w:p>
      <w:pPr>
        <w:pStyle w:val="Source"/>
      </w:pPr>
      <w:hyperlink r:id="rId61">
        <w:r>
          <w:rPr>
            <w:color w:val="245B9E"/>
          </w:rPr>
          <w:t xml:space="preserve">https://doi.org/10.1109/LRA.2025.3636030</w:t>
        </w:r>
      </w:hyperlink>
    </w:p>
    <w:sectPr>
      <w:footerReference w:type="default" r:id="rId3"/>
      <w:pgSz w:w="11906" w:h="16838"/>
      <w:pgMar w:top="1247" w:right="1247" w:bottom="1247" w:left="1247" w:header="567" w:footer="567" w:gutter="0"/>
      <w:docGrid w:linePitch="312"/>
    </w:sectPr>
  </w:body>
</w:document>
</file>

<file path=word/footer1.xml><?xml version="1.0" encoding="utf-8"?>
<w:ftr xmlns:w="http://schemas.openxmlformats.org/wordprocessingml/2006/main">
  <w:p>
    <w:pPr>
      <w:jc w:val="center"/>
    </w:pPr>
    <w:r>
      <w:t xml:space="preserve">相关工作｜</w:t>
    </w:r>
    <w:fldSimple w:instr="PAGE">
      <w:r>
        <w:t xml:space="preserve">1</w:t>
      </w:r>
    </w:fldSimple>
  </w:p>
</w:ftr>
</file>

<file path=word/settings.xml><?xml version="1.0" encoding="utf-8"?>
<w:settings xmlns:w="http://schemas.openxmlformats.org/wordprocessingml/2006/main">
  <w:zoom w:percent="100"/>
  <w:defaultTabStop w:val="420"/>
  <w:autoHyphenation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Noto Serif CJK SC" w:cs="Times New Roman"/>
        <w:sz w:val="22"/>
        <w:lang w:val="en-US" w:eastAsia="zh-CN"/>
      </w:rPr>
    </w:rPrDefault>
    <w:pPrDefault>
      <w:pPr>
        <w:spacing w:after="90" w:line="300" w:lineRule="auto"/>
        <w:widowControl/>
      </w:pPr>
    </w:pPrDefault>
  </w:docDefaults>
  <w:style w:type="paragraph" w:styleId="Normal" w:default="1">
    <w:name w:val="Normal"/>
    <w:next w:val="Normal"/>
    <w:pPr>
      <w:spacing w:before="0" w:after="100" w:line="300" w:lineRule="auto"/>
      <w:jc w:val="both"/>
      <w:widowControl/>
      <w:ind w:firstLine="440"/>
    </w:pPr>
    <w:rPr>
      <w:sz w:val="22"/>
    </w:rPr>
  </w:style>
  <w:style w:type="paragraph" w:styleId="Title">
    <w:name w:val="Title"/>
    <w:basedOn w:val="Normal"/>
    <w:next w:val="Normal"/>
    <w:pPr>
      <w:spacing w:before="0" w:after="120" w:line="300" w:lineRule="auto"/>
      <w:jc w:val="center"/>
      <w:widowControl/>
      <w:keepNext/>
      <w:keepLines/>
      <w:ind w:firstLine="0"/>
    </w:pPr>
    <w:rPr>
      <w:sz w:val="34"/>
      <w:b/>
      <w:rFonts w:ascii="Times New Roman" w:hAnsi="Times New Roman" w:eastAsia="Noto Sans CJK SC"/>
    </w:rPr>
  </w:style>
  <w:style w:type="paragraph" w:styleId="Subtitle">
    <w:name w:val="Subtitle"/>
    <w:basedOn w:val="Normal"/>
    <w:next w:val="Normal"/>
    <w:pPr>
      <w:spacing w:before="0" w:after="100" w:line="300" w:lineRule="auto"/>
      <w:jc w:val="center"/>
      <w:widowControl/>
      <w:keepNext/>
      <w:keepLines/>
      <w:ind w:firstLine="0"/>
    </w:pPr>
    <w:rPr>
      <w:sz w:val="23"/>
      <w:rFonts w:ascii="Times New Roman" w:hAnsi="Times New Roman" w:eastAsia="Noto Sans CJK SC"/>
      <w:color w:val="4A4A4A"/>
    </w:rPr>
  </w:style>
  <w:style w:type="paragraph" w:styleId="Meta">
    <w:name w:val="Meta"/>
    <w:basedOn w:val="Normal"/>
    <w:next w:val="Normal"/>
    <w:pPr>
      <w:spacing w:before="0" w:after="180" w:line="270" w:lineRule="auto"/>
      <w:jc w:val="left"/>
      <w:widowControl/>
      <w:ind w:firstLine="0"/>
    </w:pPr>
    <w:rPr>
      <w:sz w:val="18"/>
      <w:color w:val="666666"/>
    </w:rPr>
  </w:style>
  <w:style w:type="paragraph" w:styleId="Heading1">
    <w:name w:val="Heading1"/>
    <w:basedOn w:val="Normal"/>
    <w:next w:val="Normal"/>
    <w:pPr>
      <w:spacing w:before="160" w:after="140" w:line="300" w:lineRule="auto"/>
      <w:jc w:val="left"/>
      <w:widowControl/>
      <w:keepNext/>
      <w:keepLines/>
      <w:ind w:firstLine="0"/>
      <w:outlineLvl w:val="0"/>
    </w:pPr>
    <w:rPr>
      <w:sz w:val="28"/>
      <w:b/>
      <w:rFonts w:ascii="Times New Roman" w:hAnsi="Times New Roman" w:eastAsia="Noto Sans CJK SC"/>
    </w:rPr>
  </w:style>
  <w:style w:type="paragraph" w:styleId="Heading2">
    <w:name w:val="Heading2"/>
    <w:basedOn w:val="Normal"/>
    <w:next w:val="Normal"/>
    <w:pPr>
      <w:spacing w:before="150" w:after="90" w:line="300" w:lineRule="auto"/>
      <w:jc w:val="left"/>
      <w:widowControl/>
      <w:keepNext/>
      <w:keepLines/>
      <w:ind w:firstLine="0"/>
      <w:outlineLvl w:val="1"/>
    </w:pPr>
    <w:rPr>
      <w:sz w:val="24"/>
      <w:b/>
      <w:rFonts w:ascii="Times New Roman" w:hAnsi="Times New Roman" w:eastAsia="Noto Sans CJK SC"/>
    </w:rPr>
  </w:style>
  <w:style w:type="paragraph" w:styleId="Reference">
    <w:name w:val="Reference"/>
    <w:basedOn w:val="Normal"/>
    <w:next w:val="Normal"/>
    <w:pPr>
      <w:spacing w:before="0" w:after="130" w:line="270" w:lineRule="auto"/>
      <w:jc w:val="left"/>
      <w:widowControl/>
      <w:ind w:left="400" w:hanging="400"/>
      <w:keepLines/>
    </w:pPr>
    <w:rPr>
      <w:sz w:val="20"/>
    </w:rPr>
  </w:style>
  <w:style w:type="paragraph" w:styleId="Note">
    <w:name w:val="Note"/>
    <w:basedOn w:val="Normal"/>
    <w:next w:val="Normal"/>
    <w:pPr>
      <w:spacing w:before="0" w:after="90" w:line="270" w:lineRule="auto"/>
      <w:jc w:val="both"/>
      <w:widowControl/>
      <w:ind w:firstLine="400"/>
    </w:pPr>
    <w:rPr>
      <w:sz w:val="20"/>
    </w:rPr>
  </w:style>
  <w:style w:type="paragraph" w:styleId="AuditHeading">
    <w:name w:val="AuditHeading"/>
    <w:basedOn w:val="Normal"/>
    <w:next w:val="Normal"/>
    <w:pPr>
      <w:spacing w:before="100" w:after="40" w:line="270" w:lineRule="auto"/>
      <w:jc w:val="left"/>
      <w:widowControl/>
      <w:keepNext/>
      <w:keepLines/>
      <w:ind w:firstLine="0"/>
    </w:pPr>
    <w:rPr>
      <w:sz w:val="20"/>
      <w:b/>
    </w:rPr>
  </w:style>
  <w:style w:type="paragraph" w:styleId="Source">
    <w:name w:val="Source"/>
    <w:basedOn w:val="Normal"/>
    <w:next w:val="Normal"/>
    <w:pPr>
      <w:spacing w:before="0" w:after="60" w:line="270" w:lineRule="auto"/>
      <w:jc w:val="left"/>
      <w:widowControl/>
      <w:ind w:firstLine="0"/>
    </w:pPr>
    <w:rPr>
      <w:sz w:val="17"/>
      <w:color w:val="55555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hyperlink" Target="https://doi.org/10.1109/LRA.2023.3236571" TargetMode="External"/><Relationship Id="rId5" Type="http://schemas.openxmlformats.org/officeDocument/2006/relationships/hyperlink" Target="https://doi.org/10.1109/TRO.2022.3141876" TargetMode="External"/><Relationship Id="rId6" Type="http://schemas.openxmlformats.org/officeDocument/2006/relationships/hyperlink" Target="https://doi.org/10.1109/LRA.2024.3354616" TargetMode="External"/><Relationship Id="rId7" Type="http://schemas.openxmlformats.org/officeDocument/2006/relationships/hyperlink" Target="https://doi.org/10.1109/LRA.2023.3291274" TargetMode="External"/><Relationship Id="rId8" Type="http://schemas.openxmlformats.org/officeDocument/2006/relationships/hyperlink" Target="https://doi.org/10.1109/TRO.2024.3502198" TargetMode="External"/><Relationship Id="rId9" Type="http://schemas.openxmlformats.org/officeDocument/2006/relationships/hyperlink" Target="https://doi.org/10.1109/LRA.2024.3521184" TargetMode="External"/><Relationship Id="rId10" Type="http://schemas.openxmlformats.org/officeDocument/2006/relationships/hyperlink" Target="https://doi.org/10.1109/TRO.2021.3133730" TargetMode="External"/><Relationship Id="rId11" Type="http://schemas.openxmlformats.org/officeDocument/2006/relationships/hyperlink" Target="https://doi.org/10.1109/TIV.2023.3323648" TargetMode="External"/><Relationship Id="rId12" Type="http://schemas.openxmlformats.org/officeDocument/2006/relationships/hyperlink" Target="https://doi.org/10.1109/LRA.2024.3498780" TargetMode="External"/><Relationship Id="rId13" Type="http://schemas.openxmlformats.org/officeDocument/2006/relationships/hyperlink" Target="https://doi.org/10.1016/j.ifacol.2025.09.153" TargetMode="External"/><Relationship Id="rId14" Type="http://schemas.openxmlformats.org/officeDocument/2006/relationships/hyperlink" Target="https://doi.org/10.1109/LRA.2023.3329625" TargetMode="External"/><Relationship Id="rId15" Type="http://schemas.openxmlformats.org/officeDocument/2006/relationships/hyperlink" Target="https://doi.org/10.1017/S0263574724001589" TargetMode="External"/><Relationship Id="rId16" Type="http://schemas.openxmlformats.org/officeDocument/2006/relationships/hyperlink" Target="https://doi.org/10.1109/LRA.2025.3643287" TargetMode="External"/><Relationship Id="rId17" Type="http://schemas.openxmlformats.org/officeDocument/2006/relationships/hyperlink" Target="https://doi.org/10.3389/frobt.2025.1601862" TargetMode="External"/><Relationship Id="rId18" Type="http://schemas.openxmlformats.org/officeDocument/2006/relationships/hyperlink" Target="https://doi.org/10.1109/LRA.2025.3604732" TargetMode="External"/><Relationship Id="rId19" Type="http://schemas.openxmlformats.org/officeDocument/2006/relationships/hyperlink" Target="https://doi.org/10.3390/agriculture15141479" TargetMode="External"/><Relationship Id="rId20" Type="http://schemas.openxmlformats.org/officeDocument/2006/relationships/hyperlink" Target="https://doi.org/10.1109/TRO.2018.2865891" TargetMode="External"/><Relationship Id="rId21" Type="http://schemas.openxmlformats.org/officeDocument/2006/relationships/hyperlink" Target="https://doi.org/10.1109/LRA.2021.3057563" TargetMode="External"/><Relationship Id="rId22" Type="http://schemas.openxmlformats.org/officeDocument/2006/relationships/hyperlink" Target="https://doi.org/10.1109/ICRA57147.2024.10611021" TargetMode="External"/><Relationship Id="rId23" Type="http://schemas.openxmlformats.org/officeDocument/2006/relationships/hyperlink" Target="https://doi.org/10.1109/LRA.2025.3630871" TargetMode="External"/><Relationship Id="rId24" Type="http://schemas.openxmlformats.org/officeDocument/2006/relationships/hyperlink" Target="https://doi.org/10.1109/LRA.2026.3662531" TargetMode="External"/><Relationship Id="rId25" Type="http://schemas.openxmlformats.org/officeDocument/2006/relationships/hyperlink" Target="https://arxiv.org/abs/2610.21239v1" TargetMode="External"/><Relationship Id="rId26" Type="http://schemas.openxmlformats.org/officeDocument/2006/relationships/hyperlink" Target="https://github.com/PRBonn/kiss-icp" TargetMode="External"/><Relationship Id="rId27" Type="http://schemas.openxmlformats.org/officeDocument/2006/relationships/hyperlink" Target="https://arxiv.org/html/2107.06829v1" TargetMode="External"/><Relationship Id="rId28" Type="http://schemas.openxmlformats.org/officeDocument/2006/relationships/hyperlink" Target="https://www.ipb.uni-bonn.de/people/louis-wiesmann/index.html" TargetMode="External"/><Relationship Id="rId29" Type="http://schemas.openxmlformats.org/officeDocument/2006/relationships/hyperlink" Target="https://arxiv.org/html/2408.14035v2" TargetMode="External"/><Relationship Id="rId30" Type="http://schemas.openxmlformats.org/officeDocument/2006/relationships/hyperlink" Target="https://ieeexplore.ieee.org/document/10757429/" TargetMode="External"/><Relationship Id="rId31" Type="http://schemas.openxmlformats.org/officeDocument/2006/relationships/hyperlink" Target="https://github.com/hku-mars/FAST-LIVO2" TargetMode="External"/><Relationship Id="rId32" Type="http://schemas.openxmlformats.org/officeDocument/2006/relationships/hyperlink" Target="https://arxiv.org/html/2103.07899v3" TargetMode="External"/><Relationship Id="rId33" Type="http://schemas.openxmlformats.org/officeDocument/2006/relationships/hyperlink" Target="https://github.com/HKUST-Aerial-Robotics/GVINS" TargetMode="External"/><Relationship Id="rId34" Type="http://schemas.openxmlformats.org/officeDocument/2006/relationships/hyperlink" Target="https://researchportal.hkust.edu.hk/en/publications/gvins-tightly-coupled-gnss-visual-inertial-fusion-for-smooth-and-/" TargetMode="External"/><Relationship Id="rId35" Type="http://schemas.openxmlformats.org/officeDocument/2006/relationships/hyperlink" Target="https://polyu-taslab.github.io/publications/2024-liu-glio-tightlycoupled-gnsslidarimu-2/" TargetMode="External"/><Relationship Id="rId36" Type="http://schemas.openxmlformats.org/officeDocument/2006/relationships/hyperlink" Target="https://polyu-taslab.github.io/publications/papers/GLIO_Tightly-Coupled_GNSS_LiDAR_IMU_Integration_for_Continuous_and_Drift-Free_State_Estimation_of_Intelligent_Vehicles_in_Urban_Areas.pdf" TargetMode="External"/><Relationship Id="rId37" Type="http://schemas.openxmlformats.org/officeDocument/2006/relationships/hyperlink" Target="https://i2nav.cn/ueditor/jsp/upload/file/20241126/1732622538933063283.pdf" TargetMode="External"/><Relationship Id="rId38" Type="http://schemas.openxmlformats.org/officeDocument/2006/relationships/hyperlink" Target="https://www.sciencedirect.com/science/article/pii/S2405896325009140" TargetMode="External"/><Relationship Id="rId39" Type="http://schemas.openxmlformats.org/officeDocument/2006/relationships/hyperlink" Target="https://publica-rest.fraunhofer.de/server/api/core/bitstreams/d5ab4695-b0de-4cb2-bb84-f2965b364efc/content" TargetMode="External"/><Relationship Id="rId40" Type="http://schemas.openxmlformats.org/officeDocument/2006/relationships/hyperlink" Target="https://www.cambridge.org/core/journals/robotica/article/abs/novel-online-time-calibration-framework-via-doublestage-ekf-for-visualinertial-odometry/926E37A6CD22DA654EEE116DDB936096" TargetMode="External"/><Relationship Id="rId41" Type="http://schemas.openxmlformats.org/officeDocument/2006/relationships/hyperlink" Target="https://arxiv.org/html/2507.12920v1" TargetMode="External"/><Relationship Id="rId42" Type="http://schemas.openxmlformats.org/officeDocument/2006/relationships/hyperlink" Target="https://ieeexplore.ieee.org/abstract/document/11297812/references" TargetMode="External"/><Relationship Id="rId43" Type="http://schemas.openxmlformats.org/officeDocument/2006/relationships/hyperlink" Target="https://www.frontiersin.org/journals/robotics-and-ai/articles/10.3389/frobt.2025.1601862/full" TargetMode="External"/><Relationship Id="rId44" Type="http://schemas.openxmlformats.org/officeDocument/2006/relationships/hyperlink" Target="https://ieeexplore.ieee.org/abstract/document/11146610/" TargetMode="External"/><Relationship Id="rId45" Type="http://schemas.openxmlformats.org/officeDocument/2006/relationships/hyperlink" Target="https://www.megnath.com/publications/" TargetMode="External"/><Relationship Id="rId46" Type="http://schemas.openxmlformats.org/officeDocument/2006/relationships/hyperlink" Target="https://www.mdpi.com/2077-0472/15/14/1479" TargetMode="External"/><Relationship Id="rId47" Type="http://schemas.openxmlformats.org/officeDocument/2006/relationships/hyperlink" Target="https://arxiv.org/html/1707.02342v1" TargetMode="External"/><Relationship Id="rId48" Type="http://schemas.openxmlformats.org/officeDocument/2006/relationships/hyperlink" Target="https://experts.illinois.edu/en/publications/information-theoretic-model-predictive-control-theory-and-applica/" TargetMode="External"/><Relationship Id="rId49" Type="http://schemas.openxmlformats.org/officeDocument/2006/relationships/hyperlink" Target="https://arxiv.org/html/2102.09027v1" TargetMode="External"/><Relationship Id="rId50" Type="http://schemas.openxmlformats.org/officeDocument/2006/relationships/hyperlink" Target="https://arxiv.org/abs/2102.09027v1" TargetMode="External"/><Relationship Id="rId51" Type="http://schemas.openxmlformats.org/officeDocument/2006/relationships/hyperlink" Target="https://arxiv.org/html/2309.11040v3" TargetMode="External"/><Relationship Id="rId52" Type="http://schemas.openxmlformats.org/officeDocument/2006/relationships/hyperlink" Target="https://ieeexplore.ieee.org/abstract/document/10611021" TargetMode="External"/><Relationship Id="rId53" Type="http://schemas.openxmlformats.org/officeDocument/2006/relationships/hyperlink" Target="https://discovery.ucl.ac.uk/id/eprint/10218402/1/RA_L_FeedbackMPPI_Final.pdf" TargetMode="External"/><Relationship Id="rId54" Type="http://schemas.openxmlformats.org/officeDocument/2006/relationships/hyperlink" Target="https://arxiv.org/html/2601.02948v1" TargetMode="External"/><Relationship Id="rId55" Type="http://schemas.openxmlformats.org/officeDocument/2006/relationships/hyperlink" Target="https://ieeexplore.ieee.org/abstract/document/11373877" TargetMode="External"/><Relationship Id="rId56" Type="http://schemas.openxmlformats.org/officeDocument/2006/relationships/hyperlink" Target="https://www.kth.se/rpl/publications" TargetMode="External"/><Relationship Id="rId57" Type="http://schemas.openxmlformats.org/officeDocument/2006/relationships/hyperlink" Target="https://arxiv.org/html/2610.21239v1" TargetMode="External"/><Relationship Id="rId58" Type="http://schemas.openxmlformats.org/officeDocument/2006/relationships/hyperlink" Target="https://doi.org/10.3389/frobt.2023.1064930" TargetMode="External"/><Relationship Id="rId59" Type="http://schemas.openxmlformats.org/officeDocument/2006/relationships/hyperlink" Target="https://www.frontiersin.org/journals/robotics-and-ai/articles/10.3389/frobt.2023.1064930/full" TargetMode="External"/><Relationship Id="rId60" Type="http://schemas.openxmlformats.org/officeDocument/2006/relationships/hyperlink" Target="https://doi.org/10.1109/LRA.2026.3726391" TargetMode="External"/><Relationship Id="rId61" Type="http://schemas.openxmlformats.org/officeDocument/2006/relationships/hyperlink" Target="https://doi.org/10.1109/LRA.2025.3636030" TargetMode="External"/></Relationships>
</file>

<file path=docProps/core.xml><?xml version="1.0" encoding="utf-8"?>
<cp:coreProperties xmlns:cp="http://schemas.openxmlformats.org/package/2006/metadata/core-properties" xmlns:dc="http://purl.org/dc/elements/1.1/">
  <dc:title>相关工作（基准建图与时延补偿研究稿）</dc:title>
  <dc:subject>外部绝对参考约束下的基准建图、观测补偿与路径执行</dc:subject>
  <dc:description>中文相关工作、编号参考文献及逐项核实记录；检索截止2026-10-22。</dc:description>
</cp:coreProperties>
</file>