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243A"/>
          <w:sz w:val="62"/>
        </w:rPr>
        <w:t>Practical Guide to Building a</w:t>
        <w:br/>
        <w:t>Second Brain for AI</w:t>
      </w:r>
    </w:p>
    <w:p>
      <w:pPr>
        <w:jc w:val="center"/>
      </w:pPr>
      <w:r>
        <w:rPr>
          <w:rFonts w:ascii="Aptos" w:hAnsi="Aptos"/>
          <w:color w:val="2F63E0"/>
          <w:sz w:val="30"/>
        </w:rPr>
        <w:t>Developer, enterprise, research, and personal knowledge patterns</w:t>
      </w:r>
    </w:p>
    <w:p>
      <w:pPr>
        <w:spacing w:before="360"/>
        <w:jc w:val="center"/>
      </w:pPr>
      <w:r>
        <w:rPr>
          <w:rFonts w:ascii="Aptos" w:hAnsi="Aptos"/>
          <w:color w:val="5F6B80"/>
          <w:sz w:val="23"/>
        </w:rPr>
        <w:t>How to turn Markdown, code, SharePoint/OneDrive, Outlook, Teams, NotebookLM, Obsidian, and connected tools into persistent, reusable context for AI.</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2F9E73"/>
                <w:sz w:val="21"/>
              </w:rPr>
              <w:t xml:space="preserve">Core idea:  </w:t>
            </w:r>
            <w:r>
              <w:rPr>
                <w:rFonts w:ascii="Aptos" w:hAnsi="Aptos"/>
                <w:color w:val="232C3E"/>
                <w:sz w:val="21"/>
              </w:rPr>
              <w:t>A Second Brain is not one product. It is a deliberately organized knowledge layer that an AI assistant can retrieve from, reason over, and use to produce grounded outputs. The best implementation depends on where your knowledge already lives.</w:t>
            </w:r>
          </w:p>
        </w:tc>
      </w:tr>
    </w:tbl>
    <w:p>
      <w:pPr>
        <w:spacing w:after="0"/>
      </w:pPr>
    </w:p>
    <w:p>
      <w:r>
        <w:br w:type="page"/>
      </w:r>
    </w:p>
    <w:p>
      <w:pPr>
        <w:pStyle w:val="Heading1"/>
        <w:keepNext/>
      </w:pPr>
      <w:r>
        <w:rPr>
          <w:rFonts w:ascii="Aptos Display" w:hAnsi="Aptos Display"/>
          <w:b/>
          <w:color w:val="17243A"/>
          <w:sz w:val="44"/>
        </w:rPr>
        <w:t>1. Executive summary</w:t>
      </w:r>
    </w:p>
    <w:p>
      <w:pPr>
        <w:spacing w:after="100"/>
      </w:pPr>
      <w:r>
        <w:rPr>
          <w:rFonts w:ascii="Aptos" w:hAnsi="Aptos"/>
          <w:color w:val="232C3E"/>
        </w:rPr>
        <w:t>A Second Brain for AI is a persistent, curated knowledge system that preserves facts, decisions, context, patterns, and lessons so users do not have to reconstruct them in every prompt. The system can be as simple as a folder of Markdown files or as broad as enterprise sources such as SharePoint/OneDrive, Outlook, Teams, documentation systems, and project repositories.</w:t>
      </w:r>
    </w:p>
    <w:p>
      <w:pPr>
        <w:spacing w:after="100"/>
      </w:pPr>
      <w:r>
        <w:rPr>
          <w:rFonts w:ascii="Aptos" w:hAnsi="Aptos"/>
          <w:color w:val="232C3E"/>
        </w:rPr>
        <w:t>The most useful mental model is to separate three concerns:</w:t>
      </w:r>
    </w:p>
    <w:p>
      <w:pPr>
        <w:pStyle w:val="ListBullet"/>
        <w:spacing w:after="60"/>
      </w:pPr>
      <w:r>
        <w:rPr>
          <w:rFonts w:ascii="Aptos" w:hAnsi="Aptos"/>
          <w:color w:val="232C3E"/>
        </w:rPr>
        <w:t>Knowledge layer — where durable information lives: files, mail, chats, code, notes, decisions, and structured relationships.</w:t>
      </w:r>
    </w:p>
    <w:p>
      <w:pPr>
        <w:pStyle w:val="ListBullet"/>
        <w:spacing w:after="60"/>
      </w:pPr>
      <w:r>
        <w:rPr>
          <w:rFonts w:ascii="Aptos" w:hAnsi="Aptos"/>
          <w:color w:val="232C3E"/>
        </w:rPr>
        <w:t>Retrieval layer — how the AI finds the small subset of knowledge that is relevant to the current task.</w:t>
      </w:r>
    </w:p>
    <w:p>
      <w:pPr>
        <w:pStyle w:val="ListBullet"/>
        <w:spacing w:after="60"/>
      </w:pPr>
      <w:r>
        <w:rPr>
          <w:rFonts w:ascii="Aptos" w:hAnsi="Aptos"/>
          <w:color w:val="232C3E"/>
        </w:rPr>
        <w:t>Execution layer — the assistant, agent harness, or workflow that uses the retrieved context to answer, code, plan, validate, and capture learning.</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E58D3B"/>
                <w:sz w:val="21"/>
              </w:rPr>
              <w:t xml:space="preserve">Important:  </w:t>
            </w:r>
            <w:r>
              <w:rPr>
                <w:rFonts w:ascii="Aptos" w:hAnsi="Aptos"/>
                <w:color w:val="232C3E"/>
                <w:sz w:val="21"/>
              </w:rPr>
              <w:t>Do not treat “Second Brain” as “send everything to the model.” A good Second Brain stores broadly but retrieves narrowly. Compact, task-specific context is usually more useful than a huge prompt.</w:t>
            </w:r>
          </w:p>
        </w:tc>
      </w:tr>
    </w:tbl>
    <w:p>
      <w:pPr>
        <w:spacing w:after="0"/>
      </w:pPr>
    </w:p>
    <w:p>
      <w:pPr>
        <w:pStyle w:val="Heading1"/>
        <w:keepNext/>
      </w:pPr>
      <w:r>
        <w:rPr>
          <w:rFonts w:ascii="Aptos Display" w:hAnsi="Aptos Display"/>
          <w:b/>
          <w:color w:val="17243A"/>
          <w:sz w:val="44"/>
        </w:rPr>
        <w:t>2. A universal Second Brain architecture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243A"/>
          </w:tcPr>
          <w:p>
            <w:r>
              <w:rPr>
                <w:rFonts w:ascii="Aptos" w:hAnsi="Aptos"/>
                <w:b/>
                <w:color w:val="FFFFFF"/>
                <w:sz w:val="20"/>
              </w:rPr>
              <w:t>Layer</w:t>
            </w:r>
          </w:p>
        </w:tc>
        <w:tc>
          <w:tcPr>
            <w:tcW w:type="dxa" w:w="4997"/>
            <w:shd w:fill="17243A"/>
          </w:tcPr>
          <w:p>
            <w:r>
              <w:rPr>
                <w:rFonts w:ascii="Aptos" w:hAnsi="Aptos"/>
                <w:b/>
                <w:color w:val="FFFFFF"/>
                <w:sz w:val="20"/>
              </w:rPr>
              <w:t>Purpose</w:t>
            </w:r>
          </w:p>
        </w:tc>
      </w:tr>
      <w:tr>
        <w:tc>
          <w:tcPr>
            <w:tcW w:type="dxa" w:w="4997"/>
            <w:tcMar>
              <w:top w:w="100" w:type="dxa"/>
              <w:start w:w="110" w:type="dxa"/>
              <w:bottom w:w="100" w:type="dxa"/>
              <w:end w:w="110" w:type="dxa"/>
            </w:tcMar>
            <w:vAlign w:val="center"/>
          </w:tcPr>
          <w:p>
            <w:r>
              <w:rPr>
                <w:rFonts w:ascii="Aptos" w:hAnsi="Aptos"/>
                <w:b/>
                <w:color w:val="2F63E0"/>
                <w:sz w:val="20"/>
              </w:rPr>
              <w:t>1. Sources</w:t>
            </w:r>
          </w:p>
        </w:tc>
        <w:tc>
          <w:tcPr>
            <w:tcW w:type="dxa" w:w="4997"/>
            <w:tcMar>
              <w:top w:w="100" w:type="dxa"/>
              <w:start w:w="110" w:type="dxa"/>
              <w:bottom w:w="100" w:type="dxa"/>
              <w:end w:w="110" w:type="dxa"/>
            </w:tcMar>
            <w:vAlign w:val="center"/>
          </w:tcPr>
          <w:p>
            <w:r>
              <w:rPr>
                <w:rFonts w:ascii="Aptos" w:hAnsi="Aptos"/>
                <w:color w:val="232C3E"/>
                <w:sz w:val="20"/>
              </w:rPr>
              <w:t>Code, Markdown, documents, mail, Teams, tickets, meetings, notes, URLs, policies</w:t>
            </w:r>
          </w:p>
        </w:tc>
      </w:tr>
      <w:tr>
        <w:tc>
          <w:tcPr>
            <w:tcW w:type="dxa" w:w="4997"/>
            <w:tcMar>
              <w:top w:w="100" w:type="dxa"/>
              <w:start w:w="110" w:type="dxa"/>
              <w:bottom w:w="100" w:type="dxa"/>
              <w:end w:w="110" w:type="dxa"/>
            </w:tcMar>
            <w:vAlign w:val="center"/>
          </w:tcPr>
          <w:p>
            <w:r>
              <w:rPr>
                <w:rFonts w:ascii="Aptos" w:hAnsi="Aptos"/>
                <w:b/>
                <w:color w:val="2F63E0"/>
                <w:sz w:val="20"/>
              </w:rPr>
              <w:t>2. Curated knowledge</w:t>
            </w:r>
          </w:p>
        </w:tc>
        <w:tc>
          <w:tcPr>
            <w:tcW w:type="dxa" w:w="4997"/>
            <w:tcMar>
              <w:top w:w="100" w:type="dxa"/>
              <w:start w:w="110" w:type="dxa"/>
              <w:bottom w:w="100" w:type="dxa"/>
              <w:end w:w="110" w:type="dxa"/>
            </w:tcMar>
            <w:vAlign w:val="center"/>
          </w:tcPr>
          <w:p>
            <w:r>
              <w:rPr>
                <w:rFonts w:ascii="Aptos" w:hAnsi="Aptos"/>
                <w:color w:val="232C3E"/>
                <w:sz w:val="20"/>
              </w:rPr>
              <w:t>Architecture, domain facts, decisions, patterns, runbooks, incidents, personal notes</w:t>
            </w:r>
          </w:p>
        </w:tc>
      </w:tr>
      <w:tr>
        <w:tc>
          <w:tcPr>
            <w:tcW w:type="dxa" w:w="4997"/>
            <w:tcMar>
              <w:top w:w="100" w:type="dxa"/>
              <w:start w:w="110" w:type="dxa"/>
              <w:bottom w:w="100" w:type="dxa"/>
              <w:end w:w="110" w:type="dxa"/>
            </w:tcMar>
            <w:vAlign w:val="center"/>
          </w:tcPr>
          <w:p>
            <w:r>
              <w:rPr>
                <w:rFonts w:ascii="Aptos" w:hAnsi="Aptos"/>
                <w:b/>
                <w:color w:val="2F63E0"/>
                <w:sz w:val="20"/>
              </w:rPr>
              <w:t>3. Retrieval</w:t>
            </w:r>
          </w:p>
        </w:tc>
        <w:tc>
          <w:tcPr>
            <w:tcW w:type="dxa" w:w="4997"/>
            <w:tcMar>
              <w:top w:w="100" w:type="dxa"/>
              <w:start w:w="110" w:type="dxa"/>
              <w:bottom w:w="100" w:type="dxa"/>
              <w:end w:w="110" w:type="dxa"/>
            </w:tcMar>
            <w:vAlign w:val="center"/>
          </w:tcPr>
          <w:p>
            <w:r>
              <w:rPr>
                <w:rFonts w:ascii="Aptos" w:hAnsi="Aptos"/>
                <w:color w:val="232C3E"/>
                <w:sz w:val="20"/>
              </w:rPr>
              <w:t>Search, app/connector retrieval, semantic search, graph traversal, tags, links, source selection</w:t>
            </w:r>
          </w:p>
        </w:tc>
      </w:tr>
      <w:tr>
        <w:tc>
          <w:tcPr>
            <w:tcW w:type="dxa" w:w="4997"/>
            <w:tcMar>
              <w:top w:w="100" w:type="dxa"/>
              <w:start w:w="110" w:type="dxa"/>
              <w:bottom w:w="100" w:type="dxa"/>
              <w:end w:w="110" w:type="dxa"/>
            </w:tcMar>
            <w:vAlign w:val="center"/>
          </w:tcPr>
          <w:p>
            <w:r>
              <w:rPr>
                <w:rFonts w:ascii="Aptos" w:hAnsi="Aptos"/>
                <w:b/>
                <w:color w:val="2F63E0"/>
                <w:sz w:val="20"/>
              </w:rPr>
              <w:t>4. Context compiler</w:t>
            </w:r>
          </w:p>
        </w:tc>
        <w:tc>
          <w:tcPr>
            <w:tcW w:type="dxa" w:w="4997"/>
            <w:tcMar>
              <w:top w:w="100" w:type="dxa"/>
              <w:start w:w="110" w:type="dxa"/>
              <w:bottom w:w="100" w:type="dxa"/>
              <w:end w:w="110" w:type="dxa"/>
            </w:tcMar>
            <w:vAlign w:val="center"/>
          </w:tcPr>
          <w:p>
            <w:r>
              <w:rPr>
                <w:rFonts w:ascii="Aptos" w:hAnsi="Aptos"/>
                <w:color w:val="232C3E"/>
                <w:sz w:val="20"/>
              </w:rPr>
              <w:t>Goal + relevant evidence + constraints + acceptance criteria + output format</w:t>
            </w:r>
          </w:p>
        </w:tc>
      </w:tr>
      <w:tr>
        <w:tc>
          <w:tcPr>
            <w:tcW w:type="dxa" w:w="4997"/>
            <w:tcMar>
              <w:top w:w="100" w:type="dxa"/>
              <w:start w:w="110" w:type="dxa"/>
              <w:bottom w:w="100" w:type="dxa"/>
              <w:end w:w="110" w:type="dxa"/>
            </w:tcMar>
            <w:vAlign w:val="center"/>
          </w:tcPr>
          <w:p>
            <w:r>
              <w:rPr>
                <w:rFonts w:ascii="Aptos" w:hAnsi="Aptos"/>
                <w:b/>
                <w:color w:val="2F63E0"/>
                <w:sz w:val="20"/>
              </w:rPr>
              <w:t>5. AI execution</w:t>
            </w:r>
          </w:p>
        </w:tc>
        <w:tc>
          <w:tcPr>
            <w:tcW w:type="dxa" w:w="4997"/>
            <w:tcMar>
              <w:top w:w="100" w:type="dxa"/>
              <w:start w:w="110" w:type="dxa"/>
              <w:bottom w:w="100" w:type="dxa"/>
              <w:end w:w="110" w:type="dxa"/>
            </w:tcMar>
            <w:vAlign w:val="center"/>
          </w:tcPr>
          <w:p>
            <w:r>
              <w:rPr>
                <w:rFonts w:ascii="Aptos" w:hAnsi="Aptos"/>
                <w:color w:val="232C3E"/>
                <w:sz w:val="20"/>
              </w:rPr>
              <w:t>ChatGPT, GitHub Copilot, coding agent, NotebookLM, other LLM tools</w:t>
            </w:r>
          </w:p>
        </w:tc>
      </w:tr>
      <w:tr>
        <w:tc>
          <w:tcPr>
            <w:tcW w:type="dxa" w:w="4997"/>
            <w:tcMar>
              <w:top w:w="100" w:type="dxa"/>
              <w:start w:w="110" w:type="dxa"/>
              <w:bottom w:w="100" w:type="dxa"/>
              <w:end w:w="110" w:type="dxa"/>
            </w:tcMar>
            <w:vAlign w:val="center"/>
          </w:tcPr>
          <w:p>
            <w:r>
              <w:rPr>
                <w:rFonts w:ascii="Aptos" w:hAnsi="Aptos"/>
                <w:b/>
                <w:color w:val="2F63E0"/>
                <w:sz w:val="20"/>
              </w:rPr>
              <w:t>6. Memory loop</w:t>
            </w:r>
          </w:p>
        </w:tc>
        <w:tc>
          <w:tcPr>
            <w:tcW w:type="dxa" w:w="4997"/>
            <w:tcMar>
              <w:top w:w="100" w:type="dxa"/>
              <w:start w:w="110" w:type="dxa"/>
              <w:bottom w:w="100" w:type="dxa"/>
              <w:end w:w="110" w:type="dxa"/>
            </w:tcMar>
            <w:vAlign w:val="center"/>
          </w:tcPr>
          <w:p>
            <w:r>
              <w:rPr>
                <w:rFonts w:ascii="Aptos" w:hAnsi="Aptos"/>
                <w:color w:val="232C3E"/>
                <w:sz w:val="20"/>
              </w:rPr>
              <w:t>Capture validated decisions, fixes, summaries, and reusable artifacts back into the knowledge layer</w:t>
            </w:r>
          </w:p>
        </w:tc>
      </w:tr>
    </w:tbl>
    <w:p>
      <w:pPr>
        <w:pStyle w:val="Heading1"/>
        <w:keepNext/>
      </w:pPr>
      <w:r>
        <w:rPr>
          <w:rFonts w:ascii="Aptos Display" w:hAnsi="Aptos Display"/>
          <w:b/>
          <w:color w:val="17243A"/>
          <w:sz w:val="44"/>
        </w:rPr>
        <w:t>3. Choose the right Second Brain pattern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243A"/>
          </w:tcPr>
          <w:p>
            <w:r>
              <w:rPr>
                <w:rFonts w:ascii="Aptos" w:hAnsi="Aptos"/>
                <w:b/>
                <w:color w:val="FFFFFF"/>
                <w:sz w:val="19"/>
              </w:rPr>
              <w:t>Use case</w:t>
            </w:r>
          </w:p>
        </w:tc>
        <w:tc>
          <w:tcPr>
            <w:tcW w:type="dxa" w:w="3331"/>
            <w:shd w:fill="17243A"/>
          </w:tcPr>
          <w:p>
            <w:r>
              <w:rPr>
                <w:rFonts w:ascii="Aptos" w:hAnsi="Aptos"/>
                <w:b/>
                <w:color w:val="FFFFFF"/>
                <w:sz w:val="19"/>
              </w:rPr>
              <w:t>Recommended pattern</w:t>
            </w:r>
          </w:p>
        </w:tc>
        <w:tc>
          <w:tcPr>
            <w:tcW w:type="dxa" w:w="3331"/>
            <w:shd w:fill="17243A"/>
          </w:tcPr>
          <w:p>
            <w:r>
              <w:rPr>
                <w:rFonts w:ascii="Aptos" w:hAnsi="Aptos"/>
                <w:b/>
                <w:color w:val="FFFFFF"/>
                <w:sz w:val="19"/>
              </w:rPr>
              <w:t>Why it works</w:t>
            </w:r>
          </w:p>
        </w:tc>
      </w:tr>
      <w:tr>
        <w:tc>
          <w:tcPr>
            <w:tcW w:type="dxa" w:w="3331"/>
            <w:tcMar>
              <w:top w:w="100" w:type="dxa"/>
              <w:start w:w="110" w:type="dxa"/>
              <w:bottom w:w="100" w:type="dxa"/>
              <w:end w:w="110" w:type="dxa"/>
            </w:tcMar>
          </w:tcPr>
          <w:p>
            <w:r>
              <w:rPr>
                <w:rFonts w:ascii="Aptos" w:hAnsi="Aptos"/>
                <w:b/>
                <w:color w:val="2F63E0"/>
                <w:sz w:val="18"/>
              </w:rPr>
              <w:t>Software developer in IntelliJ</w:t>
            </w:r>
          </w:p>
        </w:tc>
        <w:tc>
          <w:tcPr>
            <w:tcW w:type="dxa" w:w="3331"/>
            <w:tcMar>
              <w:top w:w="100" w:type="dxa"/>
              <w:start w:w="110" w:type="dxa"/>
              <w:bottom w:w="100" w:type="dxa"/>
              <w:end w:w="110" w:type="dxa"/>
            </w:tcMar>
          </w:tcPr>
          <w:p>
            <w:r>
              <w:rPr>
                <w:rFonts w:ascii="Aptos" w:hAnsi="Aptos"/>
                <w:b w:val="0"/>
                <w:color w:val="232C3E"/>
                <w:sz w:val="18"/>
              </w:rPr>
              <w:t>Markdown + repository code + GitHub Copilot custom instructions</w:t>
            </w:r>
          </w:p>
        </w:tc>
        <w:tc>
          <w:tcPr>
            <w:tcW w:type="dxa" w:w="3331"/>
            <w:tcMar>
              <w:top w:w="100" w:type="dxa"/>
              <w:start w:w="110" w:type="dxa"/>
              <w:bottom w:w="100" w:type="dxa"/>
              <w:end w:w="110" w:type="dxa"/>
            </w:tcMar>
          </w:tcPr>
          <w:p>
            <w:r>
              <w:rPr>
                <w:rFonts w:ascii="Aptos" w:hAnsi="Aptos"/>
                <w:b w:val="0"/>
                <w:color w:val="232C3E"/>
                <w:sz w:val="18"/>
              </w:rPr>
              <w:t>Highest locality; context travels with the project</w:t>
            </w:r>
          </w:p>
        </w:tc>
      </w:tr>
      <w:tr>
        <w:tc>
          <w:tcPr>
            <w:tcW w:type="dxa" w:w="3331"/>
            <w:tcMar>
              <w:top w:w="100" w:type="dxa"/>
              <w:start w:w="110" w:type="dxa"/>
              <w:bottom w:w="100" w:type="dxa"/>
              <w:end w:w="110" w:type="dxa"/>
            </w:tcMar>
          </w:tcPr>
          <w:p>
            <w:r>
              <w:rPr>
                <w:rFonts w:ascii="Aptos" w:hAnsi="Aptos"/>
                <w:b/>
                <w:color w:val="2F63E0"/>
                <w:sz w:val="18"/>
              </w:rPr>
              <w:t>Enterprise knowledge worker</w:t>
            </w:r>
          </w:p>
        </w:tc>
        <w:tc>
          <w:tcPr>
            <w:tcW w:type="dxa" w:w="3331"/>
            <w:tcMar>
              <w:top w:w="100" w:type="dxa"/>
              <w:start w:w="110" w:type="dxa"/>
              <w:bottom w:w="100" w:type="dxa"/>
              <w:end w:w="110" w:type="dxa"/>
            </w:tcMar>
          </w:tcPr>
          <w:p>
            <w:r>
              <w:rPr>
                <w:rFonts w:ascii="Aptos" w:hAnsi="Aptos"/>
                <w:b w:val="0"/>
                <w:color w:val="232C3E"/>
                <w:sz w:val="18"/>
              </w:rPr>
              <w:t>ChatGPT + SharePoint/OneDrive + Outlook + Teams</w:t>
            </w:r>
          </w:p>
        </w:tc>
        <w:tc>
          <w:tcPr>
            <w:tcW w:type="dxa" w:w="3331"/>
            <w:tcMar>
              <w:top w:w="100" w:type="dxa"/>
              <w:start w:w="110" w:type="dxa"/>
              <w:bottom w:w="100" w:type="dxa"/>
              <w:end w:w="110" w:type="dxa"/>
            </w:tcMar>
          </w:tcPr>
          <w:p>
            <w:r>
              <w:rPr>
                <w:rFonts w:ascii="Aptos" w:hAnsi="Aptos"/>
                <w:b w:val="0"/>
                <w:color w:val="232C3E"/>
                <w:sz w:val="18"/>
              </w:rPr>
              <w:t>Uses existing enterprise sources and permissions</w:t>
            </w:r>
          </w:p>
        </w:tc>
      </w:tr>
      <w:tr>
        <w:tc>
          <w:tcPr>
            <w:tcW w:type="dxa" w:w="3331"/>
            <w:tcMar>
              <w:top w:w="100" w:type="dxa"/>
              <w:start w:w="110" w:type="dxa"/>
              <w:bottom w:w="100" w:type="dxa"/>
              <w:end w:w="110" w:type="dxa"/>
            </w:tcMar>
          </w:tcPr>
          <w:p>
            <w:r>
              <w:rPr>
                <w:rFonts w:ascii="Aptos" w:hAnsi="Aptos"/>
                <w:b/>
                <w:color w:val="2F63E0"/>
                <w:sz w:val="18"/>
              </w:rPr>
              <w:t>Research / learning</w:t>
            </w:r>
          </w:p>
        </w:tc>
        <w:tc>
          <w:tcPr>
            <w:tcW w:type="dxa" w:w="3331"/>
            <w:tcMar>
              <w:top w:w="100" w:type="dxa"/>
              <w:start w:w="110" w:type="dxa"/>
              <w:bottom w:w="100" w:type="dxa"/>
              <w:end w:w="110" w:type="dxa"/>
            </w:tcMar>
          </w:tcPr>
          <w:p>
            <w:r>
              <w:rPr>
                <w:rFonts w:ascii="Aptos" w:hAnsi="Aptos"/>
                <w:b w:val="0"/>
                <w:color w:val="232C3E"/>
                <w:sz w:val="18"/>
              </w:rPr>
              <w:t>NotebookLM notebooks</w:t>
            </w:r>
          </w:p>
        </w:tc>
        <w:tc>
          <w:tcPr>
            <w:tcW w:type="dxa" w:w="3331"/>
            <w:tcMar>
              <w:top w:w="100" w:type="dxa"/>
              <w:start w:w="110" w:type="dxa"/>
              <w:bottom w:w="100" w:type="dxa"/>
              <w:end w:w="110" w:type="dxa"/>
            </w:tcMar>
          </w:tcPr>
          <w:p>
            <w:r>
              <w:rPr>
                <w:rFonts w:ascii="Aptos" w:hAnsi="Aptos"/>
                <w:b w:val="0"/>
                <w:color w:val="232C3E"/>
                <w:sz w:val="18"/>
              </w:rPr>
              <w:t>Strong source-grounded Q&amp;A, citations, study artifacts</w:t>
            </w:r>
          </w:p>
        </w:tc>
      </w:tr>
      <w:tr>
        <w:tc>
          <w:tcPr>
            <w:tcW w:type="dxa" w:w="3331"/>
            <w:tcMar>
              <w:top w:w="100" w:type="dxa"/>
              <w:start w:w="110" w:type="dxa"/>
              <w:bottom w:w="100" w:type="dxa"/>
              <w:end w:w="110" w:type="dxa"/>
            </w:tcMar>
          </w:tcPr>
          <w:p>
            <w:r>
              <w:rPr>
                <w:rFonts w:ascii="Aptos" w:hAnsi="Aptos"/>
                <w:b/>
                <w:color w:val="2F63E0"/>
                <w:sz w:val="18"/>
              </w:rPr>
              <w:t>Personal knowledge management</w:t>
            </w:r>
          </w:p>
        </w:tc>
        <w:tc>
          <w:tcPr>
            <w:tcW w:type="dxa" w:w="3331"/>
            <w:tcMar>
              <w:top w:w="100" w:type="dxa"/>
              <w:start w:w="110" w:type="dxa"/>
              <w:bottom w:w="100" w:type="dxa"/>
              <w:end w:w="110" w:type="dxa"/>
            </w:tcMar>
          </w:tcPr>
          <w:p>
            <w:r>
              <w:rPr>
                <w:rFonts w:ascii="Aptos" w:hAnsi="Aptos"/>
                <w:b w:val="0"/>
                <w:color w:val="232C3E"/>
                <w:sz w:val="18"/>
              </w:rPr>
              <w:t>Obsidian vault</w:t>
            </w:r>
          </w:p>
        </w:tc>
        <w:tc>
          <w:tcPr>
            <w:tcW w:type="dxa" w:w="3331"/>
            <w:tcMar>
              <w:top w:w="100" w:type="dxa"/>
              <w:start w:w="110" w:type="dxa"/>
              <w:bottom w:w="100" w:type="dxa"/>
              <w:end w:w="110" w:type="dxa"/>
            </w:tcMar>
          </w:tcPr>
          <w:p>
            <w:r>
              <w:rPr>
                <w:rFonts w:ascii="Aptos" w:hAnsi="Aptos"/>
                <w:b w:val="0"/>
                <w:color w:val="232C3E"/>
                <w:sz w:val="18"/>
              </w:rPr>
              <w:t>Local Markdown, links, tags, durable personal ownership</w:t>
            </w:r>
          </w:p>
        </w:tc>
      </w:tr>
      <w:tr>
        <w:tc>
          <w:tcPr>
            <w:tcW w:type="dxa" w:w="3331"/>
            <w:tcMar>
              <w:top w:w="100" w:type="dxa"/>
              <w:start w:w="110" w:type="dxa"/>
              <w:bottom w:w="100" w:type="dxa"/>
              <w:end w:w="110" w:type="dxa"/>
            </w:tcMar>
          </w:tcPr>
          <w:p>
            <w:r>
              <w:rPr>
                <w:rFonts w:ascii="Aptos" w:hAnsi="Aptos"/>
                <w:b/>
                <w:color w:val="2F63E0"/>
                <w:sz w:val="18"/>
              </w:rPr>
              <w:t>Cross-tool / team platform</w:t>
            </w:r>
          </w:p>
        </w:tc>
        <w:tc>
          <w:tcPr>
            <w:tcW w:type="dxa" w:w="3331"/>
            <w:tcMar>
              <w:top w:w="100" w:type="dxa"/>
              <w:start w:w="110" w:type="dxa"/>
              <w:bottom w:w="100" w:type="dxa"/>
              <w:end w:w="110" w:type="dxa"/>
            </w:tcMar>
          </w:tcPr>
          <w:p>
            <w:r>
              <w:rPr>
                <w:rFonts w:ascii="Aptos" w:hAnsi="Aptos"/>
                <w:b w:val="0"/>
                <w:color w:val="232C3E"/>
                <w:sz w:val="18"/>
              </w:rPr>
              <w:t>Shared source layer + ChatGPT apps/custom connectors + optional knowledge graph</w:t>
            </w:r>
          </w:p>
        </w:tc>
        <w:tc>
          <w:tcPr>
            <w:tcW w:type="dxa" w:w="3331"/>
            <w:tcMar>
              <w:top w:w="100" w:type="dxa"/>
              <w:start w:w="110" w:type="dxa"/>
              <w:bottom w:w="100" w:type="dxa"/>
              <w:end w:w="110" w:type="dxa"/>
            </w:tcMar>
          </w:tcPr>
          <w:p>
            <w:r>
              <w:rPr>
                <w:rFonts w:ascii="Aptos" w:hAnsi="Aptos"/>
                <w:b w:val="0"/>
                <w:color w:val="232C3E"/>
                <w:sz w:val="18"/>
              </w:rPr>
              <w:t>One knowledge base serving several AI surfaces</w:t>
            </w:r>
          </w:p>
        </w:tc>
      </w:tr>
    </w:tbl>
    <w:p>
      <w:r>
        <w:br w:type="page"/>
      </w:r>
    </w:p>
    <w:p>
      <w:pPr>
        <w:pStyle w:val="Heading1"/>
        <w:keepNext/>
      </w:pPr>
      <w:r>
        <w:rPr>
          <w:rFonts w:ascii="Aptos Display" w:hAnsi="Aptos Display"/>
          <w:b/>
          <w:color w:val="17243A"/>
          <w:sz w:val="44"/>
        </w:rPr>
        <w:t>4. Pattern A — Developer Second Brain with IntelliJ + GitHub Copilot</w:t>
      </w:r>
    </w:p>
    <w:p>
      <w:pPr>
        <w:spacing w:after="100"/>
      </w:pPr>
      <w:r>
        <w:rPr>
          <w:rFonts w:ascii="Aptos" w:hAnsi="Aptos"/>
          <w:color w:val="232C3E"/>
        </w:rPr>
        <w:t>For coding, the most portable Second Brain is often a small set of Markdown files that live with the repository, plus reusable developer-wide instructions stored locally. GitHub Copilot supports repository custom instructions in JetBrains IDEs through `.github/copilot-instructions.md`, and JetBrains also supports a local `global-copilot-instructions.md` for instructions that should apply across workspaces. GitHub also documents reusable prompt files and agent instruction patterns such as `AGENTS.md`. [1][2]</w:t>
      </w:r>
    </w:p>
    <w:p>
      <w:pPr>
        <w:pStyle w:val="Heading2"/>
        <w:keepNext/>
      </w:pPr>
      <w:r>
        <w:rPr>
          <w:rFonts w:ascii="Aptos Display" w:hAnsi="Aptos Display"/>
          <w:b/>
          <w:color w:val="17243A"/>
          <w:sz w:val="30"/>
        </w:rPr>
        <w:t>4.1 What to store</w:t>
      </w:r>
    </w:p>
    <w:p>
      <w:pPr>
        <w:pStyle w:val="ListBullet"/>
        <w:spacing w:after="60"/>
      </w:pPr>
      <w:r>
        <w:rPr>
          <w:rFonts w:ascii="Aptos" w:hAnsi="Aptos"/>
          <w:color w:val="232C3E"/>
        </w:rPr>
        <w:t>Project architecture and service boundaries</w:t>
      </w:r>
    </w:p>
    <w:p>
      <w:pPr>
        <w:pStyle w:val="ListBullet"/>
        <w:spacing w:after="60"/>
      </w:pPr>
      <w:r>
        <w:rPr>
          <w:rFonts w:ascii="Aptos" w:hAnsi="Aptos"/>
          <w:color w:val="232C3E"/>
        </w:rPr>
        <w:t>Domain terminology and business rules</w:t>
      </w:r>
    </w:p>
    <w:p>
      <w:pPr>
        <w:pStyle w:val="ListBullet"/>
        <w:spacing w:after="60"/>
      </w:pPr>
      <w:r>
        <w:rPr>
          <w:rFonts w:ascii="Aptos" w:hAnsi="Aptos"/>
          <w:color w:val="232C3E"/>
        </w:rPr>
        <w:t>Approved libraries, patterns, and coding conventions</w:t>
      </w:r>
    </w:p>
    <w:p>
      <w:pPr>
        <w:pStyle w:val="ListBullet"/>
        <w:spacing w:after="60"/>
      </w:pPr>
      <w:r>
        <w:rPr>
          <w:rFonts w:ascii="Aptos" w:hAnsi="Aptos"/>
          <w:color w:val="232C3E"/>
        </w:rPr>
        <w:t>Build, test, security, and validation commands</w:t>
      </w:r>
    </w:p>
    <w:p>
      <w:pPr>
        <w:pStyle w:val="ListBullet"/>
        <w:spacing w:after="60"/>
      </w:pPr>
      <w:r>
        <w:rPr>
          <w:rFonts w:ascii="Aptos" w:hAnsi="Aptos"/>
          <w:color w:val="232C3E"/>
        </w:rPr>
        <w:t>Known incidents and recurring failure modes</w:t>
      </w:r>
    </w:p>
    <w:p>
      <w:pPr>
        <w:pStyle w:val="ListBullet"/>
        <w:spacing w:after="60"/>
      </w:pPr>
      <w:r>
        <w:rPr>
          <w:rFonts w:ascii="Aptos" w:hAnsi="Aptos"/>
          <w:color w:val="232C3E"/>
        </w:rPr>
        <w:t>API/Kafka/database contracts and important dependencies</w:t>
      </w:r>
    </w:p>
    <w:p>
      <w:pPr>
        <w:pStyle w:val="ListBullet"/>
        <w:spacing w:after="60"/>
      </w:pPr>
      <w:r>
        <w:rPr>
          <w:rFonts w:ascii="Aptos" w:hAnsi="Aptos"/>
          <w:color w:val="232C3E"/>
        </w:rPr>
        <w:t>Reusable prompt templates for recurring tasks</w:t>
      </w:r>
    </w:p>
    <w:p>
      <w:pPr>
        <w:pStyle w:val="ListBullet"/>
        <w:spacing w:after="60"/>
      </w:pPr>
      <w:r>
        <w:rPr>
          <w:rFonts w:ascii="Aptos" w:hAnsi="Aptos"/>
          <w:color w:val="232C3E"/>
        </w:rPr>
        <w:t>Decisions and constraints that must not be rediscovered every session</w:t>
      </w:r>
    </w:p>
    <w:p>
      <w:pPr>
        <w:pStyle w:val="Heading2"/>
        <w:keepNext/>
      </w:pPr>
      <w:r>
        <w:rPr>
          <w:rFonts w:ascii="Aptos Display" w:hAnsi="Aptos Display"/>
          <w:b/>
          <w:color w:val="17243A"/>
          <w:sz w:val="30"/>
        </w:rPr>
        <w:t>4.2 Suggested repository structure</w:t>
      </w:r>
    </w:p>
    <w:p>
      <w:pPr>
        <w:ind w:left="360"/>
      </w:pPr>
      <w:r>
        <w:rPr>
          <w:rFonts w:ascii="Consolas" w:hAnsi="Consolas"/>
          <w:color w:val="232C3E"/>
          <w:sz w:val="18"/>
        </w:rPr>
        <w:t>project/</w:t>
        <w:br/>
        <w:t>├─ .github/</w:t>
        <w:br/>
        <w:t>│  ├─ copilot-instructions.md</w:t>
        <w:br/>
        <w:t>│  ├─ prompts/</w:t>
        <w:br/>
        <w:t>│  │  ├─ implement-feature.prompt.md</w:t>
        <w:br/>
        <w:t>│  │  ├─ fix-production-issue.prompt.md</w:t>
        <w:br/>
        <w:t>│  │  └─ review-change.prompt.md</w:t>
        <w:br/>
        <w:t>│  └─ instructions/                 # where supported</w:t>
        <w:br/>
        <w:t>├─ AGENTS.md                        # agent-oriented rules where supported</w:t>
        <w:br/>
        <w:t>├─ docs/</w:t>
        <w:br/>
        <w:t>│  ├─ ARCHITECTURE.md</w:t>
        <w:br/>
        <w:t>│  ├─ DOMAIN.md</w:t>
        <w:br/>
        <w:t>│  ├─ SERVICES.md</w:t>
        <w:br/>
        <w:t>│  ├─ DEPENDENCIES.md</w:t>
        <w:br/>
        <w:t>│  ├─ DECISIONS.md</w:t>
        <w:br/>
        <w:t>│  ├─ INCIDENTS.md</w:t>
        <w:br/>
        <w:t>│  └─ RUNBOOK.md</w:t>
        <w:br/>
        <w:t>└─ src/...</w:t>
      </w:r>
    </w:p>
    <w:p>
      <w:pPr>
        <w:pStyle w:val="Heading2"/>
        <w:keepNext/>
      </w:pPr>
      <w:r>
        <w:rPr>
          <w:rFonts w:ascii="Aptos Display" w:hAnsi="Aptos Display"/>
          <w:b/>
          <w:color w:val="17243A"/>
          <w:sz w:val="30"/>
        </w:rPr>
        <w:t>4.3 What goes in `copilot-instructions.md`</w:t>
      </w:r>
    </w:p>
    <w:p>
      <w:pPr>
        <w:pStyle w:val="ListBullet"/>
        <w:spacing w:after="60"/>
      </w:pPr>
      <w:r>
        <w:rPr>
          <w:rFonts w:ascii="Aptos" w:hAnsi="Aptos"/>
          <w:color w:val="232C3E"/>
        </w:rPr>
        <w:t>How to understand the repository: service purpose, important modules, and where to look first.</w:t>
      </w:r>
    </w:p>
    <w:p>
      <w:pPr>
        <w:pStyle w:val="ListBullet"/>
        <w:spacing w:after="60"/>
      </w:pPr>
      <w:r>
        <w:rPr>
          <w:rFonts w:ascii="Aptos" w:hAnsi="Aptos"/>
          <w:color w:val="232C3E"/>
        </w:rPr>
        <w:t>How to change it safely: architecture constraints, forbidden shortcuts, library standards, security rules.</w:t>
      </w:r>
    </w:p>
    <w:p>
      <w:pPr>
        <w:pStyle w:val="ListBullet"/>
        <w:spacing w:after="60"/>
      </w:pPr>
      <w:r>
        <w:rPr>
          <w:rFonts w:ascii="Aptos" w:hAnsi="Aptos"/>
          <w:color w:val="232C3E"/>
        </w:rPr>
        <w:t>How to validate work: exact build/test commands and definition of done.</w:t>
      </w:r>
    </w:p>
    <w:p>
      <w:pPr>
        <w:pStyle w:val="ListBullet"/>
        <w:spacing w:after="60"/>
      </w:pPr>
      <w:r>
        <w:rPr>
          <w:rFonts w:ascii="Aptos" w:hAnsi="Aptos"/>
          <w:color w:val="232C3E"/>
        </w:rPr>
        <w:t>How to communicate: desired answer format, impacted-file list, assumptions, and explicit unknowns.</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2F63E0"/>
                <w:sz w:val="21"/>
              </w:rPr>
              <w:t xml:space="preserve">Developer prompt pattern:  </w:t>
            </w:r>
            <w:r>
              <w:rPr>
                <w:rFonts w:ascii="Aptos" w:hAnsi="Aptos"/>
                <w:color w:val="232C3E"/>
                <w:sz w:val="21"/>
              </w:rPr>
              <w:t>“Implement &lt;requirement&gt;. Before coding, read the project instructions and the relevant architecture/domain files. Identify impacted components, state constraints, make the smallest bounded change, run the documented validations, and update the Second Brain only with validated new knowledge.”</w:t>
            </w:r>
          </w:p>
        </w:tc>
      </w:tr>
    </w:tbl>
    <w:p>
      <w:pPr>
        <w:spacing w:after="0"/>
      </w:pPr>
    </w:p>
    <w:p>
      <w:pPr>
        <w:pStyle w:val="Heading2"/>
        <w:keepNext/>
      </w:pPr>
      <w:r>
        <w:rPr>
          <w:rFonts w:ascii="Aptos Display" w:hAnsi="Aptos Display"/>
          <w:b/>
          <w:color w:val="17243A"/>
          <w:sz w:val="30"/>
        </w:rPr>
        <w:t>4.4 How this becomes a Second Brain</w:t>
      </w:r>
    </w:p>
    <w:p>
      <w:pPr>
        <w:spacing w:after="80"/>
        <w:ind w:left="259" w:hanging="259"/>
      </w:pPr>
      <w:r>
        <w:rPr>
          <w:rFonts w:ascii="Aptos" w:hAnsi="Aptos"/>
          <w:b/>
          <w:color w:val="2F63E0"/>
        </w:rPr>
        <w:t xml:space="preserve">1.  </w:t>
      </w:r>
      <w:r>
        <w:rPr>
          <w:rFonts w:ascii="Aptos" w:hAnsi="Aptos"/>
          <w:color w:val="232C3E"/>
        </w:rPr>
        <w:t>Put stable project knowledge in Markdown instead of repeatedly typing it into chat.</w:t>
      </w:r>
    </w:p>
    <w:p>
      <w:pPr>
        <w:spacing w:after="80"/>
        <w:ind w:left="259" w:hanging="259"/>
      </w:pPr>
      <w:r>
        <w:rPr>
          <w:rFonts w:ascii="Aptos" w:hAnsi="Aptos"/>
          <w:b/>
          <w:color w:val="2F63E0"/>
        </w:rPr>
        <w:t xml:space="preserve">2.  </w:t>
      </w:r>
      <w:r>
        <w:rPr>
          <w:rFonts w:ascii="Aptos" w:hAnsi="Aptos"/>
          <w:color w:val="232C3E"/>
        </w:rPr>
        <w:t>Keep always-on instructions short. Link or point to deeper knowledge rather than copying everything into one file.</w:t>
      </w:r>
    </w:p>
    <w:p>
      <w:pPr>
        <w:spacing w:after="80"/>
        <w:ind w:left="259" w:hanging="259"/>
      </w:pPr>
      <w:r>
        <w:rPr>
          <w:rFonts w:ascii="Aptos" w:hAnsi="Aptos"/>
          <w:b/>
          <w:color w:val="2F63E0"/>
        </w:rPr>
        <w:t xml:space="preserve">3.  </w:t>
      </w:r>
      <w:r>
        <w:rPr>
          <w:rFonts w:ascii="Aptos" w:hAnsi="Aptos"/>
          <w:color w:val="232C3E"/>
        </w:rPr>
        <w:t>Create task-specific prompt files for recurring work such as implementation, test generation, upgrades, and incident diagnosis.</w:t>
      </w:r>
    </w:p>
    <w:p>
      <w:pPr>
        <w:spacing w:after="80"/>
        <w:ind w:left="259" w:hanging="259"/>
      </w:pPr>
      <w:r>
        <w:rPr>
          <w:rFonts w:ascii="Aptos" w:hAnsi="Aptos"/>
          <w:b/>
          <w:color w:val="2F63E0"/>
        </w:rPr>
        <w:t xml:space="preserve">4.  </w:t>
      </w:r>
      <w:r>
        <w:rPr>
          <w:rFonts w:ascii="Aptos" w:hAnsi="Aptos"/>
          <w:color w:val="232C3E"/>
        </w:rPr>
        <w:t>After a fix or architecture decision is validated, add the durable lesson to `DECISIONS.md`, `INCIDENTS.md`, or the relevant domain file.</w:t>
      </w:r>
    </w:p>
    <w:p>
      <w:pPr>
        <w:spacing w:after="80"/>
        <w:ind w:left="259" w:hanging="259"/>
      </w:pPr>
      <w:r>
        <w:rPr>
          <w:rFonts w:ascii="Aptos" w:hAnsi="Aptos"/>
          <w:b/>
          <w:color w:val="2F63E0"/>
        </w:rPr>
        <w:t xml:space="preserve">5.  </w:t>
      </w:r>
      <w:r>
        <w:rPr>
          <w:rFonts w:ascii="Aptos" w:hAnsi="Aptos"/>
          <w:color w:val="232C3E"/>
        </w:rPr>
        <w:t>Periodically prune stale content. A smaller accurate Second Brain is better than a large contradictory one.</w:t>
      </w:r>
    </w:p>
    <w:p>
      <w:pPr>
        <w:pStyle w:val="Heading1"/>
        <w:keepNext/>
      </w:pPr>
      <w:r>
        <w:rPr>
          <w:rFonts w:ascii="Aptos Display" w:hAnsi="Aptos Display"/>
          <w:b/>
          <w:color w:val="17243A"/>
          <w:sz w:val="44"/>
        </w:rPr>
        <w:t>5. Pattern B — Enterprise Second Brain with ChatGPT + Microsoft 365 sources</w:t>
      </w:r>
    </w:p>
    <w:p>
      <w:pPr>
        <w:spacing w:after="100"/>
      </w:pPr>
      <w:r>
        <w:rPr>
          <w:rFonts w:ascii="Aptos" w:hAnsi="Aptos"/>
          <w:color w:val="232C3E"/>
        </w:rPr>
        <w:t>For enterprise users, the Second Brain can be created from information that already exists in Microsoft 365 rather than copying it into a new database. Current ChatGPT apps can connect to SharePoint/OneDrive, Outlook, and Microsoft Teams, subject to plan, workspace configuration, Microsoft Entra approval, and the user’s existing permissions. SharePoint sync can index selected knowledge in advance, and Enterprise/Edu can also use admin-managed Teams sync. [3][4][5][6]</w:t>
      </w:r>
    </w:p>
    <w:p>
      <w:pPr>
        <w:pStyle w:val="Heading2"/>
        <w:keepNext/>
      </w:pPr>
      <w:r>
        <w:rPr>
          <w:rFonts w:ascii="Aptos Display" w:hAnsi="Aptos Display"/>
          <w:b/>
          <w:color w:val="17243A"/>
          <w:sz w:val="30"/>
        </w:rPr>
        <w:t>5.1 Assign a role to each source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243A"/>
          </w:tcPr>
          <w:p>
            <w:r>
              <w:rPr>
                <w:rFonts w:ascii="Aptos" w:hAnsi="Aptos"/>
                <w:b/>
                <w:color w:val="FFFFFF"/>
                <w:sz w:val="19"/>
              </w:rPr>
              <w:t>Source</w:t>
            </w:r>
          </w:p>
        </w:tc>
        <w:tc>
          <w:tcPr>
            <w:tcW w:type="dxa" w:w="3331"/>
            <w:shd w:fill="17243A"/>
          </w:tcPr>
          <w:p>
            <w:r>
              <w:rPr>
                <w:rFonts w:ascii="Aptos" w:hAnsi="Aptos"/>
                <w:b/>
                <w:color w:val="FFFFFF"/>
                <w:sz w:val="19"/>
              </w:rPr>
              <w:t>Second Brain role</w:t>
            </w:r>
          </w:p>
        </w:tc>
        <w:tc>
          <w:tcPr>
            <w:tcW w:type="dxa" w:w="3331"/>
            <w:shd w:fill="17243A"/>
          </w:tcPr>
          <w:p>
            <w:r>
              <w:rPr>
                <w:rFonts w:ascii="Aptos" w:hAnsi="Aptos"/>
                <w:b/>
                <w:color w:val="FFFFFF"/>
                <w:sz w:val="19"/>
              </w:rPr>
              <w:t>Typical content</w:t>
            </w:r>
          </w:p>
        </w:tc>
      </w:tr>
      <w:tr>
        <w:tc>
          <w:tcPr>
            <w:tcW w:type="dxa" w:w="3331"/>
            <w:tcMar>
              <w:top w:w="100" w:type="dxa"/>
              <w:start w:w="110" w:type="dxa"/>
              <w:bottom w:w="100" w:type="dxa"/>
              <w:end w:w="110" w:type="dxa"/>
            </w:tcMar>
          </w:tcPr>
          <w:p>
            <w:r>
              <w:rPr>
                <w:rFonts w:ascii="Aptos" w:hAnsi="Aptos"/>
                <w:b/>
                <w:color w:val="2F63E0"/>
                <w:sz w:val="18"/>
              </w:rPr>
              <w:t>SharePoint / OneDrive</w:t>
            </w:r>
          </w:p>
        </w:tc>
        <w:tc>
          <w:tcPr>
            <w:tcW w:type="dxa" w:w="3331"/>
            <w:tcMar>
              <w:top w:w="100" w:type="dxa"/>
              <w:start w:w="110" w:type="dxa"/>
              <w:bottom w:w="100" w:type="dxa"/>
              <w:end w:w="110" w:type="dxa"/>
            </w:tcMar>
          </w:tcPr>
          <w:p>
            <w:r>
              <w:rPr>
                <w:rFonts w:ascii="Aptos" w:hAnsi="Aptos"/>
                <w:b w:val="0"/>
                <w:color w:val="232C3E"/>
                <w:sz w:val="18"/>
              </w:rPr>
              <w:t>Durable organizational memory</w:t>
            </w:r>
          </w:p>
        </w:tc>
        <w:tc>
          <w:tcPr>
            <w:tcW w:type="dxa" w:w="3331"/>
            <w:tcMar>
              <w:top w:w="100" w:type="dxa"/>
              <w:start w:w="110" w:type="dxa"/>
              <w:bottom w:w="100" w:type="dxa"/>
              <w:end w:w="110" w:type="dxa"/>
            </w:tcMar>
          </w:tcPr>
          <w:p>
            <w:r>
              <w:rPr>
                <w:rFonts w:ascii="Aptos" w:hAnsi="Aptos"/>
                <w:b w:val="0"/>
                <w:color w:val="232C3E"/>
                <w:sz w:val="18"/>
              </w:rPr>
              <w:t>Policies, architecture decks, procedures, project documents, standards, meeting outputs</w:t>
            </w:r>
          </w:p>
        </w:tc>
      </w:tr>
      <w:tr>
        <w:tc>
          <w:tcPr>
            <w:tcW w:type="dxa" w:w="3331"/>
            <w:tcMar>
              <w:top w:w="100" w:type="dxa"/>
              <w:start w:w="110" w:type="dxa"/>
              <w:bottom w:w="100" w:type="dxa"/>
              <w:end w:w="110" w:type="dxa"/>
            </w:tcMar>
          </w:tcPr>
          <w:p>
            <w:r>
              <w:rPr>
                <w:rFonts w:ascii="Aptos" w:hAnsi="Aptos"/>
                <w:b/>
                <w:color w:val="2F63E0"/>
                <w:sz w:val="18"/>
              </w:rPr>
              <w:t>Outlook</w:t>
            </w:r>
          </w:p>
        </w:tc>
        <w:tc>
          <w:tcPr>
            <w:tcW w:type="dxa" w:w="3331"/>
            <w:tcMar>
              <w:top w:w="100" w:type="dxa"/>
              <w:start w:w="110" w:type="dxa"/>
              <w:bottom w:w="100" w:type="dxa"/>
              <w:end w:w="110" w:type="dxa"/>
            </w:tcMar>
          </w:tcPr>
          <w:p>
            <w:r>
              <w:rPr>
                <w:rFonts w:ascii="Aptos" w:hAnsi="Aptos"/>
                <w:b w:val="0"/>
                <w:color w:val="232C3E"/>
                <w:sz w:val="18"/>
              </w:rPr>
              <w:t>Commitments and decision trail</w:t>
            </w:r>
          </w:p>
        </w:tc>
        <w:tc>
          <w:tcPr>
            <w:tcW w:type="dxa" w:w="3331"/>
            <w:tcMar>
              <w:top w:w="100" w:type="dxa"/>
              <w:start w:w="110" w:type="dxa"/>
              <w:bottom w:w="100" w:type="dxa"/>
              <w:end w:w="110" w:type="dxa"/>
            </w:tcMar>
          </w:tcPr>
          <w:p>
            <w:r>
              <w:rPr>
                <w:rFonts w:ascii="Aptos" w:hAnsi="Aptos"/>
                <w:b w:val="0"/>
                <w:color w:val="232C3E"/>
                <w:sz w:val="18"/>
              </w:rPr>
              <w:t>Approvals, requests, decisions, vendor or stakeholder threads, follow-ups</w:t>
            </w:r>
          </w:p>
        </w:tc>
      </w:tr>
      <w:tr>
        <w:tc>
          <w:tcPr>
            <w:tcW w:type="dxa" w:w="3331"/>
            <w:tcMar>
              <w:top w:w="100" w:type="dxa"/>
              <w:start w:w="110" w:type="dxa"/>
              <w:bottom w:w="100" w:type="dxa"/>
              <w:end w:w="110" w:type="dxa"/>
            </w:tcMar>
          </w:tcPr>
          <w:p>
            <w:r>
              <w:rPr>
                <w:rFonts w:ascii="Aptos" w:hAnsi="Aptos"/>
                <w:b/>
                <w:color w:val="2F63E0"/>
                <w:sz w:val="18"/>
              </w:rPr>
              <w:t>Teams</w:t>
            </w:r>
          </w:p>
        </w:tc>
        <w:tc>
          <w:tcPr>
            <w:tcW w:type="dxa" w:w="3331"/>
            <w:tcMar>
              <w:top w:w="100" w:type="dxa"/>
              <w:start w:w="110" w:type="dxa"/>
              <w:bottom w:w="100" w:type="dxa"/>
              <w:end w:w="110" w:type="dxa"/>
            </w:tcMar>
          </w:tcPr>
          <w:p>
            <w:r>
              <w:rPr>
                <w:rFonts w:ascii="Aptos" w:hAnsi="Aptos"/>
                <w:b w:val="0"/>
                <w:color w:val="232C3E"/>
                <w:sz w:val="18"/>
              </w:rPr>
              <w:t>Working memory</w:t>
            </w:r>
          </w:p>
        </w:tc>
        <w:tc>
          <w:tcPr>
            <w:tcW w:type="dxa" w:w="3331"/>
            <w:tcMar>
              <w:top w:w="100" w:type="dxa"/>
              <w:start w:w="110" w:type="dxa"/>
              <w:bottom w:w="100" w:type="dxa"/>
              <w:end w:w="110" w:type="dxa"/>
            </w:tcMar>
          </w:tcPr>
          <w:p>
            <w:r>
              <w:rPr>
                <w:rFonts w:ascii="Aptos" w:hAnsi="Aptos"/>
                <w:b w:val="0"/>
                <w:color w:val="232C3E"/>
                <w:sz w:val="18"/>
              </w:rPr>
              <w:t>Ongoing discussions, channels, shared links, informal decisions, meeting transcripts where available and authorized</w:t>
            </w:r>
          </w:p>
        </w:tc>
      </w:tr>
      <w:tr>
        <w:tc>
          <w:tcPr>
            <w:tcW w:type="dxa" w:w="3331"/>
            <w:tcMar>
              <w:top w:w="100" w:type="dxa"/>
              <w:start w:w="110" w:type="dxa"/>
              <w:bottom w:w="100" w:type="dxa"/>
              <w:end w:w="110" w:type="dxa"/>
            </w:tcMar>
          </w:tcPr>
          <w:p>
            <w:r>
              <w:rPr>
                <w:rFonts w:ascii="Aptos" w:hAnsi="Aptos"/>
                <w:b/>
                <w:color w:val="2F63E0"/>
                <w:sz w:val="18"/>
              </w:rPr>
              <w:t>Calendar / meetings</w:t>
            </w:r>
          </w:p>
        </w:tc>
        <w:tc>
          <w:tcPr>
            <w:tcW w:type="dxa" w:w="3331"/>
            <w:tcMar>
              <w:top w:w="100" w:type="dxa"/>
              <w:start w:w="110" w:type="dxa"/>
              <w:bottom w:w="100" w:type="dxa"/>
              <w:end w:w="110" w:type="dxa"/>
            </w:tcMar>
          </w:tcPr>
          <w:p>
            <w:r>
              <w:rPr>
                <w:rFonts w:ascii="Aptos" w:hAnsi="Aptos"/>
                <w:b w:val="0"/>
                <w:color w:val="232C3E"/>
                <w:sz w:val="18"/>
              </w:rPr>
              <w:t>Temporal context</w:t>
            </w:r>
          </w:p>
        </w:tc>
        <w:tc>
          <w:tcPr>
            <w:tcW w:type="dxa" w:w="3331"/>
            <w:tcMar>
              <w:top w:w="100" w:type="dxa"/>
              <w:start w:w="110" w:type="dxa"/>
              <w:bottom w:w="100" w:type="dxa"/>
              <w:end w:w="110" w:type="dxa"/>
            </w:tcMar>
          </w:tcPr>
          <w:p>
            <w:r>
              <w:rPr>
                <w:rFonts w:ascii="Aptos" w:hAnsi="Aptos"/>
                <w:b w:val="0"/>
                <w:color w:val="232C3E"/>
                <w:sz w:val="18"/>
              </w:rPr>
              <w:t>What happened when, attendees, planned reviews, recurring governance events</w:t>
            </w:r>
          </w:p>
        </w:tc>
      </w:tr>
      <w:tr>
        <w:tc>
          <w:tcPr>
            <w:tcW w:type="dxa" w:w="3331"/>
            <w:tcMar>
              <w:top w:w="100" w:type="dxa"/>
              <w:start w:w="110" w:type="dxa"/>
              <w:bottom w:w="100" w:type="dxa"/>
              <w:end w:w="110" w:type="dxa"/>
            </w:tcMar>
          </w:tcPr>
          <w:p>
            <w:r>
              <w:rPr>
                <w:rFonts w:ascii="Aptos" w:hAnsi="Aptos"/>
                <w:b/>
                <w:color w:val="2F63E0"/>
                <w:sz w:val="18"/>
              </w:rPr>
              <w:t>ChatGPT project/workspace</w:t>
            </w:r>
          </w:p>
        </w:tc>
        <w:tc>
          <w:tcPr>
            <w:tcW w:type="dxa" w:w="3331"/>
            <w:tcMar>
              <w:top w:w="100" w:type="dxa"/>
              <w:start w:w="110" w:type="dxa"/>
              <w:bottom w:w="100" w:type="dxa"/>
              <w:end w:w="110" w:type="dxa"/>
            </w:tcMar>
          </w:tcPr>
          <w:p>
            <w:r>
              <w:rPr>
                <w:rFonts w:ascii="Aptos" w:hAnsi="Aptos"/>
                <w:b w:val="0"/>
                <w:color w:val="232C3E"/>
                <w:sz w:val="18"/>
              </w:rPr>
              <w:t>Reasoning and synthesis layer</w:t>
            </w:r>
          </w:p>
        </w:tc>
        <w:tc>
          <w:tcPr>
            <w:tcW w:type="dxa" w:w="3331"/>
            <w:tcMar>
              <w:top w:w="100" w:type="dxa"/>
              <w:start w:w="110" w:type="dxa"/>
              <w:bottom w:w="100" w:type="dxa"/>
              <w:end w:w="110" w:type="dxa"/>
            </w:tcMar>
          </w:tcPr>
          <w:p>
            <w:r>
              <w:rPr>
                <w:rFonts w:ascii="Aptos" w:hAnsi="Aptos"/>
                <w:b w:val="0"/>
                <w:color w:val="232C3E"/>
                <w:sz w:val="18"/>
              </w:rPr>
              <w:t>Search across sources, compare evidence, summarize, draft, create action plans</w:t>
            </w:r>
          </w:p>
        </w:tc>
      </w:tr>
    </w:tbl>
    <w:p>
      <w:pPr>
        <w:pStyle w:val="Heading2"/>
        <w:keepNext/>
      </w:pPr>
      <w:r>
        <w:rPr>
          <w:rFonts w:ascii="Aptos Display" w:hAnsi="Aptos Display"/>
          <w:b/>
          <w:color w:val="17243A"/>
          <w:sz w:val="30"/>
        </w:rPr>
        <w:t>5.2 Build an enterprise Second Brain step by step</w:t>
      </w:r>
    </w:p>
    <w:p>
      <w:pPr>
        <w:spacing w:after="80"/>
        <w:ind w:left="259" w:hanging="259"/>
      </w:pPr>
      <w:r>
        <w:rPr>
          <w:rFonts w:ascii="Aptos" w:hAnsi="Aptos"/>
          <w:b/>
          <w:color w:val="2F63E0"/>
        </w:rPr>
        <w:t xml:space="preserve">1.  </w:t>
      </w:r>
      <w:r>
        <w:rPr>
          <w:rFonts w:ascii="Aptos" w:hAnsi="Aptos"/>
          <w:color w:val="232C3E"/>
        </w:rPr>
        <w:t>Choose one bounded knowledge domain first: a project, product, platform, team, or business process.</w:t>
      </w:r>
    </w:p>
    <w:p>
      <w:pPr>
        <w:spacing w:after="80"/>
        <w:ind w:left="259" w:hanging="259"/>
      </w:pPr>
      <w:r>
        <w:rPr>
          <w:rFonts w:ascii="Aptos" w:hAnsi="Aptos"/>
          <w:b/>
          <w:color w:val="2F63E0"/>
        </w:rPr>
        <w:t xml:space="preserve">2.  </w:t>
      </w:r>
      <w:r>
        <w:rPr>
          <w:rFonts w:ascii="Aptos" w:hAnsi="Aptos"/>
          <w:color w:val="232C3E"/>
        </w:rPr>
        <w:t>Identify authoritative sources. Example: final architecture belongs in SharePoint; working discussion belongs in Teams; approvals may live in Outlook.</w:t>
      </w:r>
    </w:p>
    <w:p>
      <w:pPr>
        <w:spacing w:after="80"/>
        <w:ind w:left="259" w:hanging="259"/>
      </w:pPr>
      <w:r>
        <w:rPr>
          <w:rFonts w:ascii="Aptos" w:hAnsi="Aptos"/>
          <w:b/>
          <w:color w:val="2F63E0"/>
        </w:rPr>
        <w:t xml:space="preserve">3.  </w:t>
      </w:r>
      <w:r>
        <w:rPr>
          <w:rFonts w:ascii="Aptos" w:hAnsi="Aptos"/>
          <w:color w:val="232C3E"/>
        </w:rPr>
        <w:t>Ask the workspace administrator which ChatGPT apps/plugins are enabled and whether sync is available for the required sources.</w:t>
      </w:r>
    </w:p>
    <w:p>
      <w:pPr>
        <w:spacing w:after="80"/>
        <w:ind w:left="259" w:hanging="259"/>
      </w:pPr>
      <w:r>
        <w:rPr>
          <w:rFonts w:ascii="Aptos" w:hAnsi="Aptos"/>
          <w:b/>
          <w:color w:val="2F63E0"/>
        </w:rPr>
        <w:t xml:space="preserve">4.  </w:t>
      </w:r>
      <w:r>
        <w:rPr>
          <w:rFonts w:ascii="Aptos" w:hAnsi="Aptos"/>
          <w:color w:val="232C3E"/>
        </w:rPr>
        <w:t>Connect the relevant apps. Keep access aligned with existing Microsoft permissions rather than creating a separate shadow ACL model.</w:t>
      </w:r>
    </w:p>
    <w:p>
      <w:pPr>
        <w:spacing w:after="80"/>
        <w:ind w:left="259" w:hanging="259"/>
      </w:pPr>
      <w:r>
        <w:rPr>
          <w:rFonts w:ascii="Aptos" w:hAnsi="Aptos"/>
          <w:b/>
          <w:color w:val="2F63E0"/>
        </w:rPr>
        <w:t xml:space="preserve">5.  </w:t>
      </w:r>
      <w:r>
        <w:rPr>
          <w:rFonts w:ascii="Aptos" w:hAnsi="Aptos"/>
          <w:color w:val="232C3E"/>
        </w:rPr>
        <w:t>Create a canonical index document in SharePoint such as `Project Knowledge Map` that points to the authoritative documents, teams/channels, ownership, and key terminology.</w:t>
      </w:r>
    </w:p>
    <w:p>
      <w:pPr>
        <w:spacing w:after="80"/>
        <w:ind w:left="259" w:hanging="259"/>
      </w:pPr>
      <w:r>
        <w:rPr>
          <w:rFonts w:ascii="Aptos" w:hAnsi="Aptos"/>
          <w:b/>
          <w:color w:val="2F63E0"/>
        </w:rPr>
        <w:t xml:space="preserve">6.  </w:t>
      </w:r>
      <w:r>
        <w:rPr>
          <w:rFonts w:ascii="Aptos" w:hAnsi="Aptos"/>
          <w:color w:val="232C3E"/>
        </w:rPr>
        <w:t>Use repeatable retrieval prompts that ask for citations/source references, conflicts, and explicit unknowns.</w:t>
      </w:r>
    </w:p>
    <w:p>
      <w:pPr>
        <w:spacing w:after="80"/>
        <w:ind w:left="259" w:hanging="259"/>
      </w:pPr>
      <w:r>
        <w:rPr>
          <w:rFonts w:ascii="Aptos" w:hAnsi="Aptos"/>
          <w:b/>
          <w:color w:val="2F63E0"/>
        </w:rPr>
        <w:t xml:space="preserve">7.  </w:t>
      </w:r>
      <w:r>
        <w:rPr>
          <w:rFonts w:ascii="Aptos" w:hAnsi="Aptos"/>
          <w:color w:val="232C3E"/>
        </w:rPr>
        <w:t>Convert transient discussions into durable artifacts. After a major decision, write a decision record or summary into the durable source instead of relying on a chat thread forever.</w:t>
      </w:r>
    </w:p>
    <w:p>
      <w:pPr>
        <w:pStyle w:val="Heading2"/>
        <w:keepNext/>
      </w:pPr>
      <w:r>
        <w:rPr>
          <w:rFonts w:ascii="Aptos Display" w:hAnsi="Aptos Display"/>
          <w:b/>
          <w:color w:val="17243A"/>
          <w:sz w:val="30"/>
        </w:rPr>
        <w:t>5.3 Enterprise prompt examples</w:t>
      </w:r>
    </w:p>
    <w:p>
      <w:pPr>
        <w:pStyle w:val="ListBullet"/>
        <w:spacing w:after="60"/>
      </w:pPr>
      <w:r>
        <w:rPr>
          <w:rFonts w:ascii="Aptos" w:hAnsi="Aptos"/>
          <w:color w:val="232C3E"/>
        </w:rPr>
        <w:t>“Search SharePoint and Teams for the latest approved design for &lt;project&gt;. Separate approved decisions from proposals and list the source of each claim.”</w:t>
      </w:r>
    </w:p>
    <w:p>
      <w:pPr>
        <w:pStyle w:val="ListBullet"/>
        <w:spacing w:after="60"/>
      </w:pPr>
      <w:r>
        <w:rPr>
          <w:rFonts w:ascii="Aptos" w:hAnsi="Aptos"/>
          <w:color w:val="232C3E"/>
        </w:rPr>
        <w:t>“Review the last two weeks of Teams discussion, relevant Outlook messages, and the current project documents. Produce: decisions, unresolved questions, owners, deadlines, and any contradiction with the official architecture.”</w:t>
      </w:r>
    </w:p>
    <w:p>
      <w:pPr>
        <w:pStyle w:val="ListBullet"/>
        <w:spacing w:after="60"/>
      </w:pPr>
      <w:r>
        <w:rPr>
          <w:rFonts w:ascii="Aptos" w:hAnsi="Aptos"/>
          <w:color w:val="232C3E"/>
        </w:rPr>
        <w:t>“I am joining this project today. Build a 10-minute onboarding brief using only sources I can access: purpose, architecture, key people, current risks, recent decisions, and where each fact came from.”</w:t>
      </w:r>
    </w:p>
    <w:p>
      <w:pPr>
        <w:pStyle w:val="ListBullet"/>
        <w:spacing w:after="60"/>
      </w:pPr>
      <w:r>
        <w:rPr>
          <w:rFonts w:ascii="Aptos" w:hAnsi="Aptos"/>
          <w:color w:val="232C3E"/>
        </w:rPr>
        <w:t>“Before drafting the change proposal, search internal sources for related standards, previous incidents, and existing decisions. Do not assume missing information.”</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C95050"/>
                <w:sz w:val="21"/>
              </w:rPr>
              <w:t xml:space="preserve">Governance principle:  </w:t>
            </w:r>
            <w:r>
              <w:rPr>
                <w:rFonts w:ascii="Aptos" w:hAnsi="Aptos"/>
                <w:color w:val="232C3E"/>
                <w:sz w:val="21"/>
              </w:rPr>
              <w:t>Enterprise Second Brain does not mean unrestricted corporate memory. Retrieval should remain permission-aware. Users should only receive content they are already entitled to access, and admins should control which apps and actions are enabled.</w:t>
            </w:r>
          </w:p>
        </w:tc>
      </w:tr>
    </w:tbl>
    <w:p>
      <w:pPr>
        <w:spacing w:after="0"/>
      </w:pPr>
    </w:p>
    <w:p>
      <w:pPr>
        <w:pStyle w:val="Heading1"/>
        <w:keepNext/>
      </w:pPr>
      <w:r>
        <w:rPr>
          <w:rFonts w:ascii="Aptos Display" w:hAnsi="Aptos Display"/>
          <w:b/>
          <w:color w:val="17243A"/>
          <w:sz w:val="44"/>
        </w:rPr>
        <w:t>6. Pattern C — NotebookLM as a source-grounded Second Brain</w:t>
      </w:r>
    </w:p>
    <w:p>
      <w:pPr>
        <w:spacing w:after="100"/>
      </w:pPr>
      <w:r>
        <w:rPr>
          <w:rFonts w:ascii="Aptos" w:hAnsi="Aptos"/>
          <w:color w:val="232C3E"/>
        </w:rPr>
        <w:t>NotebookLM works well when the user wants a bounded research or learning space around a selected set of sources. A notebook is a collection of sources for a specific project, and NotebookLM answers from those sources with citations. It supports many source types including Google Drive files, Word, Markdown, PDF, CSV, PowerPoint, web URLs, public YouTube URLs, audio, images, and pasted text. Each notebook is independent, so it should be organized by topic or project rather than treated as one unlimited global memory. [7][8][9]</w:t>
      </w:r>
    </w:p>
    <w:p>
      <w:pPr>
        <w:pStyle w:val="Heading2"/>
        <w:keepNext/>
      </w:pPr>
      <w:r>
        <w:rPr>
          <w:rFonts w:ascii="Aptos Display" w:hAnsi="Aptos Display"/>
          <w:b/>
          <w:color w:val="17243A"/>
          <w:sz w:val="30"/>
        </w:rPr>
        <w:t>6.1 Best use cases</w:t>
      </w:r>
    </w:p>
    <w:p>
      <w:pPr>
        <w:pStyle w:val="ListBullet"/>
        <w:spacing w:after="60"/>
      </w:pPr>
      <w:r>
        <w:rPr>
          <w:rFonts w:ascii="Aptos" w:hAnsi="Aptos"/>
          <w:color w:val="232C3E"/>
        </w:rPr>
        <w:t>Learning a new technical domain</w:t>
      </w:r>
    </w:p>
    <w:p>
      <w:pPr>
        <w:pStyle w:val="ListBullet"/>
        <w:spacing w:after="60"/>
      </w:pPr>
      <w:r>
        <w:rPr>
          <w:rFonts w:ascii="Aptos" w:hAnsi="Aptos"/>
          <w:color w:val="232C3E"/>
        </w:rPr>
        <w:t>Studying standards, architecture documents, policies, or research papers</w:t>
      </w:r>
    </w:p>
    <w:p>
      <w:pPr>
        <w:pStyle w:val="ListBullet"/>
        <w:spacing w:after="60"/>
      </w:pPr>
      <w:r>
        <w:rPr>
          <w:rFonts w:ascii="Aptos" w:hAnsi="Aptos"/>
          <w:color w:val="232C3E"/>
        </w:rPr>
        <w:t>Creating an onboarding notebook for a project</w:t>
      </w:r>
    </w:p>
    <w:p>
      <w:pPr>
        <w:pStyle w:val="ListBullet"/>
        <w:spacing w:after="60"/>
      </w:pPr>
      <w:r>
        <w:rPr>
          <w:rFonts w:ascii="Aptos" w:hAnsi="Aptos"/>
          <w:color w:val="232C3E"/>
        </w:rPr>
        <w:t>Analyzing a fixed set of meeting notes and documents</w:t>
      </w:r>
    </w:p>
    <w:p>
      <w:pPr>
        <w:pStyle w:val="ListBullet"/>
        <w:spacing w:after="60"/>
      </w:pPr>
      <w:r>
        <w:rPr>
          <w:rFonts w:ascii="Aptos" w:hAnsi="Aptos"/>
          <w:color w:val="232C3E"/>
        </w:rPr>
        <w:t>Creating study guides, FAQs, quizzes, audio/video overviews, mind maps, or slide decks from curated sources</w:t>
      </w:r>
    </w:p>
    <w:p>
      <w:pPr>
        <w:pStyle w:val="Heading2"/>
        <w:keepNext/>
      </w:pPr>
      <w:r>
        <w:rPr>
          <w:rFonts w:ascii="Aptos Display" w:hAnsi="Aptos Display"/>
          <w:b/>
          <w:color w:val="17243A"/>
          <w:sz w:val="30"/>
        </w:rPr>
        <w:t>6.2 How to use NotebookLM as a Second Brain</w:t>
      </w:r>
    </w:p>
    <w:p>
      <w:pPr>
        <w:spacing w:after="80"/>
        <w:ind w:left="259" w:hanging="259"/>
      </w:pPr>
      <w:r>
        <w:rPr>
          <w:rFonts w:ascii="Aptos" w:hAnsi="Aptos"/>
          <w:b/>
          <w:color w:val="2F63E0"/>
        </w:rPr>
        <w:t xml:space="preserve">1.  </w:t>
      </w:r>
      <w:r>
        <w:rPr>
          <w:rFonts w:ascii="Aptos" w:hAnsi="Aptos"/>
          <w:color w:val="232C3E"/>
        </w:rPr>
        <w:t>Create a notebook per coherent domain, for example `Snowflake Migration`, `Spring Boot Upgrade`, or `Product Strategy`.</w:t>
      </w:r>
    </w:p>
    <w:p>
      <w:pPr>
        <w:spacing w:after="80"/>
        <w:ind w:left="259" w:hanging="259"/>
      </w:pPr>
      <w:r>
        <w:rPr>
          <w:rFonts w:ascii="Aptos" w:hAnsi="Aptos"/>
          <w:b/>
          <w:color w:val="2F63E0"/>
        </w:rPr>
        <w:t xml:space="preserve">2.  </w:t>
      </w:r>
      <w:r>
        <w:rPr>
          <w:rFonts w:ascii="Aptos" w:hAnsi="Aptos"/>
          <w:color w:val="232C3E"/>
        </w:rPr>
        <w:t>Add authoritative sources first. Prefer fewer trusted sources over a large noisy collection.</w:t>
      </w:r>
    </w:p>
    <w:p>
      <w:pPr>
        <w:spacing w:after="80"/>
        <w:ind w:left="259" w:hanging="259"/>
      </w:pPr>
      <w:r>
        <w:rPr>
          <w:rFonts w:ascii="Aptos" w:hAnsi="Aptos"/>
          <w:b/>
          <w:color w:val="2F63E0"/>
        </w:rPr>
        <w:t xml:space="preserve">3.  </w:t>
      </w:r>
      <w:r>
        <w:rPr>
          <w:rFonts w:ascii="Aptos" w:hAnsi="Aptos"/>
          <w:color w:val="232C3E"/>
        </w:rPr>
        <w:t>Use source selection to narrow the evidence set for a question.</w:t>
      </w:r>
    </w:p>
    <w:p>
      <w:pPr>
        <w:spacing w:after="80"/>
        <w:ind w:left="259" w:hanging="259"/>
      </w:pPr>
      <w:r>
        <w:rPr>
          <w:rFonts w:ascii="Aptos" w:hAnsi="Aptos"/>
          <w:b/>
          <w:color w:val="2F63E0"/>
        </w:rPr>
        <w:t xml:space="preserve">4.  </w:t>
      </w:r>
      <w:r>
        <w:rPr>
          <w:rFonts w:ascii="Aptos" w:hAnsi="Aptos"/>
          <w:color w:val="232C3E"/>
        </w:rPr>
        <w:t>Ask NotebookLM to identify contradictions, unanswered questions, and the exact sources supporting each conclusion.</w:t>
      </w:r>
    </w:p>
    <w:p>
      <w:pPr>
        <w:spacing w:after="80"/>
        <w:ind w:left="259" w:hanging="259"/>
      </w:pPr>
      <w:r>
        <w:rPr>
          <w:rFonts w:ascii="Aptos" w:hAnsi="Aptos"/>
          <w:b/>
          <w:color w:val="2F63E0"/>
        </w:rPr>
        <w:t xml:space="preserve">5.  </w:t>
      </w:r>
      <w:r>
        <w:rPr>
          <w:rFonts w:ascii="Aptos" w:hAnsi="Aptos"/>
          <w:color w:val="232C3E"/>
        </w:rPr>
        <w:t>Create notes for stable synthesis: glossary, decisions, open questions, learning plan, and reusable summaries.</w:t>
      </w:r>
    </w:p>
    <w:p>
      <w:pPr>
        <w:spacing w:after="80"/>
        <w:ind w:left="259" w:hanging="259"/>
      </w:pPr>
      <w:r>
        <w:rPr>
          <w:rFonts w:ascii="Aptos" w:hAnsi="Aptos"/>
          <w:b/>
          <w:color w:val="2F63E0"/>
        </w:rPr>
        <w:t xml:space="preserve">6.  </w:t>
      </w:r>
      <w:r>
        <w:rPr>
          <w:rFonts w:ascii="Aptos" w:hAnsi="Aptos"/>
          <w:color w:val="232C3E"/>
        </w:rPr>
        <w:t>When a source changes, refresh or resync it where supported. Do not assume an uploaded snapshot is always current.</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E58D3B"/>
                <w:sz w:val="21"/>
              </w:rPr>
              <w:t xml:space="preserve">Good boundary:  </w:t>
            </w:r>
            <w:r>
              <w:rPr>
                <w:rFonts w:ascii="Aptos" w:hAnsi="Aptos"/>
                <w:color w:val="232C3E"/>
                <w:sz w:val="21"/>
              </w:rPr>
              <w:t>NotebookLM is excellent for “understand this curated corpus.” It is not the same thing as an enterprise-wide live knowledge layer across every notebook or system.</w:t>
            </w:r>
          </w:p>
        </w:tc>
      </w:tr>
    </w:tbl>
    <w:p>
      <w:pPr>
        <w:spacing w:after="0"/>
      </w:pPr>
    </w:p>
    <w:p>
      <w:pPr>
        <w:pStyle w:val="Heading1"/>
        <w:keepNext/>
      </w:pPr>
      <w:r>
        <w:rPr>
          <w:rFonts w:ascii="Aptos Display" w:hAnsi="Aptos Display"/>
          <w:b/>
          <w:color w:val="17243A"/>
          <w:sz w:val="44"/>
        </w:rPr>
        <w:t>7. Pattern D — Obsidian as a personal or team-owned Second Brain</w:t>
      </w:r>
    </w:p>
    <w:p>
      <w:pPr>
        <w:spacing w:after="100"/>
      </w:pPr>
      <w:r>
        <w:rPr>
          <w:rFonts w:ascii="Aptos" w:hAnsi="Aptos"/>
          <w:color w:val="232C3E"/>
        </w:rPr>
        <w:t>Obsidian stores notes as Markdown-formatted plain-text files in a local folder called a vault. Because the notes are ordinary files, the user retains a durable, tool-independent knowledge base that can also be edited by other tools. Obsidian supports internal links, folders, tags, and a large ecosystem around note organization. [10][11]</w:t>
      </w:r>
    </w:p>
    <w:p>
      <w:pPr>
        <w:pStyle w:val="Heading2"/>
        <w:keepNext/>
      </w:pPr>
      <w:r>
        <w:rPr>
          <w:rFonts w:ascii="Aptos Display" w:hAnsi="Aptos Display"/>
          <w:b/>
          <w:color w:val="17243A"/>
          <w:sz w:val="30"/>
        </w:rPr>
        <w:t>7.1 Suggested vault structure</w:t>
      </w:r>
    </w:p>
    <w:p>
      <w:pPr>
        <w:ind w:left="360"/>
      </w:pPr>
      <w:r>
        <w:rPr>
          <w:rFonts w:ascii="Consolas" w:hAnsi="Consolas"/>
          <w:color w:val="232C3E"/>
          <w:sz w:val="18"/>
        </w:rPr>
        <w:t>SecondBrain/</w:t>
        <w:br/>
        <w:t>├─ 00-Inbox/</w:t>
        <w:br/>
        <w:t>├─ 10-Projects/</w:t>
        <w:br/>
        <w:t>├─ 20-Areas/</w:t>
        <w:br/>
        <w:t>├─ 30-Knowledge/</w:t>
        <w:br/>
        <w:t>│  ├─ Architecture/</w:t>
        <w:br/>
        <w:t>│  ├─ Domain/</w:t>
        <w:br/>
        <w:t>│  ├─ Patterns/</w:t>
        <w:br/>
        <w:t>│  └─ Concepts/</w:t>
        <w:br/>
        <w:t>├─ 40-Decisions/</w:t>
        <w:br/>
        <w:t>├─ 50-Incidents-Lessons/</w:t>
        <w:br/>
        <w:t>├─ 60-Prompts/</w:t>
        <w:br/>
        <w:t>├─ 70-People-Teams/</w:t>
        <w:br/>
        <w:t>└─ 90-Archive/</w:t>
      </w:r>
    </w:p>
    <w:p>
      <w:pPr>
        <w:pStyle w:val="Heading2"/>
        <w:keepNext/>
      </w:pPr>
      <w:r>
        <w:rPr>
          <w:rFonts w:ascii="Aptos Display" w:hAnsi="Aptos Display"/>
          <w:b/>
          <w:color w:val="17243A"/>
          <w:sz w:val="30"/>
        </w:rPr>
        <w:t>7.2 How to make Obsidian AI-ready</w:t>
      </w:r>
    </w:p>
    <w:p>
      <w:pPr>
        <w:pStyle w:val="ListBullet"/>
        <w:spacing w:after="60"/>
      </w:pPr>
      <w:r>
        <w:rPr>
          <w:rFonts w:ascii="Aptos" w:hAnsi="Aptos"/>
          <w:color w:val="232C3E"/>
        </w:rPr>
        <w:t>Use one concept per note when practical, with descriptive titles.</w:t>
      </w:r>
    </w:p>
    <w:p>
      <w:pPr>
        <w:pStyle w:val="ListBullet"/>
        <w:spacing w:after="60"/>
      </w:pPr>
      <w:r>
        <w:rPr>
          <w:rFonts w:ascii="Aptos" w:hAnsi="Aptos"/>
          <w:color w:val="232C3E"/>
        </w:rPr>
        <w:t>Link related notes explicitly: service → API → database → incident → decision.</w:t>
      </w:r>
    </w:p>
    <w:p>
      <w:pPr>
        <w:pStyle w:val="ListBullet"/>
        <w:spacing w:after="60"/>
      </w:pPr>
      <w:r>
        <w:rPr>
          <w:rFonts w:ascii="Aptos" w:hAnsi="Aptos"/>
          <w:color w:val="232C3E"/>
        </w:rPr>
        <w:t>Add lightweight metadata such as owner, status, domain, system, date, and source.</w:t>
      </w:r>
    </w:p>
    <w:p>
      <w:pPr>
        <w:pStyle w:val="ListBullet"/>
        <w:spacing w:after="60"/>
      </w:pPr>
      <w:r>
        <w:rPr>
          <w:rFonts w:ascii="Aptos" w:hAnsi="Aptos"/>
          <w:color w:val="232C3E"/>
        </w:rPr>
        <w:t>Keep a `README` or map-of-content note for each major domain.</w:t>
      </w:r>
    </w:p>
    <w:p>
      <w:pPr>
        <w:pStyle w:val="ListBullet"/>
        <w:spacing w:after="60"/>
      </w:pPr>
      <w:r>
        <w:rPr>
          <w:rFonts w:ascii="Aptos" w:hAnsi="Aptos"/>
          <w:color w:val="232C3E"/>
        </w:rPr>
        <w:t>Store reusable prompt templates alongside the knowledge they use.</w:t>
      </w:r>
    </w:p>
    <w:p>
      <w:pPr>
        <w:pStyle w:val="ListBullet"/>
        <w:spacing w:after="60"/>
      </w:pPr>
      <w:r>
        <w:rPr>
          <w:rFonts w:ascii="Aptos" w:hAnsi="Aptos"/>
          <w:color w:val="232C3E"/>
        </w:rPr>
        <w:t>Separate raw capture from validated knowledge so AI is not prompted with unverified notes by default.</w:t>
      </w:r>
    </w:p>
    <w:p>
      <w:pPr>
        <w:pStyle w:val="Heading2"/>
        <w:keepNext/>
      </w:pPr>
      <w:r>
        <w:rPr>
          <w:rFonts w:ascii="Aptos Display" w:hAnsi="Aptos Display"/>
          <w:b/>
          <w:color w:val="17243A"/>
          <w:sz w:val="30"/>
        </w:rPr>
        <w:t>7.3 Connecting Obsidian and ChatGPT</w:t>
      </w:r>
    </w:p>
    <w:p>
      <w:pPr>
        <w:spacing w:after="100"/>
      </w:pPr>
      <w:r>
        <w:rPr>
          <w:rFonts w:ascii="Aptos" w:hAnsi="Aptos"/>
          <w:color w:val="232C3E"/>
        </w:rPr>
        <w:t>There is an important distinction between “using together” and “native integration.” ChatGPT does not automatically have access to a local Obsidian vault simply because Obsidian is installed. Common patterns are:</w:t>
      </w:r>
    </w:p>
    <w:p>
      <w:pPr>
        <w:pStyle w:val="ListBullet"/>
        <w:spacing w:after="60"/>
      </w:pPr>
      <w:r>
        <w:rPr>
          <w:rFonts w:ascii="Aptos" w:hAnsi="Aptos"/>
          <w:color w:val="232C3E"/>
        </w:rPr>
        <w:t>Shared-file pattern — place selected Markdown in a source that ChatGPT can access, such as an approved synced SharePoint/OneDrive location.</w:t>
      </w:r>
    </w:p>
    <w:p>
      <w:pPr>
        <w:pStyle w:val="ListBullet"/>
        <w:spacing w:after="60"/>
      </w:pPr>
      <w:r>
        <w:rPr>
          <w:rFonts w:ascii="Aptos" w:hAnsi="Aptos"/>
          <w:color w:val="232C3E"/>
        </w:rPr>
        <w:t>Manual context pattern — attach or paste selected notes when needed.</w:t>
      </w:r>
    </w:p>
    <w:p>
      <w:pPr>
        <w:pStyle w:val="ListBullet"/>
        <w:spacing w:after="60"/>
      </w:pPr>
      <w:r>
        <w:rPr>
          <w:rFonts w:ascii="Aptos" w:hAnsi="Aptos"/>
          <w:color w:val="232C3E"/>
        </w:rPr>
        <w:t>Custom connector pattern — in environments that permit custom apps/connectors, expose an approved knowledge API or MCP-style service that reads selected vault content. This should be governed carefully because local notes may contain sensitive information.</w:t>
      </w:r>
    </w:p>
    <w:p>
      <w:pPr>
        <w:pStyle w:val="ListBullet"/>
        <w:spacing w:after="60"/>
      </w:pPr>
      <w:r>
        <w:rPr>
          <w:rFonts w:ascii="Aptos" w:hAnsi="Aptos"/>
          <w:color w:val="232C3E"/>
        </w:rPr>
        <w:t>Repository pattern — for developer knowledge, keep Markdown in Git so both IDE agents and ChatGPT/Codex workflows can use the same source files where integrations permit.</w:t>
      </w:r>
    </w:p>
    <w:p>
      <w:pPr>
        <w:pStyle w:val="Heading1"/>
        <w:keepNext/>
      </w:pPr>
      <w:r>
        <w:rPr>
          <w:rFonts w:ascii="Aptos Display" w:hAnsi="Aptos Display"/>
          <w:b/>
          <w:color w:val="17243A"/>
          <w:sz w:val="44"/>
        </w:rPr>
        <w:t>8. Pattern E — ChatGPT + NotebookLM + Obsidian: complementary, not duplicated</w:t>
      </w:r>
    </w:p>
    <w:p>
      <w:pPr>
        <w:spacing w:after="100"/>
      </w:pPr>
      <w:r>
        <w:rPr>
          <w:rFonts w:ascii="Aptos" w:hAnsi="Aptos"/>
          <w:color w:val="232C3E"/>
        </w:rPr>
        <w:t>A useful hybrid design is to give each tool a role instead of copying all content into all tools: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243A"/>
          </w:tcPr>
          <w:p>
            <w:r>
              <w:rPr>
                <w:rFonts w:ascii="Aptos" w:hAnsi="Aptos"/>
                <w:b/>
                <w:color w:val="FFFFFF"/>
                <w:sz w:val="19"/>
              </w:rPr>
              <w:t>Tool / layer</w:t>
            </w:r>
          </w:p>
        </w:tc>
        <w:tc>
          <w:tcPr>
            <w:tcW w:type="dxa" w:w="3331"/>
            <w:shd w:fill="17243A"/>
          </w:tcPr>
          <w:p>
            <w:r>
              <w:rPr>
                <w:rFonts w:ascii="Aptos" w:hAnsi="Aptos"/>
                <w:b/>
                <w:color w:val="FFFFFF"/>
                <w:sz w:val="19"/>
              </w:rPr>
              <w:t>Best role</w:t>
            </w:r>
          </w:p>
        </w:tc>
        <w:tc>
          <w:tcPr>
            <w:tcW w:type="dxa" w:w="3331"/>
            <w:shd w:fill="17243A"/>
          </w:tcPr>
          <w:p>
            <w:r>
              <w:rPr>
                <w:rFonts w:ascii="Aptos" w:hAnsi="Aptos"/>
                <w:b/>
                <w:color w:val="FFFFFF"/>
                <w:sz w:val="19"/>
              </w:rPr>
              <w:t>What it should own</w:t>
            </w:r>
          </w:p>
        </w:tc>
      </w:tr>
      <w:tr>
        <w:tc>
          <w:tcPr>
            <w:tcW w:type="dxa" w:w="3331"/>
            <w:tcMar>
              <w:top w:w="100" w:type="dxa"/>
              <w:start w:w="110" w:type="dxa"/>
              <w:bottom w:w="100" w:type="dxa"/>
              <w:end w:w="110" w:type="dxa"/>
            </w:tcMar>
          </w:tcPr>
          <w:p>
            <w:r>
              <w:rPr>
                <w:rFonts w:ascii="Aptos" w:hAnsi="Aptos"/>
                <w:b/>
                <w:color w:val="2F63E0"/>
                <w:sz w:val="18"/>
              </w:rPr>
              <w:t>Obsidian</w:t>
            </w:r>
          </w:p>
        </w:tc>
        <w:tc>
          <w:tcPr>
            <w:tcW w:type="dxa" w:w="3331"/>
            <w:tcMar>
              <w:top w:w="100" w:type="dxa"/>
              <w:start w:w="110" w:type="dxa"/>
              <w:bottom w:w="100" w:type="dxa"/>
              <w:end w:w="110" w:type="dxa"/>
            </w:tcMar>
          </w:tcPr>
          <w:p>
            <w:r>
              <w:rPr>
                <w:rFonts w:ascii="Aptos" w:hAnsi="Aptos"/>
                <w:b w:val="0"/>
                <w:color w:val="232C3E"/>
                <w:sz w:val="18"/>
              </w:rPr>
              <w:t>Personal durable knowledge</w:t>
            </w:r>
          </w:p>
        </w:tc>
        <w:tc>
          <w:tcPr>
            <w:tcW w:type="dxa" w:w="3331"/>
            <w:tcMar>
              <w:top w:w="100" w:type="dxa"/>
              <w:start w:w="110" w:type="dxa"/>
              <w:bottom w:w="100" w:type="dxa"/>
              <w:end w:w="110" w:type="dxa"/>
            </w:tcMar>
          </w:tcPr>
          <w:p>
            <w:r>
              <w:rPr>
                <w:rFonts w:ascii="Aptos" w:hAnsi="Aptos"/>
                <w:b w:val="0"/>
                <w:color w:val="232C3E"/>
                <w:sz w:val="18"/>
              </w:rPr>
              <w:t>Capture, connect, refine, retain ownership</w:t>
            </w:r>
          </w:p>
        </w:tc>
      </w:tr>
      <w:tr>
        <w:tc>
          <w:tcPr>
            <w:tcW w:type="dxa" w:w="3331"/>
            <w:tcMar>
              <w:top w:w="100" w:type="dxa"/>
              <w:start w:w="110" w:type="dxa"/>
              <w:bottom w:w="100" w:type="dxa"/>
              <w:end w:w="110" w:type="dxa"/>
            </w:tcMar>
          </w:tcPr>
          <w:p>
            <w:r>
              <w:rPr>
                <w:rFonts w:ascii="Aptos" w:hAnsi="Aptos"/>
                <w:b/>
                <w:color w:val="2F63E0"/>
                <w:sz w:val="18"/>
              </w:rPr>
              <w:t>NotebookLM</w:t>
            </w:r>
          </w:p>
        </w:tc>
        <w:tc>
          <w:tcPr>
            <w:tcW w:type="dxa" w:w="3331"/>
            <w:tcMar>
              <w:top w:w="100" w:type="dxa"/>
              <w:start w:w="110" w:type="dxa"/>
              <w:bottom w:w="100" w:type="dxa"/>
              <w:end w:w="110" w:type="dxa"/>
            </w:tcMar>
          </w:tcPr>
          <w:p>
            <w:r>
              <w:rPr>
                <w:rFonts w:ascii="Aptos" w:hAnsi="Aptos"/>
                <w:b w:val="0"/>
                <w:color w:val="232C3E"/>
                <w:sz w:val="18"/>
              </w:rPr>
              <w:t>Bounded corpus analysis</w:t>
            </w:r>
          </w:p>
        </w:tc>
        <w:tc>
          <w:tcPr>
            <w:tcW w:type="dxa" w:w="3331"/>
            <w:tcMar>
              <w:top w:w="100" w:type="dxa"/>
              <w:start w:w="110" w:type="dxa"/>
              <w:bottom w:w="100" w:type="dxa"/>
              <w:end w:w="110" w:type="dxa"/>
            </w:tcMar>
          </w:tcPr>
          <w:p>
            <w:r>
              <w:rPr>
                <w:rFonts w:ascii="Aptos" w:hAnsi="Aptos"/>
                <w:b w:val="0"/>
                <w:color w:val="232C3E"/>
                <w:sz w:val="18"/>
              </w:rPr>
              <w:t>Study a curated set of sources with source-grounded answers</w:t>
            </w:r>
          </w:p>
        </w:tc>
      </w:tr>
      <w:tr>
        <w:tc>
          <w:tcPr>
            <w:tcW w:type="dxa" w:w="3331"/>
            <w:tcMar>
              <w:top w:w="100" w:type="dxa"/>
              <w:start w:w="110" w:type="dxa"/>
              <w:bottom w:w="100" w:type="dxa"/>
              <w:end w:w="110" w:type="dxa"/>
            </w:tcMar>
          </w:tcPr>
          <w:p>
            <w:r>
              <w:rPr>
                <w:rFonts w:ascii="Aptos" w:hAnsi="Aptos"/>
                <w:b/>
                <w:color w:val="2F63E0"/>
                <w:sz w:val="18"/>
              </w:rPr>
              <w:t>ChatGPT</w:t>
            </w:r>
          </w:p>
        </w:tc>
        <w:tc>
          <w:tcPr>
            <w:tcW w:type="dxa" w:w="3331"/>
            <w:tcMar>
              <w:top w:w="100" w:type="dxa"/>
              <w:start w:w="110" w:type="dxa"/>
              <w:bottom w:w="100" w:type="dxa"/>
              <w:end w:w="110" w:type="dxa"/>
            </w:tcMar>
          </w:tcPr>
          <w:p>
            <w:r>
              <w:rPr>
                <w:rFonts w:ascii="Aptos" w:hAnsi="Aptos"/>
                <w:b w:val="0"/>
                <w:color w:val="232C3E"/>
                <w:sz w:val="18"/>
              </w:rPr>
              <w:t>Cross-source reasoning and action</w:t>
            </w:r>
          </w:p>
        </w:tc>
        <w:tc>
          <w:tcPr>
            <w:tcW w:type="dxa" w:w="3331"/>
            <w:tcMar>
              <w:top w:w="100" w:type="dxa"/>
              <w:start w:w="110" w:type="dxa"/>
              <w:bottom w:w="100" w:type="dxa"/>
              <w:end w:w="110" w:type="dxa"/>
            </w:tcMar>
          </w:tcPr>
          <w:p>
            <w:r>
              <w:rPr>
                <w:rFonts w:ascii="Aptos" w:hAnsi="Aptos"/>
                <w:b w:val="0"/>
                <w:color w:val="232C3E"/>
                <w:sz w:val="18"/>
              </w:rPr>
              <w:t>Search connected enterprise systems, synthesize, draft, plan, and use tools/actions where enabled</w:t>
            </w:r>
          </w:p>
        </w:tc>
      </w:tr>
      <w:tr>
        <w:tc>
          <w:tcPr>
            <w:tcW w:type="dxa" w:w="3331"/>
            <w:tcMar>
              <w:top w:w="100" w:type="dxa"/>
              <w:start w:w="110" w:type="dxa"/>
              <w:bottom w:w="100" w:type="dxa"/>
              <w:end w:w="110" w:type="dxa"/>
            </w:tcMar>
          </w:tcPr>
          <w:p>
            <w:r>
              <w:rPr>
                <w:rFonts w:ascii="Aptos" w:hAnsi="Aptos"/>
                <w:b/>
                <w:color w:val="2F63E0"/>
                <w:sz w:val="18"/>
              </w:rPr>
              <w:t>Git / Markdown</w:t>
            </w:r>
          </w:p>
        </w:tc>
        <w:tc>
          <w:tcPr>
            <w:tcW w:type="dxa" w:w="3331"/>
            <w:tcMar>
              <w:top w:w="100" w:type="dxa"/>
              <w:start w:w="110" w:type="dxa"/>
              <w:bottom w:w="100" w:type="dxa"/>
              <w:end w:w="110" w:type="dxa"/>
            </w:tcMar>
          </w:tcPr>
          <w:p>
            <w:r>
              <w:rPr>
                <w:rFonts w:ascii="Aptos" w:hAnsi="Aptos"/>
                <w:b w:val="0"/>
                <w:color w:val="232C3E"/>
                <w:sz w:val="18"/>
              </w:rPr>
              <w:t>Engineering source of truth</w:t>
            </w:r>
          </w:p>
        </w:tc>
        <w:tc>
          <w:tcPr>
            <w:tcW w:type="dxa" w:w="3331"/>
            <w:tcMar>
              <w:top w:w="100" w:type="dxa"/>
              <w:start w:w="110" w:type="dxa"/>
              <w:bottom w:w="100" w:type="dxa"/>
              <w:end w:w="110" w:type="dxa"/>
            </w:tcMar>
          </w:tcPr>
          <w:p>
            <w:r>
              <w:rPr>
                <w:rFonts w:ascii="Aptos" w:hAnsi="Aptos"/>
                <w:b w:val="0"/>
                <w:color w:val="232C3E"/>
                <w:sz w:val="18"/>
              </w:rPr>
              <w:t>Versioned architecture, agent instructions, code-adjacent knowledge</w:t>
            </w:r>
          </w:p>
        </w:tc>
      </w:tr>
      <w:tr>
        <w:tc>
          <w:tcPr>
            <w:tcW w:type="dxa" w:w="3331"/>
            <w:tcMar>
              <w:top w:w="100" w:type="dxa"/>
              <w:start w:w="110" w:type="dxa"/>
              <w:bottom w:w="100" w:type="dxa"/>
              <w:end w:w="110" w:type="dxa"/>
            </w:tcMar>
          </w:tcPr>
          <w:p>
            <w:r>
              <w:rPr>
                <w:rFonts w:ascii="Aptos" w:hAnsi="Aptos"/>
                <w:b/>
                <w:color w:val="2F63E0"/>
                <w:sz w:val="18"/>
              </w:rPr>
              <w:t>Knowledge graph (optional)</w:t>
            </w:r>
          </w:p>
        </w:tc>
        <w:tc>
          <w:tcPr>
            <w:tcW w:type="dxa" w:w="3331"/>
            <w:tcMar>
              <w:top w:w="100" w:type="dxa"/>
              <w:start w:w="110" w:type="dxa"/>
              <w:bottom w:w="100" w:type="dxa"/>
              <w:end w:w="110" w:type="dxa"/>
            </w:tcMar>
          </w:tcPr>
          <w:p>
            <w:r>
              <w:rPr>
                <w:rFonts w:ascii="Aptos" w:hAnsi="Aptos"/>
                <w:b w:val="0"/>
                <w:color w:val="232C3E"/>
                <w:sz w:val="18"/>
              </w:rPr>
              <w:t>Relationship layer</w:t>
            </w:r>
          </w:p>
        </w:tc>
        <w:tc>
          <w:tcPr>
            <w:tcW w:type="dxa" w:w="3331"/>
            <w:tcMar>
              <w:top w:w="100" w:type="dxa"/>
              <w:start w:w="110" w:type="dxa"/>
              <w:bottom w:w="100" w:type="dxa"/>
              <w:end w:w="110" w:type="dxa"/>
            </w:tcMar>
          </w:tcPr>
          <w:p>
            <w:r>
              <w:rPr>
                <w:rFonts w:ascii="Aptos" w:hAnsi="Aptos"/>
                <w:b w:val="0"/>
                <w:color w:val="232C3E"/>
                <w:sz w:val="18"/>
              </w:rPr>
              <w:t>Represent dependencies and traverse “what is related to this change?”</w:t>
            </w:r>
          </w:p>
        </w:tc>
      </w:tr>
    </w:tbl>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2F9E73"/>
                <w:sz w:val="21"/>
              </w:rPr>
              <w:t xml:space="preserve">Avoid duplication:  </w:t>
            </w:r>
            <w:r>
              <w:rPr>
                <w:rFonts w:ascii="Aptos" w:hAnsi="Aptos"/>
                <w:color w:val="232C3E"/>
                <w:sz w:val="21"/>
              </w:rPr>
              <w:t>Choose an authoritative home for each class of knowledge. Other tools should retrieve, sync, link, or temporarily consume it rather than creating uncontrolled copies.</w:t>
            </w:r>
          </w:p>
        </w:tc>
      </w:tr>
    </w:tbl>
    <w:p>
      <w:pPr>
        <w:spacing w:after="0"/>
      </w:pPr>
    </w:p>
    <w:p>
      <w:pPr>
        <w:pStyle w:val="Heading1"/>
        <w:keepNext/>
      </w:pPr>
      <w:r>
        <w:rPr>
          <w:rFonts w:ascii="Aptos Display" w:hAnsi="Aptos Display"/>
          <w:b/>
          <w:color w:val="17243A"/>
          <w:sz w:val="44"/>
        </w:rPr>
        <w:t>9. Add a knowledge graph when relationships matter</w:t>
      </w:r>
    </w:p>
    <w:p>
      <w:pPr>
        <w:spacing w:after="100"/>
      </w:pPr>
      <w:r>
        <w:rPr>
          <w:rFonts w:ascii="Aptos" w:hAnsi="Aptos"/>
          <w:color w:val="232C3E"/>
        </w:rPr>
        <w:t>A file-based Second Brain is usually enough to start. A knowledge graph becomes useful when the user repeatedly asks relationship questions that keyword or semantic search does not answer reliably, such as “what depends on this service?”, “which decision introduced this constraint?”, or “which incidents touched the same component?”</w:t>
      </w:r>
    </w:p>
    <w:p>
      <w:pPr>
        <w:spacing w:after="100"/>
      </w:pPr>
      <w:r>
        <w:rPr>
          <w:rFonts w:ascii="Aptos" w:hAnsi="Aptos"/>
          <w:color w:val="232C3E"/>
        </w:rPr>
        <w:t>Example graph relationships:</w:t>
      </w:r>
    </w:p>
    <w:p>
      <w:pPr>
        <w:pStyle w:val="ListBullet"/>
        <w:spacing w:after="60"/>
      </w:pPr>
      <w:r>
        <w:rPr>
          <w:rFonts w:ascii="Aptos" w:hAnsi="Aptos"/>
          <w:color w:val="232C3E"/>
        </w:rPr>
        <w:t>Service → consumes → Kafka topic</w:t>
      </w:r>
    </w:p>
    <w:p>
      <w:pPr>
        <w:pStyle w:val="ListBullet"/>
        <w:spacing w:after="60"/>
      </w:pPr>
      <w:r>
        <w:rPr>
          <w:rFonts w:ascii="Aptos" w:hAnsi="Aptos"/>
          <w:color w:val="232C3E"/>
        </w:rPr>
        <w:t>Service → writes → database table</w:t>
      </w:r>
    </w:p>
    <w:p>
      <w:pPr>
        <w:pStyle w:val="ListBullet"/>
        <w:spacing w:after="60"/>
      </w:pPr>
      <w:r>
        <w:rPr>
          <w:rFonts w:ascii="Aptos" w:hAnsi="Aptos"/>
          <w:color w:val="232C3E"/>
        </w:rPr>
        <w:t>API → used by → downstream consumer</w:t>
      </w:r>
    </w:p>
    <w:p>
      <w:pPr>
        <w:pStyle w:val="ListBullet"/>
        <w:spacing w:after="60"/>
      </w:pPr>
      <w:r>
        <w:rPr>
          <w:rFonts w:ascii="Aptos" w:hAnsi="Aptos"/>
          <w:color w:val="232C3E"/>
        </w:rPr>
        <w:t>Incident → affected → component</w:t>
      </w:r>
    </w:p>
    <w:p>
      <w:pPr>
        <w:pStyle w:val="ListBullet"/>
        <w:spacing w:after="60"/>
      </w:pPr>
      <w:r>
        <w:rPr>
          <w:rFonts w:ascii="Aptos" w:hAnsi="Aptos"/>
          <w:color w:val="232C3E"/>
        </w:rPr>
        <w:t>Decision → constrains → implementation</w:t>
      </w:r>
    </w:p>
    <w:p>
      <w:pPr>
        <w:pStyle w:val="ListBullet"/>
        <w:spacing w:after="60"/>
      </w:pPr>
      <w:r>
        <w:rPr>
          <w:rFonts w:ascii="Aptos" w:hAnsi="Aptos"/>
          <w:color w:val="232C3E"/>
        </w:rPr>
        <w:t>Person/team → owns → system</w:t>
      </w:r>
    </w:p>
    <w:p>
      <w:pPr>
        <w:pStyle w:val="ListBullet"/>
        <w:spacing w:after="60"/>
      </w:pPr>
      <w:r>
        <w:rPr>
          <w:rFonts w:ascii="Aptos" w:hAnsi="Aptos"/>
          <w:color w:val="232C3E"/>
        </w:rPr>
        <w:t>Requirement → validated by → test or control</w:t>
      </w:r>
    </w:p>
    <w:p>
      <w:pPr>
        <w:spacing w:after="100"/>
      </w:pPr>
      <w:r>
        <w:rPr>
          <w:rFonts w:ascii="Aptos" w:hAnsi="Aptos"/>
          <w:color w:val="232C3E"/>
        </w:rPr>
        <w:t>The graph should not replace source documents. It should point to evidence and help retrieval traverse dependencies. The final prompt should still include the relevant underlying evidence, not only graph labels.</w:t>
      </w:r>
    </w:p>
    <w:p>
      <w:pPr>
        <w:pStyle w:val="Heading1"/>
        <w:keepNext/>
      </w:pPr>
      <w:r>
        <w:rPr>
          <w:rFonts w:ascii="Aptos Display" w:hAnsi="Aptos Display"/>
          <w:b/>
          <w:color w:val="17243A"/>
          <w:sz w:val="44"/>
        </w:rPr>
        <w:t>10. A reusable “Second Brain” operating loop for any user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243A"/>
          </w:tcPr>
          <w:p>
            <w:r>
              <w:rPr>
                <w:rFonts w:ascii="Aptos" w:hAnsi="Aptos"/>
                <w:b/>
                <w:color w:val="FFFFFF"/>
                <w:sz w:val="19"/>
              </w:rPr>
              <w:t>Step</w:t>
            </w:r>
          </w:p>
        </w:tc>
        <w:tc>
          <w:tcPr>
            <w:tcW w:type="dxa" w:w="4997"/>
            <w:shd w:fill="17243A"/>
          </w:tcPr>
          <w:p>
            <w:r>
              <w:rPr>
                <w:rFonts w:ascii="Aptos" w:hAnsi="Aptos"/>
                <w:b/>
                <w:color w:val="FFFFFF"/>
                <w:sz w:val="19"/>
              </w:rPr>
              <w:t>Practice</w:t>
            </w:r>
          </w:p>
        </w:tc>
      </w:tr>
      <w:tr>
        <w:tc>
          <w:tcPr>
            <w:tcW w:type="dxa" w:w="4997"/>
            <w:tcMar>
              <w:top w:w="100" w:type="dxa"/>
              <w:start w:w="110" w:type="dxa"/>
              <w:bottom w:w="100" w:type="dxa"/>
              <w:end w:w="110" w:type="dxa"/>
            </w:tcMar>
          </w:tcPr>
          <w:p>
            <w:r>
              <w:rPr>
                <w:rFonts w:ascii="Aptos" w:hAnsi="Aptos"/>
                <w:b/>
                <w:color w:val="2F63E0"/>
                <w:sz w:val="19"/>
              </w:rPr>
              <w:t>Capture</w:t>
            </w:r>
          </w:p>
        </w:tc>
        <w:tc>
          <w:tcPr>
            <w:tcW w:type="dxa" w:w="4997"/>
            <w:tcMar>
              <w:top w:w="100" w:type="dxa"/>
              <w:start w:w="110" w:type="dxa"/>
              <w:bottom w:w="100" w:type="dxa"/>
              <w:end w:w="110" w:type="dxa"/>
            </w:tcMar>
          </w:tcPr>
          <w:p>
            <w:r>
              <w:rPr>
                <w:rFonts w:ascii="Aptos" w:hAnsi="Aptos"/>
                <w:color w:val="232C3E"/>
                <w:sz w:val="19"/>
              </w:rPr>
              <w:t>Collect information where work naturally happens.</w:t>
            </w:r>
          </w:p>
        </w:tc>
      </w:tr>
      <w:tr>
        <w:tc>
          <w:tcPr>
            <w:tcW w:type="dxa" w:w="4997"/>
            <w:tcMar>
              <w:top w:w="100" w:type="dxa"/>
              <w:start w:w="110" w:type="dxa"/>
              <w:bottom w:w="100" w:type="dxa"/>
              <w:end w:w="110" w:type="dxa"/>
            </w:tcMar>
          </w:tcPr>
          <w:p>
            <w:r>
              <w:rPr>
                <w:rFonts w:ascii="Aptos" w:hAnsi="Aptos"/>
                <w:b/>
                <w:color w:val="2F63E0"/>
                <w:sz w:val="19"/>
              </w:rPr>
              <w:t>Curate</w:t>
            </w:r>
          </w:p>
        </w:tc>
        <w:tc>
          <w:tcPr>
            <w:tcW w:type="dxa" w:w="4997"/>
            <w:tcMar>
              <w:top w:w="100" w:type="dxa"/>
              <w:start w:w="110" w:type="dxa"/>
              <w:bottom w:w="100" w:type="dxa"/>
              <w:end w:w="110" w:type="dxa"/>
            </w:tcMar>
          </w:tcPr>
          <w:p>
            <w:r>
              <w:rPr>
                <w:rFonts w:ascii="Aptos" w:hAnsi="Aptos"/>
                <w:color w:val="232C3E"/>
                <w:sz w:val="19"/>
              </w:rPr>
              <w:t>Promote useful facts into durable, structured notes or authoritative documents.</w:t>
            </w:r>
          </w:p>
        </w:tc>
      </w:tr>
      <w:tr>
        <w:tc>
          <w:tcPr>
            <w:tcW w:type="dxa" w:w="4997"/>
            <w:tcMar>
              <w:top w:w="100" w:type="dxa"/>
              <w:start w:w="110" w:type="dxa"/>
              <w:bottom w:w="100" w:type="dxa"/>
              <w:end w:w="110" w:type="dxa"/>
            </w:tcMar>
          </w:tcPr>
          <w:p>
            <w:r>
              <w:rPr>
                <w:rFonts w:ascii="Aptos" w:hAnsi="Aptos"/>
                <w:b/>
                <w:color w:val="2F63E0"/>
                <w:sz w:val="19"/>
              </w:rPr>
              <w:t>Connect</w:t>
            </w:r>
          </w:p>
        </w:tc>
        <w:tc>
          <w:tcPr>
            <w:tcW w:type="dxa" w:w="4997"/>
            <w:tcMar>
              <w:top w:w="100" w:type="dxa"/>
              <w:start w:w="110" w:type="dxa"/>
              <w:bottom w:w="100" w:type="dxa"/>
              <w:end w:w="110" w:type="dxa"/>
            </w:tcMar>
          </w:tcPr>
          <w:p>
            <w:r>
              <w:rPr>
                <w:rFonts w:ascii="Aptos" w:hAnsi="Aptos"/>
                <w:color w:val="232C3E"/>
                <w:sz w:val="19"/>
              </w:rPr>
              <w:t>Add links, tags, ownership, relationships, and source references.</w:t>
            </w:r>
          </w:p>
        </w:tc>
      </w:tr>
      <w:tr>
        <w:tc>
          <w:tcPr>
            <w:tcW w:type="dxa" w:w="4997"/>
            <w:tcMar>
              <w:top w:w="100" w:type="dxa"/>
              <w:start w:w="110" w:type="dxa"/>
              <w:bottom w:w="100" w:type="dxa"/>
              <w:end w:w="110" w:type="dxa"/>
            </w:tcMar>
          </w:tcPr>
          <w:p>
            <w:r>
              <w:rPr>
                <w:rFonts w:ascii="Aptos" w:hAnsi="Aptos"/>
                <w:b/>
                <w:color w:val="2F63E0"/>
                <w:sz w:val="19"/>
              </w:rPr>
              <w:t>Retrieve</w:t>
            </w:r>
          </w:p>
        </w:tc>
        <w:tc>
          <w:tcPr>
            <w:tcW w:type="dxa" w:w="4997"/>
            <w:tcMar>
              <w:top w:w="100" w:type="dxa"/>
              <w:start w:w="110" w:type="dxa"/>
              <w:bottom w:w="100" w:type="dxa"/>
              <w:end w:w="110" w:type="dxa"/>
            </w:tcMar>
          </w:tcPr>
          <w:p>
            <w:r>
              <w:rPr>
                <w:rFonts w:ascii="Aptos" w:hAnsi="Aptos"/>
                <w:color w:val="232C3E"/>
                <w:sz w:val="19"/>
              </w:rPr>
              <w:t>Ask AI to find only the evidence relevant to the current task.</w:t>
            </w:r>
          </w:p>
        </w:tc>
      </w:tr>
      <w:tr>
        <w:tc>
          <w:tcPr>
            <w:tcW w:type="dxa" w:w="4997"/>
            <w:tcMar>
              <w:top w:w="100" w:type="dxa"/>
              <w:start w:w="110" w:type="dxa"/>
              <w:bottom w:w="100" w:type="dxa"/>
              <w:end w:w="110" w:type="dxa"/>
            </w:tcMar>
          </w:tcPr>
          <w:p>
            <w:r>
              <w:rPr>
                <w:rFonts w:ascii="Aptos" w:hAnsi="Aptos"/>
                <w:b/>
                <w:color w:val="2F63E0"/>
                <w:sz w:val="19"/>
              </w:rPr>
              <w:t>Reason</w:t>
            </w:r>
          </w:p>
        </w:tc>
        <w:tc>
          <w:tcPr>
            <w:tcW w:type="dxa" w:w="4997"/>
            <w:tcMar>
              <w:top w:w="100" w:type="dxa"/>
              <w:start w:w="110" w:type="dxa"/>
              <w:bottom w:w="100" w:type="dxa"/>
              <w:end w:w="110" w:type="dxa"/>
            </w:tcMar>
          </w:tcPr>
          <w:p>
            <w:r>
              <w:rPr>
                <w:rFonts w:ascii="Aptos" w:hAnsi="Aptos"/>
                <w:color w:val="232C3E"/>
                <w:sz w:val="19"/>
              </w:rPr>
              <w:t>Give the model a bounded goal, constraints, evidence, and requested output.</w:t>
            </w:r>
          </w:p>
        </w:tc>
      </w:tr>
      <w:tr>
        <w:tc>
          <w:tcPr>
            <w:tcW w:type="dxa" w:w="4997"/>
            <w:tcMar>
              <w:top w:w="100" w:type="dxa"/>
              <w:start w:w="110" w:type="dxa"/>
              <w:bottom w:w="100" w:type="dxa"/>
              <w:end w:w="110" w:type="dxa"/>
            </w:tcMar>
          </w:tcPr>
          <w:p>
            <w:r>
              <w:rPr>
                <w:rFonts w:ascii="Aptos" w:hAnsi="Aptos"/>
                <w:b/>
                <w:color w:val="2F63E0"/>
                <w:sz w:val="19"/>
              </w:rPr>
              <w:t>Validate</w:t>
            </w:r>
          </w:p>
        </w:tc>
        <w:tc>
          <w:tcPr>
            <w:tcW w:type="dxa" w:w="4997"/>
            <w:tcMar>
              <w:top w:w="100" w:type="dxa"/>
              <w:start w:w="110" w:type="dxa"/>
              <w:bottom w:w="100" w:type="dxa"/>
              <w:end w:w="110" w:type="dxa"/>
            </w:tcMar>
          </w:tcPr>
          <w:p>
            <w:r>
              <w:rPr>
                <w:rFonts w:ascii="Aptos" w:hAnsi="Aptos"/>
                <w:color w:val="232C3E"/>
                <w:sz w:val="19"/>
              </w:rPr>
              <w:t>Check claims, code, calculations, or decisions against sources and tests.</w:t>
            </w:r>
          </w:p>
        </w:tc>
      </w:tr>
      <w:tr>
        <w:tc>
          <w:tcPr>
            <w:tcW w:type="dxa" w:w="4997"/>
            <w:tcMar>
              <w:top w:w="100" w:type="dxa"/>
              <w:start w:w="110" w:type="dxa"/>
              <w:bottom w:w="100" w:type="dxa"/>
              <w:end w:w="110" w:type="dxa"/>
            </w:tcMar>
          </w:tcPr>
          <w:p>
            <w:r>
              <w:rPr>
                <w:rFonts w:ascii="Aptos" w:hAnsi="Aptos"/>
                <w:b/>
                <w:color w:val="2F63E0"/>
                <w:sz w:val="19"/>
              </w:rPr>
              <w:t>Remember</w:t>
            </w:r>
          </w:p>
        </w:tc>
        <w:tc>
          <w:tcPr>
            <w:tcW w:type="dxa" w:w="4997"/>
            <w:tcMar>
              <w:top w:w="100" w:type="dxa"/>
              <w:start w:w="110" w:type="dxa"/>
              <w:bottom w:w="100" w:type="dxa"/>
              <w:end w:w="110" w:type="dxa"/>
            </w:tcMar>
          </w:tcPr>
          <w:p>
            <w:r>
              <w:rPr>
                <w:rFonts w:ascii="Aptos" w:hAnsi="Aptos"/>
                <w:color w:val="232C3E"/>
                <w:sz w:val="19"/>
              </w:rPr>
              <w:t>Write validated learning back to the durable knowledge layer.</w:t>
            </w:r>
          </w:p>
        </w:tc>
      </w:tr>
    </w:tbl>
    <w:p>
      <w:pPr>
        <w:pStyle w:val="Heading1"/>
        <w:keepNext/>
      </w:pPr>
      <w:r>
        <w:rPr>
          <w:rFonts w:ascii="Aptos Display" w:hAnsi="Aptos Display"/>
          <w:b/>
          <w:color w:val="17243A"/>
          <w:sz w:val="44"/>
        </w:rPr>
        <w:t>11. Prompt templates that make a Second Brain useful</w:t>
      </w:r>
    </w:p>
    <w:p>
      <w:pPr>
        <w:pStyle w:val="Heading2"/>
        <w:keepNext/>
      </w:pPr>
      <w:r>
        <w:rPr>
          <w:rFonts w:ascii="Aptos Display" w:hAnsi="Aptos Display"/>
          <w:b/>
          <w:color w:val="17243A"/>
          <w:sz w:val="30"/>
        </w:rPr>
        <w:t>11.1 Retrieval-first prompt</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2F63E0"/>
                <w:sz w:val="21"/>
              </w:rPr>
              <w:t xml:space="preserve">Template:  </w:t>
            </w:r>
            <w:r>
              <w:rPr>
                <w:rFonts w:ascii="Aptos" w:hAnsi="Aptos"/>
                <w:color w:val="232C3E"/>
                <w:sz w:val="21"/>
              </w:rPr>
              <w:t>“Before answering, search the relevant Second Brain sources for &lt;topic&gt;. Give me: (1) the current answer, (2) supporting evidence/source, (3) conflicts or stale information, (4) unknowns, and (5) the next action. Do not fill gaps with assumptions.”</w:t>
            </w:r>
          </w:p>
        </w:tc>
      </w:tr>
    </w:tbl>
    <w:p>
      <w:pPr>
        <w:spacing w:after="0"/>
      </w:pPr>
    </w:p>
    <w:p>
      <w:pPr>
        <w:pStyle w:val="Heading2"/>
        <w:keepNext/>
      </w:pPr>
      <w:r>
        <w:rPr>
          <w:rFonts w:ascii="Aptos Display" w:hAnsi="Aptos Display"/>
          <w:b/>
          <w:color w:val="17243A"/>
          <w:sz w:val="30"/>
        </w:rPr>
        <w:t>11.2 Project onboarding prompt</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2F9E73"/>
                <w:sz w:val="21"/>
              </w:rPr>
              <w:t xml:space="preserve">Template:  </w:t>
            </w:r>
            <w:r>
              <w:rPr>
                <w:rFonts w:ascii="Aptos" w:hAnsi="Aptos"/>
                <w:color w:val="232C3E"/>
                <w:sz w:val="21"/>
              </w:rPr>
              <w:t>“Build an onboarding brief for &lt;project&gt;. Cover purpose, architecture, domain vocabulary, key systems, owners, major decisions, active risks, recent incidents, and the five sources I should read first. Distinguish official documentation from discussion or inference.”</w:t>
            </w:r>
          </w:p>
        </w:tc>
      </w:tr>
    </w:tbl>
    <w:p>
      <w:pPr>
        <w:spacing w:after="0"/>
      </w:pPr>
    </w:p>
    <w:p>
      <w:pPr>
        <w:pStyle w:val="Heading2"/>
        <w:keepNext/>
      </w:pPr>
      <w:r>
        <w:rPr>
          <w:rFonts w:ascii="Aptos Display" w:hAnsi="Aptos Display"/>
          <w:b/>
          <w:color w:val="17243A"/>
          <w:sz w:val="30"/>
        </w:rPr>
        <w:t>11.3 Coding prompt</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E58D3B"/>
                <w:sz w:val="21"/>
              </w:rPr>
              <w:t xml:space="preserve">Template:  </w:t>
            </w:r>
            <w:r>
              <w:rPr>
                <w:rFonts w:ascii="Aptos" w:hAnsi="Aptos"/>
                <w:color w:val="232C3E"/>
                <w:sz w:val="21"/>
              </w:rPr>
              <w:t>“For &lt;requirement&gt;, read the repository instructions and relevant architecture/domain knowledge first. Identify impacted components and constraints, propose a bounded plan, implement using project patterns, run validations, and record only validated new knowledge.”</w:t>
            </w:r>
          </w:p>
        </w:tc>
      </w:tr>
    </w:tbl>
    <w:p>
      <w:pPr>
        <w:spacing w:after="0"/>
      </w:pPr>
    </w:p>
    <w:p>
      <w:pPr>
        <w:pStyle w:val="Heading2"/>
        <w:keepNext/>
      </w:pPr>
      <w:r>
        <w:rPr>
          <w:rFonts w:ascii="Aptos Display" w:hAnsi="Aptos Display"/>
          <w:b/>
          <w:color w:val="17243A"/>
          <w:sz w:val="30"/>
        </w:rPr>
        <w:t>11.4 Decision-recovery prompt</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C95050"/>
                <w:sz w:val="21"/>
              </w:rPr>
              <w:t xml:space="preserve">Template:  </w:t>
            </w:r>
            <w:r>
              <w:rPr>
                <w:rFonts w:ascii="Aptos" w:hAnsi="Aptos"/>
                <w:color w:val="232C3E"/>
                <w:sz w:val="21"/>
              </w:rPr>
              <w:t>“Find why &lt;decision&gt; was made. Search durable docs plus relevant mail/chat history. Produce a timeline: proposal → alternatives → decision → owner → evidence → later consequences. Mark anything that is not explicitly supported.”</w:t>
            </w:r>
          </w:p>
        </w:tc>
      </w:tr>
    </w:tbl>
    <w:p>
      <w:pPr>
        <w:spacing w:after="0"/>
      </w:pPr>
    </w:p>
    <w:p>
      <w:pPr>
        <w:pStyle w:val="Heading1"/>
        <w:keepNext/>
      </w:pPr>
      <w:r>
        <w:rPr>
          <w:rFonts w:ascii="Aptos Display" w:hAnsi="Aptos Display"/>
          <w:b/>
          <w:color w:val="17243A"/>
          <w:sz w:val="44"/>
        </w:rPr>
        <w:t>12. Governance and safety</w:t>
      </w:r>
    </w:p>
    <w:p>
      <w:pPr>
        <w:pStyle w:val="ListBullet"/>
        <w:spacing w:after="60"/>
      </w:pPr>
      <w:r>
        <w:rPr>
          <w:rFonts w:ascii="Aptos" w:hAnsi="Aptos"/>
          <w:color w:val="232C3E"/>
        </w:rPr>
        <w:t>Authoritative sources — define where final truth lives for architecture, policy, decisions, and ownership.</w:t>
      </w:r>
    </w:p>
    <w:p>
      <w:pPr>
        <w:pStyle w:val="ListBullet"/>
        <w:spacing w:after="60"/>
      </w:pPr>
      <w:r>
        <w:rPr>
          <w:rFonts w:ascii="Aptos" w:hAnsi="Aptos"/>
          <w:color w:val="232C3E"/>
        </w:rPr>
        <w:t>Permissions — preserve source-system permissions; avoid copying sensitive information into a less controlled tool.</w:t>
      </w:r>
    </w:p>
    <w:p>
      <w:pPr>
        <w:pStyle w:val="ListBullet"/>
        <w:spacing w:after="60"/>
      </w:pPr>
      <w:r>
        <w:rPr>
          <w:rFonts w:ascii="Aptos" w:hAnsi="Aptos"/>
          <w:color w:val="232C3E"/>
        </w:rPr>
        <w:t>Freshness — include last-reviewed dates or ownership for important knowledge.</w:t>
      </w:r>
    </w:p>
    <w:p>
      <w:pPr>
        <w:pStyle w:val="ListBullet"/>
        <w:spacing w:after="60"/>
      </w:pPr>
      <w:r>
        <w:rPr>
          <w:rFonts w:ascii="Aptos" w:hAnsi="Aptos"/>
          <w:color w:val="232C3E"/>
        </w:rPr>
        <w:t>Provenance — retain links or citations back to the original source where possible.</w:t>
      </w:r>
    </w:p>
    <w:p>
      <w:pPr>
        <w:pStyle w:val="ListBullet"/>
        <w:spacing w:after="60"/>
      </w:pPr>
      <w:r>
        <w:rPr>
          <w:rFonts w:ascii="Aptos" w:hAnsi="Aptos"/>
          <w:color w:val="232C3E"/>
        </w:rPr>
        <w:t>Separation of facts and drafts — mark proposals, hypotheses, and unverified notes clearly.</w:t>
      </w:r>
    </w:p>
    <w:p>
      <w:pPr>
        <w:pStyle w:val="ListBullet"/>
        <w:spacing w:after="60"/>
      </w:pPr>
      <w:r>
        <w:rPr>
          <w:rFonts w:ascii="Aptos" w:hAnsi="Aptos"/>
          <w:color w:val="232C3E"/>
        </w:rPr>
        <w:t>Retention — archive or remove obsolete knowledge so retrieval does not surface conflicting historical guidance as current.</w:t>
      </w:r>
    </w:p>
    <w:p>
      <w:pPr>
        <w:pStyle w:val="ListBullet"/>
        <w:spacing w:after="60"/>
      </w:pPr>
      <w:r>
        <w:rPr>
          <w:rFonts w:ascii="Aptos" w:hAnsi="Aptos"/>
          <w:color w:val="232C3E"/>
        </w:rPr>
        <w:t>Actions — enterprise write actions should be enabled intentionally and separately from read/search access.</w:t>
      </w:r>
    </w:p>
    <w:p>
      <w:pPr>
        <w:pStyle w:val="ListBullet"/>
        <w:spacing w:after="60"/>
      </w:pPr>
      <w:r>
        <w:rPr>
          <w:rFonts w:ascii="Aptos" w:hAnsi="Aptos"/>
          <w:color w:val="232C3E"/>
        </w:rPr>
        <w:t>Sensitive local knowledge — be cautious when exposing personal vaults or local files through custom connectors.</w:t>
      </w:r>
    </w:p>
    <w:p>
      <w:pPr>
        <w:pStyle w:val="Heading1"/>
        <w:keepNext/>
      </w:pPr>
      <w:r>
        <w:rPr>
          <w:rFonts w:ascii="Aptos Display" w:hAnsi="Aptos Display"/>
          <w:b/>
          <w:color w:val="17243A"/>
          <w:sz w:val="44"/>
        </w:rPr>
        <w:t>13. Maturity model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243A"/>
          </w:tcPr>
          <w:p>
            <w:r>
              <w:rPr>
                <w:rFonts w:ascii="Aptos" w:hAnsi="Aptos"/>
                <w:b/>
                <w:color w:val="FFFFFF"/>
                <w:sz w:val="19"/>
              </w:rPr>
              <w:t>Maturity</w:t>
            </w:r>
          </w:p>
        </w:tc>
        <w:tc>
          <w:tcPr>
            <w:tcW w:type="dxa" w:w="3331"/>
            <w:shd w:fill="17243A"/>
          </w:tcPr>
          <w:p>
            <w:r>
              <w:rPr>
                <w:rFonts w:ascii="Aptos" w:hAnsi="Aptos"/>
                <w:b/>
                <w:color w:val="FFFFFF"/>
                <w:sz w:val="19"/>
              </w:rPr>
              <w:t>What it means</w:t>
            </w:r>
          </w:p>
        </w:tc>
        <w:tc>
          <w:tcPr>
            <w:tcW w:type="dxa" w:w="3331"/>
            <w:shd w:fill="17243A"/>
          </w:tcPr>
          <w:p>
            <w:r>
              <w:rPr>
                <w:rFonts w:ascii="Aptos" w:hAnsi="Aptos"/>
                <w:b/>
                <w:color w:val="FFFFFF"/>
                <w:sz w:val="19"/>
              </w:rPr>
              <w:t>Value</w:t>
            </w:r>
          </w:p>
        </w:tc>
      </w:tr>
      <w:tr>
        <w:tc>
          <w:tcPr>
            <w:tcW w:type="dxa" w:w="3331"/>
            <w:tcMar>
              <w:top w:w="100" w:type="dxa"/>
              <w:start w:w="110" w:type="dxa"/>
              <w:bottom w:w="100" w:type="dxa"/>
              <w:end w:w="110" w:type="dxa"/>
            </w:tcMar>
          </w:tcPr>
          <w:p>
            <w:r>
              <w:rPr>
                <w:rFonts w:ascii="Aptos" w:hAnsi="Aptos"/>
                <w:b/>
                <w:color w:val="2F63E0"/>
                <w:sz w:val="18"/>
              </w:rPr>
              <w:t>Level 1 — Prompt memory</w:t>
            </w:r>
          </w:p>
        </w:tc>
        <w:tc>
          <w:tcPr>
            <w:tcW w:type="dxa" w:w="3331"/>
            <w:tcMar>
              <w:top w:w="100" w:type="dxa"/>
              <w:start w:w="110" w:type="dxa"/>
              <w:bottom w:w="100" w:type="dxa"/>
              <w:end w:w="110" w:type="dxa"/>
            </w:tcMar>
          </w:tcPr>
          <w:p>
            <w:r>
              <w:rPr>
                <w:rFonts w:ascii="Aptos" w:hAnsi="Aptos"/>
                <w:b w:val="0"/>
                <w:color w:val="232C3E"/>
                <w:sz w:val="18"/>
              </w:rPr>
              <w:t>Users manually paste context</w:t>
            </w:r>
          </w:p>
        </w:tc>
        <w:tc>
          <w:tcPr>
            <w:tcW w:type="dxa" w:w="3331"/>
            <w:tcMar>
              <w:top w:w="100" w:type="dxa"/>
              <w:start w:w="110" w:type="dxa"/>
              <w:bottom w:w="100" w:type="dxa"/>
              <w:end w:w="110" w:type="dxa"/>
            </w:tcMar>
          </w:tcPr>
          <w:p>
            <w:r>
              <w:rPr>
                <w:rFonts w:ascii="Aptos" w:hAnsi="Aptos"/>
                <w:b w:val="0"/>
                <w:color w:val="232C3E"/>
                <w:sz w:val="18"/>
              </w:rPr>
              <w:t>Fast to start, hard to scale</w:t>
            </w:r>
          </w:p>
        </w:tc>
      </w:tr>
      <w:tr>
        <w:tc>
          <w:tcPr>
            <w:tcW w:type="dxa" w:w="3331"/>
            <w:tcMar>
              <w:top w:w="100" w:type="dxa"/>
              <w:start w:w="110" w:type="dxa"/>
              <w:bottom w:w="100" w:type="dxa"/>
              <w:end w:w="110" w:type="dxa"/>
            </w:tcMar>
          </w:tcPr>
          <w:p>
            <w:r>
              <w:rPr>
                <w:rFonts w:ascii="Aptos" w:hAnsi="Aptos"/>
                <w:b/>
                <w:color w:val="2F63E0"/>
                <w:sz w:val="18"/>
              </w:rPr>
              <w:t>Level 2 — File memory</w:t>
            </w:r>
          </w:p>
        </w:tc>
        <w:tc>
          <w:tcPr>
            <w:tcW w:type="dxa" w:w="3331"/>
            <w:tcMar>
              <w:top w:w="100" w:type="dxa"/>
              <w:start w:w="110" w:type="dxa"/>
              <w:bottom w:w="100" w:type="dxa"/>
              <w:end w:w="110" w:type="dxa"/>
            </w:tcMar>
          </w:tcPr>
          <w:p>
            <w:r>
              <w:rPr>
                <w:rFonts w:ascii="Aptos" w:hAnsi="Aptos"/>
                <w:b w:val="0"/>
                <w:color w:val="232C3E"/>
                <w:sz w:val="18"/>
              </w:rPr>
              <w:t>Markdown/docs organized by topic</w:t>
            </w:r>
          </w:p>
        </w:tc>
        <w:tc>
          <w:tcPr>
            <w:tcW w:type="dxa" w:w="3331"/>
            <w:tcMar>
              <w:top w:w="100" w:type="dxa"/>
              <w:start w:w="110" w:type="dxa"/>
              <w:bottom w:w="100" w:type="dxa"/>
              <w:end w:w="110" w:type="dxa"/>
            </w:tcMar>
          </w:tcPr>
          <w:p>
            <w:r>
              <w:rPr>
                <w:rFonts w:ascii="Aptos" w:hAnsi="Aptos"/>
                <w:b w:val="0"/>
                <w:color w:val="232C3E"/>
                <w:sz w:val="18"/>
              </w:rPr>
              <w:t>Persistent, versionable, still manually retrieved</w:t>
            </w:r>
          </w:p>
        </w:tc>
      </w:tr>
      <w:tr>
        <w:tc>
          <w:tcPr>
            <w:tcW w:type="dxa" w:w="3331"/>
            <w:tcMar>
              <w:top w:w="100" w:type="dxa"/>
              <w:start w:w="110" w:type="dxa"/>
              <w:bottom w:w="100" w:type="dxa"/>
              <w:end w:w="110" w:type="dxa"/>
            </w:tcMar>
          </w:tcPr>
          <w:p>
            <w:r>
              <w:rPr>
                <w:rFonts w:ascii="Aptos" w:hAnsi="Aptos"/>
                <w:b/>
                <w:color w:val="2F63E0"/>
                <w:sz w:val="18"/>
              </w:rPr>
              <w:t>Level 3 — Connected memory</w:t>
            </w:r>
          </w:p>
        </w:tc>
        <w:tc>
          <w:tcPr>
            <w:tcW w:type="dxa" w:w="3331"/>
            <w:tcMar>
              <w:top w:w="100" w:type="dxa"/>
              <w:start w:w="110" w:type="dxa"/>
              <w:bottom w:w="100" w:type="dxa"/>
              <w:end w:w="110" w:type="dxa"/>
            </w:tcMar>
          </w:tcPr>
          <w:p>
            <w:r>
              <w:rPr>
                <w:rFonts w:ascii="Aptos" w:hAnsi="Aptos"/>
                <w:b w:val="0"/>
                <w:color w:val="232C3E"/>
                <w:sz w:val="18"/>
              </w:rPr>
              <w:t>ChatGPT/AI can search approved sources</w:t>
            </w:r>
          </w:p>
        </w:tc>
        <w:tc>
          <w:tcPr>
            <w:tcW w:type="dxa" w:w="3331"/>
            <w:tcMar>
              <w:top w:w="100" w:type="dxa"/>
              <w:start w:w="110" w:type="dxa"/>
              <w:bottom w:w="100" w:type="dxa"/>
              <w:end w:w="110" w:type="dxa"/>
            </w:tcMar>
          </w:tcPr>
          <w:p>
            <w:r>
              <w:rPr>
                <w:rFonts w:ascii="Aptos" w:hAnsi="Aptos"/>
                <w:b w:val="0"/>
                <w:color w:val="232C3E"/>
                <w:sz w:val="18"/>
              </w:rPr>
              <w:t>Less context hunting, permission-aware retrieval</w:t>
            </w:r>
          </w:p>
        </w:tc>
      </w:tr>
      <w:tr>
        <w:tc>
          <w:tcPr>
            <w:tcW w:type="dxa" w:w="3331"/>
            <w:tcMar>
              <w:top w:w="100" w:type="dxa"/>
              <w:start w:w="110" w:type="dxa"/>
              <w:bottom w:w="100" w:type="dxa"/>
              <w:end w:w="110" w:type="dxa"/>
            </w:tcMar>
          </w:tcPr>
          <w:p>
            <w:r>
              <w:rPr>
                <w:rFonts w:ascii="Aptos" w:hAnsi="Aptos"/>
                <w:b/>
                <w:color w:val="2F63E0"/>
                <w:sz w:val="18"/>
              </w:rPr>
              <w:t>Level 4 — Relationship-aware memory</w:t>
            </w:r>
          </w:p>
        </w:tc>
        <w:tc>
          <w:tcPr>
            <w:tcW w:type="dxa" w:w="3331"/>
            <w:tcMar>
              <w:top w:w="100" w:type="dxa"/>
              <w:start w:w="110" w:type="dxa"/>
              <w:bottom w:w="100" w:type="dxa"/>
              <w:end w:w="110" w:type="dxa"/>
            </w:tcMar>
          </w:tcPr>
          <w:p>
            <w:r>
              <w:rPr>
                <w:rFonts w:ascii="Aptos" w:hAnsi="Aptos"/>
                <w:b w:val="0"/>
                <w:color w:val="232C3E"/>
                <w:sz w:val="18"/>
              </w:rPr>
              <w:t>Graph/tags/metadata drive retrieval</w:t>
            </w:r>
          </w:p>
        </w:tc>
        <w:tc>
          <w:tcPr>
            <w:tcW w:type="dxa" w:w="3331"/>
            <w:tcMar>
              <w:top w:w="100" w:type="dxa"/>
              <w:start w:w="110" w:type="dxa"/>
              <w:bottom w:w="100" w:type="dxa"/>
              <w:end w:w="110" w:type="dxa"/>
            </w:tcMar>
          </w:tcPr>
          <w:p>
            <w:r>
              <w:rPr>
                <w:rFonts w:ascii="Aptos" w:hAnsi="Aptos"/>
                <w:b w:val="0"/>
                <w:color w:val="232C3E"/>
                <w:sz w:val="18"/>
              </w:rPr>
              <w:t>Better impact analysis and cross-source reasoning</w:t>
            </w:r>
          </w:p>
        </w:tc>
      </w:tr>
      <w:tr>
        <w:tc>
          <w:tcPr>
            <w:tcW w:type="dxa" w:w="3331"/>
            <w:tcMar>
              <w:top w:w="100" w:type="dxa"/>
              <w:start w:w="110" w:type="dxa"/>
              <w:bottom w:w="100" w:type="dxa"/>
              <w:end w:w="110" w:type="dxa"/>
            </w:tcMar>
          </w:tcPr>
          <w:p>
            <w:r>
              <w:rPr>
                <w:rFonts w:ascii="Aptos" w:hAnsi="Aptos"/>
                <w:b/>
                <w:color w:val="2F63E0"/>
                <w:sz w:val="18"/>
              </w:rPr>
              <w:t>Level 5 — Agentic memory loop</w:t>
            </w:r>
          </w:p>
        </w:tc>
        <w:tc>
          <w:tcPr>
            <w:tcW w:type="dxa" w:w="3331"/>
            <w:tcMar>
              <w:top w:w="100" w:type="dxa"/>
              <w:start w:w="110" w:type="dxa"/>
              <w:bottom w:w="100" w:type="dxa"/>
              <w:end w:w="110" w:type="dxa"/>
            </w:tcMar>
          </w:tcPr>
          <w:p>
            <w:r>
              <w:rPr>
                <w:rFonts w:ascii="Aptos" w:hAnsi="Aptos"/>
                <w:b w:val="0"/>
                <w:color w:val="232C3E"/>
                <w:sz w:val="18"/>
              </w:rPr>
              <w:t>Agents retrieve, validate, execute, and capture learning</w:t>
            </w:r>
          </w:p>
        </w:tc>
        <w:tc>
          <w:tcPr>
            <w:tcW w:type="dxa" w:w="3331"/>
            <w:tcMar>
              <w:top w:w="100" w:type="dxa"/>
              <w:start w:w="110" w:type="dxa"/>
              <w:bottom w:w="100" w:type="dxa"/>
              <w:end w:w="110" w:type="dxa"/>
            </w:tcMar>
          </w:tcPr>
          <w:p>
            <w:r>
              <w:rPr>
                <w:rFonts w:ascii="Aptos" w:hAnsi="Aptos"/>
                <w:b w:val="0"/>
                <w:color w:val="232C3E"/>
                <w:sz w:val="18"/>
              </w:rPr>
              <w:t>Compounding productivity with governance</w:t>
            </w:r>
          </w:p>
        </w:tc>
      </w:tr>
    </w:tbl>
    <w:p>
      <w:pPr>
        <w:pStyle w:val="Heading1"/>
        <w:keepNext/>
      </w:pPr>
      <w:r>
        <w:rPr>
          <w:rFonts w:ascii="Aptos Display" w:hAnsi="Aptos Display"/>
          <w:b/>
          <w:color w:val="17243A"/>
          <w:sz w:val="44"/>
        </w:rPr>
        <w:t>14. Recommended starting points by persona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243A"/>
          </w:tcPr>
          <w:p>
            <w:r>
              <w:rPr>
                <w:rFonts w:ascii="Aptos" w:hAnsi="Aptos"/>
                <w:b/>
                <w:color w:val="FFFFFF"/>
                <w:sz w:val="19"/>
              </w:rPr>
              <w:t>Persona</w:t>
            </w:r>
          </w:p>
        </w:tc>
        <w:tc>
          <w:tcPr>
            <w:tcW w:type="dxa" w:w="4997"/>
            <w:shd w:fill="17243A"/>
          </w:tcPr>
          <w:p>
            <w:r>
              <w:rPr>
                <w:rFonts w:ascii="Aptos" w:hAnsi="Aptos"/>
                <w:b/>
                <w:color w:val="FFFFFF"/>
                <w:sz w:val="19"/>
              </w:rPr>
              <w:t>First implementation</w:t>
            </w:r>
          </w:p>
        </w:tc>
      </w:tr>
      <w:tr>
        <w:tc>
          <w:tcPr>
            <w:tcW w:type="dxa" w:w="4997"/>
            <w:tcMar>
              <w:top w:w="100" w:type="dxa"/>
              <w:start w:w="110" w:type="dxa"/>
              <w:bottom w:w="100" w:type="dxa"/>
              <w:end w:w="110" w:type="dxa"/>
            </w:tcMar>
          </w:tcPr>
          <w:p>
            <w:r>
              <w:rPr>
                <w:rFonts w:ascii="Aptos" w:hAnsi="Aptos"/>
                <w:b/>
                <w:color w:val="2F63E0"/>
                <w:sz w:val="19"/>
              </w:rPr>
              <w:t>Developer</w:t>
            </w:r>
          </w:p>
        </w:tc>
        <w:tc>
          <w:tcPr>
            <w:tcW w:type="dxa" w:w="4997"/>
            <w:tcMar>
              <w:top w:w="100" w:type="dxa"/>
              <w:start w:w="110" w:type="dxa"/>
              <w:bottom w:w="100" w:type="dxa"/>
              <w:end w:w="110" w:type="dxa"/>
            </w:tcMar>
          </w:tcPr>
          <w:p>
            <w:r>
              <w:rPr>
                <w:rFonts w:ascii="Aptos" w:hAnsi="Aptos"/>
                <w:color w:val="232C3E"/>
                <w:sz w:val="19"/>
              </w:rPr>
              <w:t>Start with `.github/copilot-instructions.md`, `ARCHITECTURE.md`, `DOMAIN.md`, prompt files, and decision/incident notes.</w:t>
            </w:r>
          </w:p>
        </w:tc>
      </w:tr>
      <w:tr>
        <w:tc>
          <w:tcPr>
            <w:tcW w:type="dxa" w:w="4997"/>
            <w:tcMar>
              <w:top w:w="100" w:type="dxa"/>
              <w:start w:w="110" w:type="dxa"/>
              <w:bottom w:w="100" w:type="dxa"/>
              <w:end w:w="110" w:type="dxa"/>
            </w:tcMar>
          </w:tcPr>
          <w:p>
            <w:r>
              <w:rPr>
                <w:rFonts w:ascii="Aptos" w:hAnsi="Aptos"/>
                <w:b/>
                <w:color w:val="2F63E0"/>
                <w:sz w:val="19"/>
              </w:rPr>
              <w:t>Engineering team</w:t>
            </w:r>
          </w:p>
        </w:tc>
        <w:tc>
          <w:tcPr>
            <w:tcW w:type="dxa" w:w="4997"/>
            <w:tcMar>
              <w:top w:w="100" w:type="dxa"/>
              <w:start w:w="110" w:type="dxa"/>
              <w:bottom w:w="100" w:type="dxa"/>
              <w:end w:w="110" w:type="dxa"/>
            </w:tcMar>
          </w:tcPr>
          <w:p>
            <w:r>
              <w:rPr>
                <w:rFonts w:ascii="Aptos" w:hAnsi="Aptos"/>
                <w:color w:val="232C3E"/>
                <w:sz w:val="19"/>
              </w:rPr>
              <w:t>Create a shared repository knowledge pack and a review process for updating it after major changes.</w:t>
            </w:r>
          </w:p>
        </w:tc>
      </w:tr>
      <w:tr>
        <w:tc>
          <w:tcPr>
            <w:tcW w:type="dxa" w:w="4997"/>
            <w:tcMar>
              <w:top w:w="100" w:type="dxa"/>
              <w:start w:w="110" w:type="dxa"/>
              <w:bottom w:w="100" w:type="dxa"/>
              <w:end w:w="110" w:type="dxa"/>
            </w:tcMar>
          </w:tcPr>
          <w:p>
            <w:r>
              <w:rPr>
                <w:rFonts w:ascii="Aptos" w:hAnsi="Aptos"/>
                <w:b/>
                <w:color w:val="2F63E0"/>
                <w:sz w:val="19"/>
              </w:rPr>
              <w:t>Enterprise knowledge worker</w:t>
            </w:r>
          </w:p>
        </w:tc>
        <w:tc>
          <w:tcPr>
            <w:tcW w:type="dxa" w:w="4997"/>
            <w:tcMar>
              <w:top w:w="100" w:type="dxa"/>
              <w:start w:w="110" w:type="dxa"/>
              <w:bottom w:w="100" w:type="dxa"/>
              <w:end w:w="110" w:type="dxa"/>
            </w:tcMar>
          </w:tcPr>
          <w:p>
            <w:r>
              <w:rPr>
                <w:rFonts w:ascii="Aptos" w:hAnsi="Aptos"/>
                <w:color w:val="232C3E"/>
                <w:sz w:val="19"/>
              </w:rPr>
              <w:t>Start with one project and connect approved SharePoint/OneDrive, Outlook, and Teams sources in ChatGPT.</w:t>
            </w:r>
          </w:p>
        </w:tc>
      </w:tr>
      <w:tr>
        <w:tc>
          <w:tcPr>
            <w:tcW w:type="dxa" w:w="4997"/>
            <w:tcMar>
              <w:top w:w="100" w:type="dxa"/>
              <w:start w:w="110" w:type="dxa"/>
              <w:bottom w:w="100" w:type="dxa"/>
              <w:end w:w="110" w:type="dxa"/>
            </w:tcMar>
          </w:tcPr>
          <w:p>
            <w:r>
              <w:rPr>
                <w:rFonts w:ascii="Aptos" w:hAnsi="Aptos"/>
                <w:b/>
                <w:color w:val="2F63E0"/>
                <w:sz w:val="19"/>
              </w:rPr>
              <w:t>Researcher / learner</w:t>
            </w:r>
          </w:p>
        </w:tc>
        <w:tc>
          <w:tcPr>
            <w:tcW w:type="dxa" w:w="4997"/>
            <w:tcMar>
              <w:top w:w="100" w:type="dxa"/>
              <w:start w:w="110" w:type="dxa"/>
              <w:bottom w:w="100" w:type="dxa"/>
              <w:end w:w="110" w:type="dxa"/>
            </w:tcMar>
          </w:tcPr>
          <w:p>
            <w:r>
              <w:rPr>
                <w:rFonts w:ascii="Aptos" w:hAnsi="Aptos"/>
                <w:color w:val="232C3E"/>
                <w:sz w:val="19"/>
              </w:rPr>
              <w:t>Create a NotebookLM notebook around a bounded source collection and maintain notes for synthesis and open questions.</w:t>
            </w:r>
          </w:p>
        </w:tc>
      </w:tr>
      <w:tr>
        <w:tc>
          <w:tcPr>
            <w:tcW w:type="dxa" w:w="4997"/>
            <w:tcMar>
              <w:top w:w="100" w:type="dxa"/>
              <w:start w:w="110" w:type="dxa"/>
              <w:bottom w:w="100" w:type="dxa"/>
              <w:end w:w="110" w:type="dxa"/>
            </w:tcMar>
          </w:tcPr>
          <w:p>
            <w:r>
              <w:rPr>
                <w:rFonts w:ascii="Aptos" w:hAnsi="Aptos"/>
                <w:b/>
                <w:color w:val="2F63E0"/>
                <w:sz w:val="19"/>
              </w:rPr>
              <w:t>Personal knowledge user</w:t>
            </w:r>
          </w:p>
        </w:tc>
        <w:tc>
          <w:tcPr>
            <w:tcW w:type="dxa" w:w="4997"/>
            <w:tcMar>
              <w:top w:w="100" w:type="dxa"/>
              <w:start w:w="110" w:type="dxa"/>
              <w:bottom w:w="100" w:type="dxa"/>
              <w:end w:w="110" w:type="dxa"/>
            </w:tcMar>
          </w:tcPr>
          <w:p>
            <w:r>
              <w:rPr>
                <w:rFonts w:ascii="Aptos" w:hAnsi="Aptos"/>
                <w:color w:val="232C3E"/>
                <w:sz w:val="19"/>
              </w:rPr>
              <w:t>Create an Obsidian vault with project, area, knowledge, decision, and prompt folders; build links as you learn.</w:t>
            </w:r>
          </w:p>
        </w:tc>
      </w:tr>
      <w:tr>
        <w:tc>
          <w:tcPr>
            <w:tcW w:type="dxa" w:w="4997"/>
            <w:tcMar>
              <w:top w:w="100" w:type="dxa"/>
              <w:start w:w="110" w:type="dxa"/>
              <w:bottom w:w="100" w:type="dxa"/>
              <w:end w:w="110" w:type="dxa"/>
            </w:tcMar>
          </w:tcPr>
          <w:p>
            <w:r>
              <w:rPr>
                <w:rFonts w:ascii="Aptos" w:hAnsi="Aptos"/>
                <w:b/>
                <w:color w:val="2F63E0"/>
                <w:sz w:val="19"/>
              </w:rPr>
              <w:t>Platform / architecture team</w:t>
            </w:r>
          </w:p>
        </w:tc>
        <w:tc>
          <w:tcPr>
            <w:tcW w:type="dxa" w:w="4997"/>
            <w:tcMar>
              <w:top w:w="100" w:type="dxa"/>
              <w:start w:w="110" w:type="dxa"/>
              <w:bottom w:w="100" w:type="dxa"/>
              <w:end w:w="110" w:type="dxa"/>
            </w:tcMar>
          </w:tcPr>
          <w:p>
            <w:r>
              <w:rPr>
                <w:rFonts w:ascii="Aptos" w:hAnsi="Aptos"/>
                <w:color w:val="232C3E"/>
                <w:sz w:val="19"/>
              </w:rPr>
              <w:t>Standardize source ownership, metadata, retrieval rules, and optionally a knowledge graph that multiple AI surfaces can query.</w:t>
            </w:r>
          </w:p>
        </w:tc>
      </w:tr>
    </w:tbl>
    <w:p>
      <w:pPr>
        <w:pStyle w:val="Heading1"/>
        <w:keepNext/>
      </w:pPr>
      <w:r>
        <w:rPr>
          <w:rFonts w:ascii="Aptos Display" w:hAnsi="Aptos Display"/>
          <w:b/>
          <w:color w:val="17243A"/>
          <w:sz w:val="44"/>
        </w:rPr>
        <w:t>15. Final principle</w:t>
      </w:r>
    </w:p>
    <w:tbl>
      <w:tblPr>
        <w:tblW w:type="auto" w:w="0"/>
        <w:jc w:val="center"/>
        <w:tblLayout w:type="fixed"/>
        <w:tblLook w:firstColumn="1" w:firstRow="1" w:lastColumn="0" w:lastRow="0" w:noHBand="0" w:noVBand="1" w:val="04A0"/>
      </w:tblPr>
      <w:tblGrid>
        <w:gridCol w:w="9936"/>
      </w:tblGrid>
      <w:tr>
        <w:trPr>
          <w:cantSplit/>
        </w:trPr>
        <w:tc>
          <w:tcPr>
            <w:tcW w:type="dxa" w:w="9994"/>
            <w:shd w:fill="F8FAFD"/>
            <w:tcMar>
              <w:top w:w="130" w:type="dxa"/>
              <w:start w:w="160" w:type="dxa"/>
              <w:bottom w:w="130" w:type="dxa"/>
              <w:end w:w="160" w:type="dxa"/>
            </w:tcMar>
          </w:tcPr>
          <w:p>
            <w:r>
              <w:rPr>
                <w:rFonts w:ascii="Aptos" w:hAnsi="Aptos"/>
                <w:b/>
                <w:color w:val="2F9E73"/>
                <w:sz w:val="21"/>
              </w:rPr>
              <w:t xml:space="preserve">The goal is not to create another place to store information.  </w:t>
            </w:r>
            <w:r>
              <w:rPr>
                <w:rFonts w:ascii="Aptos" w:hAnsi="Aptos"/>
                <w:color w:val="232C3E"/>
                <w:sz w:val="21"/>
              </w:rPr>
              <w:t>The goal is to make useful knowledge persistent, retrievable, evidence-backed, and reusable by the AI tools people already use. Start with the sources you trust, define what each source owns, retrieve narrowly, validate outputs, and feed only validated learning back into the Second Brain.</w:t>
            </w:r>
          </w:p>
        </w:tc>
      </w:tr>
    </w:tbl>
    <w:p>
      <w:pPr>
        <w:spacing w:after="0"/>
      </w:pPr>
    </w:p>
    <w:p>
      <w:pPr>
        <w:pStyle w:val="Heading1"/>
        <w:keepNext/>
      </w:pPr>
      <w:r>
        <w:rPr>
          <w:rFonts w:ascii="Aptos Display" w:hAnsi="Aptos Display"/>
          <w:b/>
          <w:color w:val="17243A"/>
          <w:sz w:val="44"/>
        </w:rPr>
        <w:t>References and current product notes</w:t>
      </w:r>
    </w:p>
    <w:p>
      <w:pPr>
        <w:spacing w:after="60"/>
      </w:pPr>
      <w:hyperlink r:id="rId11">
        <w:r>
          <w:rPr>
            <w:color w:val="2F63E0"/>
            <w:u w:val="single"/>
          </w:rPr>
          <w:t>1. GitHub Docs — Adding repository custom instructions for GitHub Copilot in your IDE</w:t>
        </w:r>
      </w:hyperlink>
    </w:p>
    <w:p>
      <w:pPr>
        <w:spacing w:after="60"/>
      </w:pPr>
      <w:hyperlink r:id="rId12">
        <w:r>
          <w:rPr>
            <w:color w:val="2F63E0"/>
            <w:u w:val="single"/>
          </w:rPr>
          <w:t>2. GitHub Docs — Copilot customization cheat sheet / prompt files</w:t>
        </w:r>
      </w:hyperlink>
    </w:p>
    <w:p>
      <w:pPr>
        <w:spacing w:after="60"/>
      </w:pPr>
      <w:hyperlink r:id="rId13">
        <w:r>
          <w:rPr>
            <w:color w:val="2F63E0"/>
            <w:u w:val="single"/>
          </w:rPr>
          <w:t>3. OpenAI Help — SharePoint app in ChatGPT</w:t>
        </w:r>
      </w:hyperlink>
    </w:p>
    <w:p>
      <w:pPr>
        <w:spacing w:after="60"/>
      </w:pPr>
      <w:hyperlink r:id="rId14">
        <w:r>
          <w:rPr>
            <w:color w:val="2F63E0"/>
            <w:u w:val="single"/>
          </w:rPr>
          <w:t>4. OpenAI Help — Outlook Email and Calendar app for ChatGPT</w:t>
        </w:r>
      </w:hyperlink>
    </w:p>
    <w:p>
      <w:pPr>
        <w:spacing w:after="60"/>
      </w:pPr>
      <w:hyperlink r:id="rId15">
        <w:r>
          <w:rPr>
            <w:color w:val="2F63E0"/>
            <w:u w:val="single"/>
          </w:rPr>
          <w:t>5. OpenAI Help — Microsoft Teams app for ChatGPT</w:t>
        </w:r>
      </w:hyperlink>
    </w:p>
    <w:p>
      <w:pPr>
        <w:spacing w:after="60"/>
      </w:pPr>
      <w:hyperlink r:id="rId16">
        <w:r>
          <w:rPr>
            <w:color w:val="2F63E0"/>
            <w:u w:val="single"/>
          </w:rPr>
          <w:t>6. OpenAI Help — ChatGPT apps with sync / admin controls</w:t>
        </w:r>
      </w:hyperlink>
    </w:p>
    <w:p>
      <w:pPr>
        <w:spacing w:after="60"/>
      </w:pPr>
      <w:hyperlink r:id="rId17">
        <w:r>
          <w:rPr>
            <w:color w:val="2F63E0"/>
            <w:u w:val="single"/>
          </w:rPr>
          <w:t>7. Google Help — Create a notebook in NotebookLM</w:t>
        </w:r>
      </w:hyperlink>
    </w:p>
    <w:p>
      <w:pPr>
        <w:spacing w:after="60"/>
      </w:pPr>
      <w:hyperlink r:id="rId18">
        <w:r>
          <w:rPr>
            <w:color w:val="2F63E0"/>
            <w:u w:val="single"/>
          </w:rPr>
          <w:t>8. Google Help — Add or discover sources for NotebookLM</w:t>
        </w:r>
      </w:hyperlink>
    </w:p>
    <w:p>
      <w:pPr>
        <w:spacing w:after="60"/>
      </w:pPr>
      <w:hyperlink r:id="rId19">
        <w:r>
          <w:rPr>
            <w:color w:val="2F63E0"/>
            <w:u w:val="single"/>
          </w:rPr>
          <w:t>9. Google Help — Use chat in NotebookLM</w:t>
        </w:r>
      </w:hyperlink>
    </w:p>
    <w:p>
      <w:pPr>
        <w:spacing w:after="60"/>
      </w:pPr>
      <w:hyperlink r:id="rId20">
        <w:r>
          <w:rPr>
            <w:color w:val="2F63E0"/>
            <w:u w:val="single"/>
          </w:rPr>
          <w:t>10. Obsidian Help — How Obsidian stores data</w:t>
        </w:r>
      </w:hyperlink>
    </w:p>
    <w:p>
      <w:pPr>
        <w:spacing w:after="60"/>
      </w:pPr>
      <w:hyperlink r:id="rId21">
        <w:r>
          <w:rPr>
            <w:color w:val="2F63E0"/>
            <w:u w:val="single"/>
          </w:rPr>
          <w:t>11. Obsidian Help — Create a vault / Markdown files</w:t>
        </w:r>
      </w:hyperlink>
    </w:p>
    <w:p>
      <w:pPr>
        <w:spacing w:after="0"/>
      </w:pPr>
      <w:r>
        <w:rPr>
          <w:rFonts w:ascii="Aptos" w:hAnsi="Aptos"/>
          <w:color w:val="232C3E"/>
        </w:rPr>
        <w:t>Product capabilities, availability, sync options, and admin controls can change. The examples above reflect official documentation reviewed in August 2026; enterprise users should confirm current workspace policy and administrator settings before implementation.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80"/>
        <w:sz w:val="16"/>
      </w:rPr>
      <w:t>Practical Guide to Building a Second Brain for AI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80"/>
        <w:sz w:val="16"/>
      </w:rPr>
      <w:t>SECOND BRAIN / PRACTICAL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C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copilot/how-tos/configure-custom-instructions-in-your-ide/add-repository-instructions-in-your-ide" TargetMode="External"/><Relationship Id="rId12" Type="http://schemas.openxmlformats.org/officeDocument/2006/relationships/hyperlink" Target="https://docs.github.com/en/copilot/reference/customization-cheat-sheet" TargetMode="External"/><Relationship Id="rId13" Type="http://schemas.openxmlformats.org/officeDocument/2006/relationships/hyperlink" Target="https://help.openai.com/en/articles/12143177-sharepoint-synced-connectors-setup" TargetMode="External"/><Relationship Id="rId14" Type="http://schemas.openxmlformats.org/officeDocument/2006/relationships/hyperlink" Target="https://help.openai.com/en/articles/12512241-outlook-email-and-calendar-connectors-for-chatgpt/" TargetMode="External"/><Relationship Id="rId15" Type="http://schemas.openxmlformats.org/officeDocument/2006/relationships/hyperlink" Target="https://help.openai.com/en/articles/12552368-microsoft-teams-connector-for-chatgpt/" TargetMode="External"/><Relationship Id="rId16" Type="http://schemas.openxmlformats.org/officeDocument/2006/relationships/hyperlink" Target="https://help.openai.com/en/articles/10847137-chatgpt-synced-connectors" TargetMode="External"/><Relationship Id="rId17" Type="http://schemas.openxmlformats.org/officeDocument/2006/relationships/hyperlink" Target="https://support.google.com/notebooklm/answer/16206563" TargetMode="External"/><Relationship Id="rId18" Type="http://schemas.openxmlformats.org/officeDocument/2006/relationships/hyperlink" Target="https://support.google.com/notebooklm/answer/16215270" TargetMode="External"/><Relationship Id="rId19" Type="http://schemas.openxmlformats.org/officeDocument/2006/relationships/hyperlink" Target="https://support.google.com/notebooklm/answer/16179559" TargetMode="External"/><Relationship Id="rId20" Type="http://schemas.openxmlformats.org/officeDocument/2006/relationships/hyperlink" Target="https://obsidian.md/help/data-storage" TargetMode="External"/><Relationship Id="rId21" Type="http://schemas.openxmlformats.org/officeDocument/2006/relationships/hyperlink" Target="https://obsidian.md/help/v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