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Kestrel Pricing Guide (Internal)</w:t>
      </w:r>
    </w:p>
    <w:p>
      <w:pPr>
        <w:pStyle w:val="Heading1"/>
      </w:pPr>
      <w:r>
        <w:t>Pricing model</w:t>
      </w:r>
    </w:p>
    <w:p>
      <w:r>
        <w:t>Annual platform fee plus a per-decision usage component. Specific numbers are deal-specific; engage the account team for a quote.</w:t>
      </w:r>
    </w:p>
    <w:p>
      <w:pPr>
        <w:pStyle w:val="Heading1"/>
      </w:pPr>
      <w:r>
        <w:t>Free trial</w:t>
      </w:r>
    </w:p>
    <w:p>
      <w:r>
        <w:t>No self-serve free trial. A scoped proof-of-concept is offered as part of the evaluation.</w:t>
      </w:r>
    </w:p>
    <w:p>
      <w:r>
        <w:t>Document last reviewed: 2026-05-30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