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Kestrel Security Posture</w:t>
      </w:r>
    </w:p>
    <w:p>
      <w:pPr>
        <w:pStyle w:val="Heading1"/>
      </w:pPr>
      <w:r>
        <w:t>SOC 2</w:t>
      </w:r>
    </w:p>
    <w:p>
      <w:r>
        <w:t>Kestrel maintains a SOC 2 Type II report, audited annually by a third party.</w:t>
      </w:r>
    </w:p>
    <w:p>
      <w:pPr>
        <w:pStyle w:val="Heading1"/>
      </w:pPr>
      <w:r>
        <w:t>Data hosting</w:t>
      </w:r>
    </w:p>
    <w:p>
      <w:r>
        <w:t>Kestrel runs on AWS in US regions (us-east-1 and us-west-2).</w:t>
      </w:r>
    </w:p>
    <w:p>
      <w:pPr>
        <w:pStyle w:val="Heading1"/>
      </w:pPr>
      <w:r>
        <w:t>EU data residency</w:t>
      </w:r>
    </w:p>
    <w:p>
      <w:r>
        <w:t>EU data residency is generally available for enterprise customers.</w:t>
      </w:r>
    </w:p>
    <w:p>
      <w:pPr>
        <w:pStyle w:val="Heading1"/>
      </w:pPr>
      <w:r>
        <w:t>Encryption</w:t>
      </w:r>
    </w:p>
    <w:p>
      <w:r>
        <w:t>Data is encrypted at rest with AES-256 and in transit with TLS 1.2 or higher.</w:t>
      </w:r>
    </w:p>
    <w:p>
      <w:r>
        <w:t>Document last reviewed: 2026-07-25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