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238250" cy="1600200"/>
            <wp:effectExtent t="0" r="0" b="0" l="0"/>
            <wp:docPr id="1" name="cbit_logo.png" descr="CBIT logo" title="CB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600200"/>
                    </a:xfrm>
                    <a:prstGeom prst="rect">
                      <a:avLst/>
                    </a:prstGeom>
                  </pic:spPr>
                </pic:pic>
              </a:graphicData>
            </a:graphic>
          </wp:inline>
        </w:drawing>
      </w:r>
    </w:p>
    <w:p>
      <w:pPr>
        <w:spacing w:after="60" w:before="0"/>
        <w:jc w:val="center"/>
      </w:pPr>
      <w:r>
        <w:rPr>
          <w:rFonts w:ascii="Times New Roman" w:cs="Times New Roman" w:eastAsia="Times New Roman" w:hAnsi="Times New Roman"/>
          <w:b/>
          <w:bCs/>
          <w:color w:val="000000"/>
          <w:sz w:val="40"/>
          <w:szCs w:val="40"/>
        </w:rPr>
        <w:t xml:space="preserve">CHAITANYA BHARATHI INSTITUTE OF TECHNOLOGY</w:t>
      </w:r>
    </w:p>
    <w:p>
      <w:pPr>
        <w:spacing w:after="60" w:before="0"/>
        <w:jc w:val="center"/>
      </w:pPr>
      <w:r>
        <w:rPr>
          <w:rFonts w:ascii="Times New Roman" w:cs="Times New Roman" w:eastAsia="Times New Roman" w:hAnsi="Times New Roman"/>
          <w:b/>
          <w:bCs/>
          <w:color w:val="000000"/>
          <w:sz w:val="28"/>
          <w:szCs w:val="28"/>
        </w:rPr>
        <w:t xml:space="preserve">(Autonomous)</w:t>
      </w:r>
    </w:p>
    <w:p>
      <w:pPr>
        <w:spacing w:after="300" w:before="0"/>
        <w:jc w:val="center"/>
      </w:pPr>
      <w:r>
        <w:rPr>
          <w:rFonts w:ascii="Times New Roman" w:cs="Times New Roman" w:eastAsia="Times New Roman" w:hAnsi="Times New Roman"/>
          <w:color w:val="000000"/>
          <w:sz w:val="26"/>
          <w:szCs w:val="26"/>
        </w:rPr>
        <w:t xml:space="preserve">Gandipet, Hyderabad - 500075, Telangana</w:t>
      </w:r>
    </w:p>
    <w:p>
      <w:pPr>
        <w:pBdr>
          <w:top w:val="single" w:color="000000" w:sz="12" w:space="1"/>
        </w:pBdr>
        <w:spacing w:after="240"/>
      </w:pPr>
    </w:p>
    <w:p>
      <w:pPr>
        <w:spacing w:after="120" w:before="0"/>
        <w:jc w:val="center"/>
      </w:pPr>
      <w:r>
        <w:rPr>
          <w:rFonts w:ascii="Times New Roman" w:cs="Times New Roman" w:eastAsia="Times New Roman" w:hAnsi="Times New Roman"/>
          <w:b/>
          <w:bCs/>
          <w:color w:val="000000"/>
          <w:sz w:val="32"/>
          <w:szCs w:val="32"/>
        </w:rPr>
        <w:t xml:space="preserve">FUNDAMENTALS OF DATA SCIENCE</w:t>
      </w:r>
    </w:p>
    <w:p>
      <w:pPr>
        <w:spacing w:after="240" w:before="0"/>
        <w:jc w:val="center"/>
      </w:pPr>
      <w:r>
        <w:rPr>
          <w:rFonts w:ascii="Times New Roman" w:cs="Times New Roman" w:eastAsia="Times New Roman" w:hAnsi="Times New Roman"/>
          <w:b/>
          <w:bCs/>
          <w:color w:val="000000"/>
          <w:sz w:val="36"/>
          <w:szCs w:val="36"/>
        </w:rPr>
        <w:t xml:space="preserve">CASE STUDY REPORT</w:t>
      </w:r>
    </w:p>
    <w:p>
      <w:pPr>
        <w:spacing w:after="100" w:before="0"/>
        <w:jc w:val="center"/>
      </w:pPr>
      <w:r>
        <w:rPr>
          <w:rFonts w:ascii="Times New Roman" w:cs="Times New Roman" w:eastAsia="Times New Roman" w:hAnsi="Times New Roman"/>
          <w:b/>
          <w:bCs/>
          <w:color w:val="000000"/>
          <w:sz w:val="28"/>
          <w:szCs w:val="28"/>
        </w:rPr>
        <w:t xml:space="preserve">Case Study 2: Clustering Analysis of East-West Airlines Customers</w:t>
      </w:r>
    </w:p>
    <w:p>
      <w:pPr>
        <w:spacing w:after="300" w:before="0"/>
        <w:jc w:val="center"/>
      </w:pPr>
      <w:r>
        <w:rPr>
          <w:rFonts w:ascii="Times New Roman" w:cs="Times New Roman" w:eastAsia="Times New Roman" w:hAnsi="Times New Roman"/>
          <w:b/>
          <w:bCs/>
          <w:color w:val="000000"/>
          <w:sz w:val="28"/>
          <w:szCs w:val="28"/>
        </w:rPr>
        <w:t xml:space="preserve">Case Study 5: Wine Quality Assessment Using Physicochemical Properties</w:t>
      </w:r>
    </w:p>
    <w:p>
      <w:pPr>
        <w:pBdr>
          <w:bottom w:val="single" w:color="000000" w:sz="12" w:space="1"/>
        </w:pBdr>
        <w:spacing w:after="300"/>
      </w:pP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
        <w:gridCol w:w="5600"/>
      </w:tblGrid>
      <w:tr>
        <w:tc>
          <w:tcPr>
            <w:tcW w:type="dxa" w:w="30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b/>
                <w:bCs/>
                <w:color w:val="000000"/>
                <w:sz w:val="26"/>
                <w:szCs w:val="26"/>
              </w:rPr>
              <w:t xml:space="preserve">Name</w:t>
            </w:r>
          </w:p>
        </w:tc>
        <w:tc>
          <w:tcPr>
            <w:tcW w:type="dxa" w:w="4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000000"/>
                <w:sz w:val="26"/>
                <w:szCs w:val="26"/>
              </w:rPr>
              <w:t xml:space="preserve">:</w:t>
            </w:r>
          </w:p>
        </w:tc>
        <w:tc>
          <w:tcPr>
            <w:tcW w:type="dxa" w:w="56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color w:val="000000"/>
                <w:sz w:val="26"/>
                <w:szCs w:val="26"/>
              </w:rPr>
              <w:t xml:space="preserve">Deekonda Bhavesh</w:t>
            </w:r>
          </w:p>
        </w:tc>
      </w:tr>
      <w:tr>
        <w:tc>
          <w:tcPr>
            <w:tcW w:type="dxa" w:w="30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b/>
                <w:bCs/>
                <w:color w:val="000000"/>
                <w:sz w:val="26"/>
                <w:szCs w:val="26"/>
              </w:rPr>
              <w:t xml:space="preserve">Roll No</w:t>
            </w:r>
          </w:p>
        </w:tc>
        <w:tc>
          <w:tcPr>
            <w:tcW w:type="dxa" w:w="4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000000"/>
                <w:sz w:val="26"/>
                <w:szCs w:val="26"/>
              </w:rPr>
              <w:t xml:space="preserve">:</w:t>
            </w:r>
          </w:p>
        </w:tc>
        <w:tc>
          <w:tcPr>
            <w:tcW w:type="dxa" w:w="56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color w:val="000000"/>
                <w:sz w:val="26"/>
                <w:szCs w:val="26"/>
              </w:rPr>
              <w:t xml:space="preserve">160124733170</w:t>
            </w:r>
          </w:p>
        </w:tc>
      </w:tr>
      <w:tr>
        <w:tc>
          <w:tcPr>
            <w:tcW w:type="dxa" w:w="30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b/>
                <w:bCs/>
                <w:color w:val="000000"/>
                <w:sz w:val="26"/>
                <w:szCs w:val="26"/>
              </w:rPr>
              <w:t xml:space="preserve">Section</w:t>
            </w:r>
          </w:p>
        </w:tc>
        <w:tc>
          <w:tcPr>
            <w:tcW w:type="dxa" w:w="4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000000"/>
                <w:sz w:val="26"/>
                <w:szCs w:val="26"/>
              </w:rPr>
              <w:t xml:space="preserve">:</w:t>
            </w:r>
          </w:p>
        </w:tc>
        <w:tc>
          <w:tcPr>
            <w:tcW w:type="dxa" w:w="56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color w:val="000000"/>
                <w:sz w:val="26"/>
                <w:szCs w:val="26"/>
              </w:rPr>
              <w:t xml:space="preserve">CSE-3</w:t>
            </w:r>
          </w:p>
        </w:tc>
      </w:tr>
      <w:tr>
        <w:tc>
          <w:tcPr>
            <w:tcW w:type="dxa" w:w="30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b/>
                <w:bCs/>
                <w:color w:val="000000"/>
                <w:sz w:val="26"/>
                <w:szCs w:val="26"/>
              </w:rPr>
              <w:t xml:space="preserve">Year</w:t>
            </w:r>
          </w:p>
        </w:tc>
        <w:tc>
          <w:tcPr>
            <w:tcW w:type="dxa" w:w="4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000000"/>
                <w:sz w:val="26"/>
                <w:szCs w:val="26"/>
              </w:rPr>
              <w:t xml:space="preserve">:</w:t>
            </w:r>
          </w:p>
        </w:tc>
        <w:tc>
          <w:tcPr>
            <w:tcW w:type="dxa" w:w="56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color w:val="000000"/>
                <w:sz w:val="26"/>
                <w:szCs w:val="26"/>
              </w:rPr>
              <w:t xml:space="preserve">III Year</w:t>
            </w:r>
          </w:p>
        </w:tc>
      </w:tr>
      <w:tr>
        <w:tc>
          <w:tcPr>
            <w:tcW w:type="dxa" w:w="30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b/>
                <w:bCs/>
                <w:color w:val="000000"/>
                <w:sz w:val="26"/>
                <w:szCs w:val="26"/>
              </w:rPr>
              <w:t xml:space="preserve">Subject</w:t>
            </w:r>
          </w:p>
        </w:tc>
        <w:tc>
          <w:tcPr>
            <w:tcW w:type="dxa" w:w="4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000000"/>
                <w:sz w:val="26"/>
                <w:szCs w:val="26"/>
              </w:rPr>
              <w:t xml:space="preserve">:</w:t>
            </w:r>
          </w:p>
        </w:tc>
        <w:tc>
          <w:tcPr>
            <w:tcW w:type="dxa" w:w="56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color w:val="000000"/>
                <w:sz w:val="26"/>
                <w:szCs w:val="26"/>
              </w:rPr>
              <w:t xml:space="preserve">Fundamentals of Data Science</w:t>
            </w:r>
          </w:p>
        </w:tc>
      </w:tr>
      <w:tr>
        <w:tc>
          <w:tcPr>
            <w:tcW w:type="dxa" w:w="30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b/>
                <w:bCs/>
                <w:color w:val="000000"/>
                <w:sz w:val="26"/>
                <w:szCs w:val="26"/>
              </w:rPr>
              <w:t xml:space="preserve">Faculty Name</w:t>
            </w:r>
          </w:p>
        </w:tc>
        <w:tc>
          <w:tcPr>
            <w:tcW w:type="dxa" w:w="4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000000"/>
                <w:sz w:val="26"/>
                <w:szCs w:val="26"/>
              </w:rPr>
              <w:t xml:space="preserve">:</w:t>
            </w:r>
          </w:p>
        </w:tc>
        <w:tc>
          <w:tcPr>
            <w:tcW w:type="dxa" w:w="56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Times New Roman" w:cs="Times New Roman" w:eastAsia="Times New Roman" w:hAnsi="Times New Roman"/>
                <w:color w:val="000000"/>
                <w:sz w:val="26"/>
                <w:szCs w:val="26"/>
              </w:rPr>
              <w:t xml:space="preserve">S. Durga Devi</w:t>
            </w:r>
          </w:p>
        </w:tc>
      </w:tr>
    </w:tbl>
    <w:p>
      <w:pPr>
        <w:sectPr>
          <w:pgSz w:w="11906" w:h="16838" w:orient="portrait"/>
          <w:pgMar w:top="1440" w:right="1440" w:bottom="1440" w:left="1440" w:header="708" w:footer="708" w:gutter="0"/>
          <w:pgNumType/>
          <w:docGrid w:linePitch="360"/>
        </w:sectPr>
      </w:pPr>
    </w:p>
    <w:p>
      <w:pPr>
        <w:pStyle w:val="Heading1"/>
        <w:pageBreakBefore/>
        <w:pBdr>
          <w:bottom w:val="single" w:color="000000" w:sz="8" w:space="6"/>
        </w:pBdr>
        <w:spacing w:after="300" w:before="0"/>
        <w:jc w:val="center"/>
      </w:pPr>
      <w:r>
        <w:rPr>
          <w:rFonts w:ascii="Times New Roman" w:cs="Times New Roman" w:eastAsia="Times New Roman" w:hAnsi="Times New Roman"/>
          <w:b/>
          <w:bCs/>
          <w:color w:val="000000"/>
          <w:sz w:val="32"/>
          <w:szCs w:val="32"/>
        </w:rPr>
        <w:t xml:space="preserve">CASE STUDY 2: CLUSTERING ANALYSIS OF EAST-WEST AIRLINES</w:t>
      </w:r>
    </w:p>
    <w:p>
      <w:pPr>
        <w:pStyle w:val="Heading2"/>
        <w:keepNext/>
        <w:spacing w:after="140" w:before="300"/>
      </w:pPr>
      <w:r>
        <w:rPr>
          <w:rFonts w:ascii="Times New Roman" w:cs="Times New Roman" w:eastAsia="Times New Roman" w:hAnsi="Times New Roman"/>
          <w:b/>
          <w:bCs/>
          <w:color w:val="000000"/>
          <w:sz w:val="28"/>
          <w:szCs w:val="28"/>
        </w:rPr>
        <w:t xml:space="preserve">1. Problem Statement</w:t>
      </w:r>
    </w:p>
    <w:p>
      <w:pPr>
        <w:spacing w:after="140" w:line="312"/>
        <w:jc w:val="both"/>
      </w:pPr>
      <w:r>
        <w:rPr>
          <w:rFonts w:ascii="Times New Roman" w:cs="Times New Roman" w:eastAsia="Times New Roman" w:hAnsi="Times New Roman"/>
          <w:color w:val="000000"/>
          <w:sz w:val="24"/>
          <w:szCs w:val="24"/>
        </w:rPr>
        <w:t xml:space="preserve">East-West Airlines wants to understand its customers better. The airline is mainly interested in how customers fly, how they earn and use frequent flyer miles, and how they use the airline credit cards. The task is to divide the customers into groups (segments) so that the airline can treat each group in a suitable way.</w:t>
      </w:r>
    </w:p>
    <w:p>
      <w:pPr>
        <w:spacing w:after="140" w:line="312"/>
        <w:jc w:val="both"/>
      </w:pPr>
      <w:r>
        <w:rPr>
          <w:rFonts w:ascii="Times New Roman" w:cs="Times New Roman" w:eastAsia="Times New Roman" w:hAnsi="Times New Roman"/>
          <w:color w:val="000000"/>
          <w:sz w:val="24"/>
          <w:szCs w:val="24"/>
        </w:rPr>
        <w:t xml:space="preserve">Since the data has no ready-made group labels, this is an unsupervised learning problem. Three clustering methods are applied and compared: K-Means, Hierarchical clustering and DBSCAN. The work covers data cleaning, exploratory analysis, parameter selection, visualization, interpretation of the clusters and evaluation with the silhouette score.</w:t>
      </w:r>
    </w:p>
    <w:p>
      <w:pPr>
        <w:pStyle w:val="Heading2"/>
        <w:keepNext/>
        <w:spacing w:after="140" w:before="300"/>
      </w:pPr>
      <w:r>
        <w:rPr>
          <w:rFonts w:ascii="Times New Roman" w:cs="Times New Roman" w:eastAsia="Times New Roman" w:hAnsi="Times New Roman"/>
          <w:b/>
          <w:bCs/>
          <w:color w:val="000000"/>
          <w:sz w:val="28"/>
          <w:szCs w:val="28"/>
        </w:rPr>
        <w:t xml:space="preserve">2. Dataset Description</w:t>
      </w:r>
    </w:p>
    <w:p>
      <w:pPr>
        <w:spacing w:after="140" w:line="312"/>
        <w:jc w:val="both"/>
      </w:pPr>
      <w:r>
        <w:rPr>
          <w:rFonts w:ascii="Times New Roman" w:cs="Times New Roman" w:eastAsia="Times New Roman" w:hAnsi="Times New Roman"/>
          <w:color w:val="000000"/>
          <w:sz w:val="24"/>
          <w:szCs w:val="24"/>
        </w:rPr>
        <w:t xml:space="preserve">The dataset has 3,999 customers and 12 columns. The ID column only identifies a customer, so it was not used for clustering. Table 1 explains the remaining columns.</w:t>
      </w:r>
    </w:p>
    <w:p>
      <w:pPr>
        <w:keepNext/>
        <w:spacing w:after="100" w:before="160"/>
        <w:jc w:val="center"/>
      </w:pPr>
      <w:r>
        <w:rPr>
          <w:rFonts w:ascii="Times New Roman" w:cs="Times New Roman" w:eastAsia="Times New Roman" w:hAnsi="Times New Roman"/>
          <w:b/>
          <w:bCs/>
          <w:color w:val="000000"/>
          <w:sz w:val="22"/>
          <w:szCs w:val="22"/>
        </w:rPr>
        <w:t xml:space="preserve">Table 1: Description of the airline dataset columns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Column</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Meaning</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Balance</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Miles available for award travel</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Qual_miles</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Miles that count towards Topflight status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cc1_miles</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Miles earned with the frequent flyer credit card (category 1 to 5)</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cc2_miles</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Miles earned with the rewards credit card (category 1 to 5)</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cc3_miles</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Miles earned with the small business credit card (category 1 to 5)</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Bonus_miles</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Miles earned from non-flight bonus transactions in the last 12 months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Bonus_trans</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Number of non-flight bonus transactions in the last 12 months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Flight_miles_12mo</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Flight miles in the last 12 months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Flight_trans_12</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Number of flight transactions in the last 12 months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Days_since_enroll</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Number of days since the customer enrolled in the programme</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Award?</w:t>
            </w:r>
          </w:p>
        </w:tc>
        <w:tc>
          <w:tcPr>
            <w:tcW w:type="dxa" w:w="6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1 if the customer has received an award, otherwise 0</w:t>
            </w:r>
          </w:p>
        </w:tc>
      </w:tr>
    </w:tbl>
    <w:p>
      <w:pPr>
        <w:spacing w:after="160"/>
      </w:pPr>
    </w:p>
    <w:p>
      <w:pPr>
        <w:pStyle w:val="Heading2"/>
        <w:keepNext/>
        <w:spacing w:after="140" w:before="300"/>
      </w:pPr>
      <w:r>
        <w:rPr>
          <w:rFonts w:ascii="Times New Roman" w:cs="Times New Roman" w:eastAsia="Times New Roman" w:hAnsi="Times New Roman"/>
          <w:b/>
          <w:bCs/>
          <w:color w:val="000000"/>
          <w:sz w:val="28"/>
          <w:szCs w:val="28"/>
        </w:rPr>
        <w:t xml:space="preserve">3. Methodology</w:t>
      </w:r>
    </w:p>
    <w:p>
      <w:pPr>
        <w:pStyle w:val="Heading3"/>
        <w:keepNext/>
        <w:spacing w:after="100" w:before="200"/>
      </w:pPr>
      <w:r>
        <w:rPr>
          <w:rFonts w:ascii="Times New Roman" w:cs="Times New Roman" w:eastAsia="Times New Roman" w:hAnsi="Times New Roman"/>
          <w:b/>
          <w:bCs/>
          <w:color w:val="000000"/>
          <w:sz w:val="24"/>
          <w:szCs w:val="24"/>
        </w:rPr>
        <w:t xml:space="preserve">3.1 Data Preprocessing</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Missing values and duplicates: The data was checked for empty cells and repeated rows. None were found.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Selecting features: The ID column was dropped. The Award? column was kept aside and used only to describe the clusters afterwards. The other ten columns were used for clustering.</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Outlier removal: A few customers had extremely large values, for example a balance of more than 1.7 million miles. For the five columns Balance, Bonus_miles, Bonus_trans, Flight_miles_12mo and Flight_trans_12, a z-score was calculated, and customers with a z-score above 5 in any of these columns were removed. This removed 85 customers (about 2.1 percent) and left 3,914 customers.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Scaling: Clustering methods depend on distance, and the columns have very different ranges (balance is in lakhs while cc2_miles is between 1 and 3). So all ten features were standardized to have mean 0 and standard deviation 1.</w:t>
      </w:r>
    </w:p>
    <w:p>
      <w:pPr>
        <w:pStyle w:val="Heading3"/>
        <w:keepNext/>
        <w:spacing w:after="100" w:before="200"/>
      </w:pPr>
      <w:r>
        <w:rPr>
          <w:rFonts w:ascii="Times New Roman" w:cs="Times New Roman" w:eastAsia="Times New Roman" w:hAnsi="Times New Roman"/>
          <w:b/>
          <w:bCs/>
          <w:color w:val="000000"/>
          <w:sz w:val="24"/>
          <w:szCs w:val="24"/>
        </w:rPr>
        <w:t xml:space="preserve">3.2 Clustering Methods Used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K-Means: Customers are assigned to the nearest of K centres, and the centres are updated until they settle. The best K was studied using the elbow curve and silhouette scores for K from 2 to 10.</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Hierarchical clustering: Customers are merged step by step into larger groups, and the process is shown as a dendrogram. Four linkage types (Ward, complete, average and single) were compared.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DBSCAN: Groups are formed in dense regions, and customers in sparse regions are marked as noise. The values of epsilon (the neighbourhood radius) and minPts (the minimum points needed) were chosen with a k-distance plot and a small parameter search.</w:t>
      </w:r>
    </w:p>
    <w:p>
      <w:pPr>
        <w:pStyle w:val="Heading3"/>
        <w:keepNext/>
        <w:spacing w:after="100" w:before="200"/>
      </w:pPr>
      <w:r>
        <w:rPr>
          <w:rFonts w:ascii="Times New Roman" w:cs="Times New Roman" w:eastAsia="Times New Roman" w:hAnsi="Times New Roman"/>
          <w:b/>
          <w:bCs/>
          <w:color w:val="000000"/>
          <w:sz w:val="24"/>
          <w:szCs w:val="24"/>
        </w:rPr>
        <w:t xml:space="preserve">3.3 Evaluation and Visualization</w:t>
      </w:r>
    </w:p>
    <w:p>
      <w:pPr>
        <w:spacing w:after="140" w:line="312"/>
        <w:jc w:val="both"/>
      </w:pPr>
      <w:r>
        <w:rPr>
          <w:rFonts w:ascii="Times New Roman" w:cs="Times New Roman" w:eastAsia="Times New Roman" w:hAnsi="Times New Roman"/>
          <w:color w:val="000000"/>
          <w:sz w:val="24"/>
          <w:szCs w:val="24"/>
        </w:rPr>
        <w:t xml:space="preserve">The silhouette score was used to judge each result. It lies between -1 and 1, and a higher value means that customers sit well inside their own cluster and far from other clusters. To draw the clusters on a flat page, the ten features were reduced to two Principal Components using PCA. All work was done in Python using pandas, NumPy, matplotlib, SciPy and scikit-learn.</w:t>
      </w:r>
    </w:p>
    <w:p>
      <w:pPr>
        <w:pStyle w:val="Heading2"/>
        <w:keepNext/>
        <w:spacing w:after="140" w:before="300"/>
      </w:pPr>
      <w:r>
        <w:rPr>
          <w:rFonts w:ascii="Times New Roman" w:cs="Times New Roman" w:eastAsia="Times New Roman" w:hAnsi="Times New Roman"/>
          <w:b/>
          <w:bCs/>
          <w:color w:val="000000"/>
          <w:sz w:val="28"/>
          <w:szCs w:val="28"/>
        </w:rPr>
        <w:t xml:space="preserve">4. Statistical Findings</w:t>
      </w:r>
    </w:p>
    <w:p>
      <w:pPr>
        <w:pStyle w:val="Heading3"/>
        <w:keepNext/>
        <w:spacing w:after="100" w:before="200"/>
      </w:pPr>
      <w:r>
        <w:rPr>
          <w:rFonts w:ascii="Times New Roman" w:cs="Times New Roman" w:eastAsia="Times New Roman" w:hAnsi="Times New Roman"/>
          <w:b/>
          <w:bCs/>
          <w:color w:val="000000"/>
          <w:sz w:val="24"/>
          <w:szCs w:val="24"/>
        </w:rPr>
        <w:t xml:space="preserve">4.1 Effect of Outlier Removal</w:t>
      </w:r>
    </w:p>
    <w:p>
      <w:pPr>
        <w:spacing w:after="140" w:line="312"/>
        <w:jc w:val="both"/>
      </w:pPr>
      <w:r>
        <w:rPr>
          <w:rFonts w:ascii="Times New Roman" w:cs="Times New Roman" w:eastAsia="Times New Roman" w:hAnsi="Times New Roman"/>
          <w:color w:val="000000"/>
          <w:sz w:val="24"/>
          <w:szCs w:val="24"/>
        </w:rPr>
        <w:t xml:space="preserve">Figure 1 shows the box plots of the five columns before removing outliers. Many dots appear far above the boxes, which means a small number of customers have very large balances, bonus miles and flight activity. Such customers can pull the cluster centres towards them, so they were removed. Table 2 shows the columns after cleaning.</w:t>
      </w:r>
    </w:p>
    <w:p>
      <w:pPr>
        <w:keepNext/>
        <w:spacing w:after="80" w:before="160"/>
        <w:jc w:val="center"/>
      </w:pPr>
      <w:r>
        <w:drawing>
          <wp:inline distT="0" distB="0" distL="0" distR="0">
            <wp:extent cx="4572000" cy="3038475"/>
            <wp:effectExtent t="0" r="0" b="0" l="0"/>
            <wp:docPr id="1" name="cs2_boxplots_before.png" descr="Box plots of key columns before outlier removal" title="Box plots of key columns before outlier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38475"/>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 Box plots of key columns before outlier removal</w:t>
      </w:r>
    </w:p>
    <w:p>
      <w:pPr>
        <w:keepNext/>
        <w:spacing w:after="100" w:before="160"/>
        <w:jc w:val="center"/>
      </w:pPr>
      <w:r>
        <w:rPr>
          <w:rFonts w:ascii="Times New Roman" w:cs="Times New Roman" w:eastAsia="Times New Roman" w:hAnsi="Times New Roman"/>
          <w:b/>
          <w:bCs/>
          <w:color w:val="000000"/>
          <w:sz w:val="22"/>
          <w:szCs w:val="22"/>
        </w:rPr>
        <w:t xml:space="preserve">Table 2: Summary of key columns after outlier removal (3,914 customers)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cantSplit/>
          <w:tblHeader/>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Column</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Mean</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Std Dev</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Median</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Max</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Balance</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67,155</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75,024</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41,360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568,174</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Bonus_miles</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16,108</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21,262</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6,778</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136,704</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Bonus_trans</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11.19</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9.00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12</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53</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Flight_miles_12mo</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346.8</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878.8</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7,450</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Flight_trans_12</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1.05</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2.52</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The mean is much larger than the median for Balance, Bonus_miles and the flight columns. This shows that most customers have small values and a few have large ones.</w:t>
      </w:r>
    </w:p>
    <w:p>
      <w:pPr>
        <w:pStyle w:val="Heading3"/>
        <w:keepNext/>
        <w:spacing w:after="100" w:before="200"/>
      </w:pPr>
      <w:r>
        <w:rPr>
          <w:rFonts w:ascii="Times New Roman" w:cs="Times New Roman" w:eastAsia="Times New Roman" w:hAnsi="Times New Roman"/>
          <w:b/>
          <w:bCs/>
          <w:color w:val="000000"/>
          <w:sz w:val="24"/>
          <w:szCs w:val="24"/>
        </w:rPr>
        <w:t xml:space="preserve">4.2 Distribution of the Features</w:t>
      </w:r>
    </w:p>
    <w:p>
      <w:pPr>
        <w:keepNext/>
        <w:spacing w:after="80" w:before="160"/>
        <w:jc w:val="center"/>
      </w:pPr>
      <w:r>
        <w:drawing>
          <wp:inline distT="0" distB="0" distL="0" distR="0">
            <wp:extent cx="4476750" cy="3733800"/>
            <wp:effectExtent t="0" r="0" b="0" l="0"/>
            <wp:docPr id="1" name="cs2_histograms.png" descr="Histograms of the numeric features" title="Histograms of the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7338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2: Histograms of the numeric features</w:t>
      </w:r>
    </w:p>
    <w:p>
      <w:pPr>
        <w:spacing w:after="140" w:line="312"/>
        <w:jc w:val="both"/>
      </w:pPr>
      <w:r>
        <w:rPr>
          <w:rFonts w:ascii="Times New Roman" w:cs="Times New Roman" w:eastAsia="Times New Roman" w:hAnsi="Times New Roman"/>
          <w:color w:val="000000"/>
          <w:sz w:val="24"/>
          <w:szCs w:val="24"/>
        </w:rPr>
        <w:t xml:space="preserve">Figure 2 shows that Balance, Qual_miles, Bonus_miles, Flight_miles_12mo and Flight_trans_12 are strongly right skewed. The skewness values are 2.44, 7.78, 1.95, 3.93 and 3.66 respectively. A very large number of customers have zero flight miles (69.4 percent) and zero qualifying miles (94.8 percent). This means that most customers earn their miles in ways other than flying. Bonus_trans is spread more evenly with two visible peaks, and Days_since_enroll is almost symmetric (skewness 0.12), so the customers joined at a fairly steady rate over the years.</w:t>
      </w:r>
    </w:p>
    <w:p>
      <w:pPr>
        <w:pStyle w:val="Heading3"/>
        <w:keepNext/>
        <w:spacing w:after="100" w:before="200"/>
      </w:pPr>
      <w:r>
        <w:rPr>
          <w:rFonts w:ascii="Times New Roman" w:cs="Times New Roman" w:eastAsia="Times New Roman" w:hAnsi="Times New Roman"/>
          <w:b/>
          <w:bCs/>
          <w:color w:val="000000"/>
          <w:sz w:val="24"/>
          <w:szCs w:val="24"/>
        </w:rPr>
        <w:t xml:space="preserve">4.3 Credit Card Mile Categories</w:t>
      </w:r>
    </w:p>
    <w:p>
      <w:pPr>
        <w:keepNext/>
        <w:spacing w:after="80" w:before="160"/>
        <w:jc w:val="center"/>
      </w:pPr>
      <w:r>
        <w:drawing>
          <wp:inline distT="0" distB="0" distL="0" distR="0">
            <wp:extent cx="4762500" cy="1771650"/>
            <wp:effectExtent t="0" r="0" b="0" l="0"/>
            <wp:docPr id="1" name="cs2_card_categories.png" descr="Number of customers in each miles category for the three credit cards" title="Number of customers in each miles category for the three credi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7165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3: Number of customers in each miles category for the three credit cards</w:t>
      </w:r>
    </w:p>
    <w:p>
      <w:pPr>
        <w:spacing w:after="140" w:line="312"/>
        <w:jc w:val="both"/>
      </w:pPr>
      <w:r>
        <w:rPr>
          <w:rFonts w:ascii="Times New Roman" w:cs="Times New Roman" w:eastAsia="Times New Roman" w:hAnsi="Times New Roman"/>
          <w:color w:val="000000"/>
          <w:sz w:val="24"/>
          <w:szCs w:val="24"/>
        </w:rPr>
        <w:t xml:space="preserve">Figure 3 shows that the frequent flyer card (cc1) is the only card with real variety. About 57.5 percent of customers are in category 1, and the rest are spread over categories 2 to 5. For the rewards card and the small business card, 98.9 percent and 99.6 percent of customers are in category 1. These two columns therefore carry very little information to separate customers.</w:t>
      </w:r>
    </w:p>
    <w:p>
      <w:pPr>
        <w:pStyle w:val="Heading3"/>
        <w:keepNext/>
        <w:spacing w:after="100" w:before="200"/>
      </w:pPr>
      <w:r>
        <w:rPr>
          <w:rFonts w:ascii="Times New Roman" w:cs="Times New Roman" w:eastAsia="Times New Roman" w:hAnsi="Times New Roman"/>
          <w:b/>
          <w:bCs/>
          <w:color w:val="000000"/>
          <w:sz w:val="24"/>
          <w:szCs w:val="24"/>
        </w:rPr>
        <w:t xml:space="preserve">4.4 Award Status</w:t>
      </w:r>
    </w:p>
    <w:p>
      <w:pPr>
        <w:keepNext/>
        <w:spacing w:after="80" w:before="160"/>
        <w:jc w:val="center"/>
      </w:pPr>
      <w:r>
        <w:drawing>
          <wp:inline distT="0" distB="0" distL="0" distR="0">
            <wp:extent cx="2857500" cy="2419350"/>
            <wp:effectExtent t="0" r="0" b="0" l="0"/>
            <wp:docPr id="1" name="cs2_award_status.png" descr="Number of customers by award status" title="Number of customers by awar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41935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4: Number of customers by award status</w:t>
      </w:r>
    </w:p>
    <w:p>
      <w:pPr>
        <w:spacing w:after="140" w:line="312"/>
        <w:jc w:val="both"/>
      </w:pPr>
      <w:r>
        <w:rPr>
          <w:rFonts w:ascii="Times New Roman" w:cs="Times New Roman" w:eastAsia="Times New Roman" w:hAnsi="Times New Roman"/>
          <w:color w:val="000000"/>
          <w:sz w:val="24"/>
          <w:szCs w:val="24"/>
        </w:rPr>
        <w:t xml:space="preserve">Out of 3,914 customers, 1,406 (35.9 percent) have received an award and 2,508 (64.1 percent) have not. The two groups are not equal in size, but both are large enough to study.</w:t>
      </w:r>
    </w:p>
    <w:p>
      <w:pPr>
        <w:pStyle w:val="Heading3"/>
        <w:keepNext/>
        <w:spacing w:after="100" w:before="200"/>
      </w:pPr>
      <w:r>
        <w:rPr>
          <w:rFonts w:ascii="Times New Roman" w:cs="Times New Roman" w:eastAsia="Times New Roman" w:hAnsi="Times New Roman"/>
          <w:b/>
          <w:bCs/>
          <w:color w:val="000000"/>
          <w:sz w:val="24"/>
          <w:szCs w:val="24"/>
        </w:rPr>
        <w:t xml:space="preserve">4.5 Correlation Between Features</w:t>
      </w:r>
    </w:p>
    <w:p>
      <w:pPr>
        <w:keepNext/>
        <w:spacing w:after="80" w:before="160"/>
        <w:jc w:val="center"/>
      </w:pPr>
      <w:r>
        <w:drawing>
          <wp:inline distT="0" distB="0" distL="0" distR="0">
            <wp:extent cx="4029075" cy="3429000"/>
            <wp:effectExtent t="0" r="0" b="0" l="0"/>
            <wp:docPr id="1" name="cs2_heatmap.png" descr="Correlation heatmap of the airline customer features" title="Correlation heatmap of the airline customer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29075" cy="34290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5: Correlation heatmap of the airline customer features</w:t>
      </w:r>
    </w:p>
    <w:p>
      <w:pPr>
        <w:spacing w:after="140" w:line="312"/>
        <w:jc w:val="both"/>
      </w:pPr>
      <w:r>
        <w:rPr>
          <w:rFonts w:ascii="Times New Roman" w:cs="Times New Roman" w:eastAsia="Times New Roman" w:hAnsi="Times New Roman"/>
          <w:color w:val="000000"/>
          <w:sz w:val="24"/>
          <w:szCs w:val="24"/>
        </w:rPr>
        <w:t xml:space="preserve">Figure 5 shows several strong relationships. Bonus_miles and cc1_miles are strongly related (0.88), and so are Flight_miles_12mo and Flight_trans_12 (0.87). Bonus_miles and Bonus_trans have a moderate relationship (0.63). Balance moves with Bonus_miles (0.44) and with Days_since_enroll (0.27), which is natural because customers who earn more and stay longer collect more miles. The Award? column is related most to Bonus_trans (0.31) and to Flight_trans_12 (0.24). These relationships suggest that the customers can be separated by their bonus activity and their flying activity.</w:t>
      </w:r>
    </w:p>
    <w:p>
      <w:pPr>
        <w:keepNext/>
        <w:spacing w:after="80" w:before="160"/>
        <w:jc w:val="center"/>
      </w:pPr>
      <w:r>
        <w:drawing>
          <wp:inline distT="0" distB="0" distL="0" distR="0">
            <wp:extent cx="4000500" cy="3276600"/>
            <wp:effectExtent t="0" r="0" b="0" l="0"/>
            <wp:docPr id="1" name="cs2_scatter_pairs.png" descr="Scatter plots of four pairs of related features" title="Scatter plots of four pairs of relat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2766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6: Scatter plots of four pairs of related features</w:t>
      </w:r>
    </w:p>
    <w:p>
      <w:pPr>
        <w:spacing w:after="140" w:line="312"/>
        <w:jc w:val="both"/>
      </w:pPr>
      <w:r>
        <w:rPr>
          <w:rFonts w:ascii="Times New Roman" w:cs="Times New Roman" w:eastAsia="Times New Roman" w:hAnsi="Times New Roman"/>
          <w:color w:val="000000"/>
          <w:sz w:val="24"/>
          <w:szCs w:val="24"/>
        </w:rPr>
        <w:t xml:space="preserve">Figure 6 supports the heatmap. Flight miles rise steadily with the number of flight transactions. Bonus miles rise with bonus transactions but with a wide spread. Most points are packed near the bottom-left corner, which is the group of low-activity customers, while a smaller number of points stretch outward. This pattern hints at at least two or three natural groups.</w:t>
      </w:r>
    </w:p>
    <w:p>
      <w:pPr>
        <w:pStyle w:val="Heading2"/>
        <w:keepNext/>
        <w:spacing w:after="140" w:before="300"/>
      </w:pPr>
      <w:r>
        <w:rPr>
          <w:rFonts w:ascii="Times New Roman" w:cs="Times New Roman" w:eastAsia="Times New Roman" w:hAnsi="Times New Roman"/>
          <w:b/>
          <w:bCs/>
          <w:color w:val="000000"/>
          <w:sz w:val="28"/>
          <w:szCs w:val="28"/>
        </w:rPr>
        <w:t xml:space="preserve">5. Model Evaluation</w:t>
      </w:r>
    </w:p>
    <w:p>
      <w:pPr>
        <w:pStyle w:val="Heading3"/>
        <w:keepNext/>
        <w:spacing w:after="100" w:before="200"/>
      </w:pPr>
      <w:r>
        <w:rPr>
          <w:rFonts w:ascii="Times New Roman" w:cs="Times New Roman" w:eastAsia="Times New Roman" w:hAnsi="Times New Roman"/>
          <w:b/>
          <w:bCs/>
          <w:color w:val="000000"/>
          <w:sz w:val="24"/>
          <w:szCs w:val="24"/>
        </w:rPr>
        <w:t xml:space="preserve">5.1 K-Means Clustering</w:t>
      </w:r>
    </w:p>
    <w:p>
      <w:pPr>
        <w:spacing w:after="140" w:line="312"/>
        <w:jc w:val="both"/>
      </w:pPr>
      <w:r>
        <w:rPr>
          <w:rFonts w:ascii="Times New Roman" w:cs="Times New Roman" w:eastAsia="Times New Roman" w:hAnsi="Times New Roman"/>
          <w:color w:val="000000"/>
          <w:sz w:val="24"/>
          <w:szCs w:val="24"/>
        </w:rPr>
        <w:t xml:space="preserve">K-Means was run for K from 2 to 10, and the inertia and silhouette score were recorded for each K. The results are shown in Figure 7 and Table 3.</w:t>
      </w:r>
    </w:p>
    <w:p>
      <w:pPr>
        <w:keepNext/>
        <w:spacing w:after="80" w:before="160"/>
        <w:jc w:val="center"/>
      </w:pPr>
      <w:r>
        <w:drawing>
          <wp:inline distT="0" distB="0" distL="0" distR="0">
            <wp:extent cx="4762500" cy="1924050"/>
            <wp:effectExtent t="0" r="0" b="0" l="0"/>
            <wp:docPr id="1" name="cs2_kmeans_elbow.png" descr="Elbow curve and silhouette scores for K-Means" title="Elbow curve and silhouette scores for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92405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7: Elbow curve and silhouette scores for K-Means</w:t>
      </w:r>
    </w:p>
    <w:p>
      <w:pPr>
        <w:keepNext/>
        <w:spacing w:after="100" w:before="160"/>
        <w:jc w:val="center"/>
      </w:pPr>
      <w:r>
        <w:rPr>
          <w:rFonts w:ascii="Times New Roman" w:cs="Times New Roman" w:eastAsia="Times New Roman" w:hAnsi="Times New Roman"/>
          <w:b/>
          <w:bCs/>
          <w:color w:val="000000"/>
          <w:sz w:val="22"/>
          <w:szCs w:val="22"/>
        </w:rPr>
        <w:t xml:space="preserve">Table 3: Inertia and silhouette score for different values of K</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K</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Inertia</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Silhouette Score</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30,986.9</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0.343</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26,177.7</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0.331</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22,552.4</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0.331</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19,189.1</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0.347</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6</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16,617.9</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0.358</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14,817.6</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0.255</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8</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13,352.8</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0.255</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12,530.0</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0.254</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11,742.7</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0.257</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The elbow curve bends gently around K = 3 and does not have one sharp elbow. The silhouette scores for K = 2 to 6 are all close to each other (0.33 to 0.36) and then fall sharply from K = 7. Because the scores are almost equal for small K, the choice was made on how useful the groups are. K = 3 gives three clear and well-sized customer groups. When K = 4 was tried, one of the clusters had only 13 customers, which is too small to be a useful segment. So K = 3 was selected. The final silhouette score is 0.331.</w:t>
      </w:r>
    </w:p>
    <w:p>
      <w:pPr>
        <w:pStyle w:val="Heading3"/>
        <w:keepNext/>
        <w:spacing w:after="100" w:before="200"/>
      </w:pPr>
      <w:r>
        <w:rPr>
          <w:rFonts w:ascii="Times New Roman" w:cs="Times New Roman" w:eastAsia="Times New Roman" w:hAnsi="Times New Roman"/>
          <w:b/>
          <w:bCs/>
          <w:color w:val="000000"/>
          <w:sz w:val="24"/>
          <w:szCs w:val="24"/>
        </w:rPr>
        <w:t xml:space="preserve">5.2 Hierarchical Clustering</w:t>
      </w:r>
    </w:p>
    <w:p>
      <w:pPr>
        <w:keepNext/>
        <w:spacing w:after="80" w:before="160"/>
        <w:jc w:val="center"/>
      </w:pPr>
      <w:r>
        <w:drawing>
          <wp:inline distT="0" distB="0" distL="0" distR="0">
            <wp:extent cx="4762500" cy="2514600"/>
            <wp:effectExtent t="0" r="0" b="0" l="0"/>
            <wp:docPr id="1" name="cs2_dendrogram.png" descr="Dendrogram using Ward linkage (last 30 merged clusters)" title="Dendrogram using Ward linkage (last 30 merged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5146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8: Dendrogram using Ward linkage (last 30 merged clusters)</w:t>
      </w:r>
    </w:p>
    <w:p>
      <w:pPr>
        <w:spacing w:after="140" w:line="312"/>
        <w:jc w:val="both"/>
      </w:pPr>
      <w:r>
        <w:rPr>
          <w:rFonts w:ascii="Times New Roman" w:cs="Times New Roman" w:eastAsia="Times New Roman" w:hAnsi="Times New Roman"/>
          <w:color w:val="000000"/>
          <w:sz w:val="24"/>
          <w:szCs w:val="24"/>
        </w:rPr>
        <w:t xml:space="preserve">The dendrogram in Figure 8 shows that the last merges happen at large distances (above 80), while most earlier merges happen below 40. Cutting the tree at a distance of about 90 gives three main branches, which agrees with the choice of K = 3 in K-Means. Table 4 compares the linkage methods.</w:t>
      </w:r>
    </w:p>
    <w:p>
      <w:pPr>
        <w:keepNext/>
        <w:spacing w:after="100" w:before="160"/>
        <w:jc w:val="center"/>
      </w:pPr>
      <w:r>
        <w:rPr>
          <w:rFonts w:ascii="Times New Roman" w:cs="Times New Roman" w:eastAsia="Times New Roman" w:hAnsi="Times New Roman"/>
          <w:b/>
          <w:bCs/>
          <w:color w:val="000000"/>
          <w:sz w:val="22"/>
          <w:szCs w:val="22"/>
        </w:rPr>
        <w:t xml:space="preserve">Table 4: Comparison of linkage methods for hierarchical clustering</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000"/>
      </w:tblGrid>
      <w:tr>
        <w:trPr>
          <w:cantSplit/>
          <w:tblHeader/>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Linkage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Clusters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Silhouette</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Largest Cluster Share</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Ward</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0.334</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72.5%</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Ward</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0.352</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71.5%</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Ward</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0.339</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71.5%</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Complete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0.566</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98.3%</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Complete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0.577</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97.3%</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Complete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0.579</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97.1%</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Average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0.723</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99.5%</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Average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0.656</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98.4%</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Average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0.646</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98.4%</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Single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0.567</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98.9%</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Single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0.550</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98.9%</w:t>
            </w:r>
          </w:p>
        </w:tc>
      </w:tr>
      <w:tr>
        <w:trPr>
          <w:cantSplit/>
        </w:trP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Single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0.558</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98.6%</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At first the complete, average and single linkage methods look better because their silhouette scores are higher (up to 0.723). But the last column explains why this is misleading. In these methods, one cluster holds 97 to 99 percent of all customers, and the other clusters are tiny groups of a few unusual customers. That is not a useful segmentation. Ward linkage gives balanced clusters, with the largest holding about 72 percent of customers, so Ward linkage with K = 3 was chosen. Its silhouette score is 0.334.</w:t>
      </w:r>
    </w:p>
    <w:p>
      <w:pPr>
        <w:pStyle w:val="Heading3"/>
        <w:keepNext/>
        <w:spacing w:after="100" w:before="200"/>
      </w:pPr>
      <w:r>
        <w:rPr>
          <w:rFonts w:ascii="Times New Roman" w:cs="Times New Roman" w:eastAsia="Times New Roman" w:hAnsi="Times New Roman"/>
          <w:b/>
          <w:bCs/>
          <w:color w:val="000000"/>
          <w:sz w:val="24"/>
          <w:szCs w:val="24"/>
        </w:rPr>
        <w:t xml:space="preserve">5.3 DBSCAN</w:t>
      </w:r>
    </w:p>
    <w:p>
      <w:pPr>
        <w:keepNext/>
        <w:spacing w:after="80" w:before="160"/>
        <w:jc w:val="center"/>
      </w:pPr>
      <w:r>
        <w:drawing>
          <wp:inline distT="0" distB="0" distL="0" distR="0">
            <wp:extent cx="4095750" cy="2533650"/>
            <wp:effectExtent t="0" r="0" b="0" l="0"/>
            <wp:docPr id="1" name="cs2_kdistance.png" descr="K-distance plot used to choose epsilon (minPts = 10)" title="K-distance plot used to choose epsilon (minPts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53365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9: K-distance plot used to choose epsilon (minPts = 10)</w:t>
      </w:r>
    </w:p>
    <w:p>
      <w:pPr>
        <w:spacing w:after="140" w:line="312"/>
        <w:jc w:val="both"/>
      </w:pPr>
      <w:r>
        <w:rPr>
          <w:rFonts w:ascii="Times New Roman" w:cs="Times New Roman" w:eastAsia="Times New Roman" w:hAnsi="Times New Roman"/>
          <w:color w:val="000000"/>
          <w:sz w:val="24"/>
          <w:szCs w:val="24"/>
        </w:rPr>
        <w:t xml:space="preserve">Figure 9 plots the distance of every customer to its tenth nearest neighbour. The curve rises slowly and then turns upward sharply. The bend is close to a distance of 2, so epsilon = 2 was selected. Table 5 shows the parameter search.</w:t>
      </w:r>
    </w:p>
    <w:p>
      <w:pPr>
        <w:keepNext/>
        <w:spacing w:after="100" w:before="160"/>
        <w:jc w:val="center"/>
      </w:pPr>
      <w:r>
        <w:rPr>
          <w:rFonts w:ascii="Times New Roman" w:cs="Times New Roman" w:eastAsia="Times New Roman" w:hAnsi="Times New Roman"/>
          <w:b/>
          <w:bCs/>
          <w:color w:val="000000"/>
          <w:sz w:val="22"/>
          <w:szCs w:val="22"/>
        </w:rPr>
        <w:t xml:space="preserve">Table 5: DBSCAN results for different epsilon and minPts values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2000"/>
        <w:gridCol w:w="2400"/>
      </w:tblGrid>
      <w:tr>
        <w:trPr>
          <w:cantSplit/>
          <w:tblHeader/>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Epsilon</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minPts</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Clusters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Noise Share</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Silhouette</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17.3%</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0.651</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19.8%</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Not defined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8.6%</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0.615</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10.9%</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Not defined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4.4%</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0.594</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5.7%</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0.600</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2.4%</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0.577</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3.5%</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0.584</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1.4%</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0.571</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2.1%</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0.575</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When epsilon is small, too many customers are called noise (up to 19.8 percent). When it is large, almost everything joins one cluster. Epsilon = 2 with minPts = 10 gives a fair balance: three clusters and only 4.4 percent noise (174 customers). The silhouette score is 0.594, calculated without the noise points. The clusters have 3,708, 22 and 10 customers.</w:t>
      </w:r>
    </w:p>
    <w:p>
      <w:pPr>
        <w:pStyle w:val="Heading3"/>
        <w:keepNext/>
        <w:spacing w:after="100" w:before="200"/>
      </w:pPr>
      <w:r>
        <w:rPr>
          <w:rFonts w:ascii="Times New Roman" w:cs="Times New Roman" w:eastAsia="Times New Roman" w:hAnsi="Times New Roman"/>
          <w:b/>
          <w:bCs/>
          <w:color w:val="000000"/>
          <w:sz w:val="24"/>
          <w:szCs w:val="24"/>
        </w:rPr>
        <w:t xml:space="preserve">5.4 Cluster Visualization</w:t>
      </w:r>
    </w:p>
    <w:p>
      <w:pPr>
        <w:spacing w:after="140" w:line="312"/>
        <w:jc w:val="both"/>
      </w:pPr>
      <w:r>
        <w:rPr>
          <w:rFonts w:ascii="Times New Roman" w:cs="Times New Roman" w:eastAsia="Times New Roman" w:hAnsi="Times New Roman"/>
          <w:color w:val="000000"/>
          <w:sz w:val="24"/>
          <w:szCs w:val="24"/>
        </w:rPr>
        <w:t xml:space="preserve">Figures 10, 11 and 12 show the clusters on the first two principal components. These two components together explain 48.0 percent of the total variation (30.4 percent and 17.6 percent), so the plots give a useful but not complete picture. Different shades and marker shapes are used for the clusters.</w:t>
      </w:r>
    </w:p>
    <w:p>
      <w:pPr>
        <w:keepNext/>
        <w:spacing w:after="80" w:before="160"/>
        <w:jc w:val="center"/>
      </w:pPr>
      <w:r>
        <w:drawing>
          <wp:inline distT="0" distB="0" distL="0" distR="0">
            <wp:extent cx="3581400" cy="2857500"/>
            <wp:effectExtent t="0" r="0" b="0" l="0"/>
            <wp:docPr id="1" name="cs2_plot_kmeans.png" descr="K-Means clusters shown on two principal components" title="K-Means clusters shown on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81400" cy="28575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10: K-Means clusters shown on two principal components</w:t>
      </w:r>
    </w:p>
    <w:p>
      <w:pPr>
        <w:keepNext/>
        <w:spacing w:after="80" w:before="160"/>
        <w:jc w:val="center"/>
      </w:pPr>
      <w:r>
        <w:drawing>
          <wp:inline distT="0" distB="0" distL="0" distR="0">
            <wp:extent cx="3581400" cy="2857500"/>
            <wp:effectExtent t="0" r="0" b="0" l="0"/>
            <wp:docPr id="1" name="cs2_plot_hierarchical.png" descr="Hierarchical clusters (Ward linkage) shown on two principal components" title="Hierarchical clusters (Ward linkage) shown on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581400" cy="28575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11: Hierarchical clusters (Ward linkage) shown on two principal components</w:t>
      </w:r>
    </w:p>
    <w:p>
      <w:pPr>
        <w:keepNext/>
        <w:spacing w:after="80" w:before="160"/>
        <w:jc w:val="center"/>
      </w:pPr>
      <w:r>
        <w:drawing>
          <wp:inline distT="0" distB="0" distL="0" distR="0">
            <wp:extent cx="3581400" cy="2857500"/>
            <wp:effectExtent t="0" r="0" b="0" l="0"/>
            <wp:docPr id="1" name="cs2_plot_dbscan.png" descr="DBSCAN clusters and noise points shown on two principal components" title="DBSCAN clusters and noise points shown on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581400" cy="28575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12: DBSCAN clusters and noise points shown on two principal components</w:t>
      </w:r>
    </w:p>
    <w:p>
      <w:pPr>
        <w:spacing w:after="140" w:line="312"/>
        <w:jc w:val="both"/>
      </w:pPr>
      <w:r>
        <w:rPr>
          <w:rFonts w:ascii="Times New Roman" w:cs="Times New Roman" w:eastAsia="Times New Roman" w:hAnsi="Times New Roman"/>
          <w:color w:val="000000"/>
          <w:sz w:val="24"/>
          <w:szCs w:val="24"/>
        </w:rPr>
        <w:t xml:space="preserve">In the K-Means plot (Figure 10), the large cluster of low-activity customers sits on the left, and the other two clusters spread towards the right and the top. The hierarchical plot (Figure 11) looks similar but draws the boundaries a little differently. The DBSCAN plot (Figure 12) is very different. Almost all points belong to one large cluster, and the crosses on the right and top are the noise points, which are the customers with very high values.</w:t>
      </w:r>
    </w:p>
    <w:p>
      <w:pPr>
        <w:pStyle w:val="Heading3"/>
        <w:keepNext/>
        <w:spacing w:after="100" w:before="200"/>
      </w:pPr>
      <w:r>
        <w:rPr>
          <w:rFonts w:ascii="Times New Roman" w:cs="Times New Roman" w:eastAsia="Times New Roman" w:hAnsi="Times New Roman"/>
          <w:b/>
          <w:bCs/>
          <w:color w:val="000000"/>
          <w:sz w:val="24"/>
          <w:szCs w:val="24"/>
        </w:rPr>
        <w:t xml:space="preserve">5.5 Comparison of the Three Methods</w:t>
      </w:r>
    </w:p>
    <w:p>
      <w:pPr>
        <w:keepNext/>
        <w:spacing w:after="100" w:before="160"/>
        <w:jc w:val="center"/>
      </w:pPr>
      <w:r>
        <w:rPr>
          <w:rFonts w:ascii="Times New Roman" w:cs="Times New Roman" w:eastAsia="Times New Roman" w:hAnsi="Times New Roman"/>
          <w:b/>
          <w:bCs/>
          <w:color w:val="000000"/>
          <w:sz w:val="22"/>
          <w:szCs w:val="22"/>
        </w:rPr>
        <w:t xml:space="preserve">Table 6: Evaluation summary of the clustering methods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300"/>
        <w:gridCol w:w="2000"/>
      </w:tblGrid>
      <w:tr>
        <w:trPr>
          <w:cantSplit/>
          <w:tblHeader/>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Method</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Clusters</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Silhouette Score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Noise Points</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K-Means</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0.331</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Hierarchical (Ward)</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0.334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DBSCAN</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0.594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174</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K-Means and Hierarchical clustering have almost the same silhouette score (about 0.33), which shows a fair but not very strong separation. This is normal for customer data, where groups overlap. DBSCAN has the highest score, but it should be read carefully. The score was calculated after removing 174 noise customers, and 94.7 percent of the remaining customers are in a single cluster. So DBSCAN is better at finding unusual customers than at splitting the normal customers into useful segments.</w:t>
      </w:r>
    </w:p>
    <w:p>
      <w:pPr>
        <w:pStyle w:val="Heading2"/>
        <w:keepNext/>
        <w:spacing w:after="140" w:before="300"/>
      </w:pPr>
      <w:r>
        <w:rPr>
          <w:rFonts w:ascii="Times New Roman" w:cs="Times New Roman" w:eastAsia="Times New Roman" w:hAnsi="Times New Roman"/>
          <w:b/>
          <w:bCs/>
          <w:color w:val="000000"/>
          <w:sz w:val="28"/>
          <w:szCs w:val="28"/>
        </w:rPr>
        <w:t xml:space="preserve">6. Cluster Interpretation</w:t>
      </w:r>
    </w:p>
    <w:p>
      <w:pPr>
        <w:spacing w:after="140" w:line="312"/>
        <w:jc w:val="both"/>
      </w:pPr>
      <w:r>
        <w:rPr>
          <w:rFonts w:ascii="Times New Roman" w:cs="Times New Roman" w:eastAsia="Times New Roman" w:hAnsi="Times New Roman"/>
          <w:color w:val="000000"/>
          <w:sz w:val="24"/>
          <w:szCs w:val="24"/>
        </w:rPr>
        <w:t xml:space="preserve">To understand each cluster, the average value of every feature was calculated for each cluster. Table 7 shows the K-Means result, and Figure 13 shows the main differences.</w:t>
      </w:r>
    </w:p>
    <w:p>
      <w:pPr>
        <w:keepNext/>
        <w:spacing w:after="100" w:before="160"/>
        <w:jc w:val="center"/>
      </w:pPr>
      <w:r>
        <w:rPr>
          <w:rFonts w:ascii="Times New Roman" w:cs="Times New Roman" w:eastAsia="Times New Roman" w:hAnsi="Times New Roman"/>
          <w:b/>
          <w:bCs/>
          <w:color w:val="000000"/>
          <w:sz w:val="22"/>
          <w:szCs w:val="22"/>
        </w:rPr>
        <w:t xml:space="preserve">Table 7: Average values of each K-Means cluster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cantSplit/>
          <w:tblHeader/>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Feature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Cluster 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Cluster 1</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Cluster 2</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Customers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2,404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256</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1,254</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Balance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40,126</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123,939</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107,378</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Qual_miles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107</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574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101</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cc1_miles (category)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1.18</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3.68</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Bonus_miles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4,204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23,986</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37,319</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Bonus_trans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6.5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18.4</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Flight_miles_12mo</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129</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3,063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210</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Flight_trans_12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0.44</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8.83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0.65</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Days_since_enroll</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3,685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4,462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4,821</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Award? (share)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0.67</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0.54</w:t>
            </w:r>
          </w:p>
        </w:tc>
      </w:tr>
    </w:tbl>
    <w:p>
      <w:pPr>
        <w:spacing w:after="160"/>
      </w:pPr>
    </w:p>
    <w:p>
      <w:pPr>
        <w:keepNext/>
        <w:spacing w:after="80" w:before="160"/>
        <w:jc w:val="center"/>
      </w:pPr>
      <w:r>
        <w:drawing>
          <wp:inline distT="0" distB="0" distL="0" distR="0">
            <wp:extent cx="3810000" cy="3048000"/>
            <wp:effectExtent t="0" r="0" b="0" l="0"/>
            <wp:docPr id="1" name="cs2_kmeans_profile.png" descr="Average balance, bonus miles, flight miles and enrolment days of each K-Means cluster" title="Average balance, bonus miles, flight miles and enrolment days of each K-Mean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0480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13: Average balance, bonus miles, flight miles and enrolment days of each K-Means cluster</w:t>
      </w:r>
    </w:p>
    <w:p>
      <w:pPr>
        <w:keepNext w:val="false"/>
        <w:spacing w:after="140" w:line="312"/>
        <w:jc w:val="both"/>
      </w:pPr>
      <w:r>
        <w:rPr>
          <w:rFonts w:ascii="Times New Roman" w:cs="Times New Roman" w:eastAsia="Times New Roman" w:hAnsi="Times New Roman"/>
          <w:b/>
          <w:bCs/>
          <w:color w:val="000000"/>
          <w:sz w:val="24"/>
          <w:szCs w:val="24"/>
        </w:rPr>
        <w:t xml:space="preserve">Cluster 0: Low-activity customers (61.4 percent). </w:t>
      </w:r>
      <w:r>
        <w:rPr>
          <w:rFonts w:ascii="Times New Roman" w:cs="Times New Roman" w:eastAsia="Times New Roman" w:hAnsi="Times New Roman"/>
          <w:b w:val="false"/>
          <w:bCs w:val="false"/>
          <w:color w:val="000000"/>
          <w:sz w:val="24"/>
          <w:szCs w:val="24"/>
        </w:rPr>
        <w:t xml:space="preserve">These customers have the smallest balance (about 40,000 miles), earn very few bonus miles, almost never fly, and mostly use the basic card category. They also joined more recently (about 3,685 days). Only 23 percent have received an award. They are the largest group, and the airline can try to move them to more active use with simple offers.</w:t>
      </w:r>
    </w:p>
    <w:p>
      <w:pPr>
        <w:keepNext w:val="false"/>
        <w:spacing w:after="140" w:line="312"/>
        <w:jc w:val="both"/>
      </w:pPr>
      <w:r>
        <w:rPr>
          <w:rFonts w:ascii="Times New Roman" w:cs="Times New Roman" w:eastAsia="Times New Roman" w:hAnsi="Times New Roman"/>
          <w:b/>
          <w:bCs/>
          <w:color w:val="000000"/>
          <w:sz w:val="24"/>
          <w:szCs w:val="24"/>
        </w:rPr>
        <w:t xml:space="preserve">Cluster 1: Frequent flyers (6.5 percent). </w:t>
      </w:r>
      <w:r>
        <w:rPr>
          <w:rFonts w:ascii="Times New Roman" w:cs="Times New Roman" w:eastAsia="Times New Roman" w:hAnsi="Times New Roman"/>
          <w:b w:val="false"/>
          <w:bCs w:val="false"/>
          <w:color w:val="000000"/>
          <w:sz w:val="24"/>
          <w:szCs w:val="24"/>
        </w:rPr>
        <w:t xml:space="preserve">This is the smallest group, but it flies far more than the others (about 3,063 flight miles and 8.8 flight transactions a year) and has the highest qualifying miles. They also have a high balance and the second highest award share (67 percent). These are the most valuable travellers and should get priority services such as lounge access and status benefits.</w:t>
      </w:r>
    </w:p>
    <w:p>
      <w:pPr>
        <w:keepNext w:val="false"/>
        <w:spacing w:after="140" w:line="312"/>
        <w:jc w:val="both"/>
      </w:pPr>
      <w:r>
        <w:rPr>
          <w:rFonts w:ascii="Times New Roman" w:cs="Times New Roman" w:eastAsia="Times New Roman" w:hAnsi="Times New Roman"/>
          <w:b/>
          <w:bCs/>
          <w:color w:val="000000"/>
          <w:sz w:val="24"/>
          <w:szCs w:val="24"/>
        </w:rPr>
        <w:t xml:space="preserve">Cluster 2: Credit card and bonus earners (32.0 percent). </w:t>
      </w:r>
      <w:r>
        <w:rPr>
          <w:rFonts w:ascii="Times New Roman" w:cs="Times New Roman" w:eastAsia="Times New Roman" w:hAnsi="Times New Roman"/>
          <w:b w:val="false"/>
          <w:bCs w:val="false"/>
          <w:color w:val="000000"/>
          <w:sz w:val="24"/>
          <w:szCs w:val="24"/>
        </w:rPr>
        <w:t xml:space="preserve">These customers earn their miles mainly through credit cards and bonus transactions. They have the highest cc1 category (3.68), the highest bonus miles (about 37,000) and the longest membership (about 4,821 days), but they fly very little. The airline can target them with co-branded card offers and partner rewards to encourage them to also book flights.</w:t>
      </w:r>
    </w:p>
    <w:p>
      <w:pPr>
        <w:spacing w:after="140" w:line="312"/>
        <w:jc w:val="both"/>
      </w:pPr>
      <w:r>
        <w:rPr>
          <w:rFonts w:ascii="Times New Roman" w:cs="Times New Roman" w:eastAsia="Times New Roman" w:hAnsi="Times New Roman"/>
          <w:color w:val="000000"/>
          <w:sz w:val="24"/>
          <w:szCs w:val="24"/>
        </w:rPr>
        <w:t xml:space="preserve">The hierarchical result tells a similar story. Its three clusters have 2,837 customers (low-activity, average balance 45,306), 791 customers (long-standing card users with balance 128,433 and bonus miles 44,870) and 286 customers (frequent flyers with 2,781 flight miles and a 71 percent award share). The DBSCAN noise group of 174 customers has the highest averages in balance (161,368), qualifying miles (1,934) and flight miles (2,301). These are the heaviest users of the programme, and the airline may want to handle them individually.</w:t>
      </w:r>
    </w:p>
    <w:p>
      <w:pPr>
        <w:pStyle w:val="Heading2"/>
        <w:keepNext/>
        <w:spacing w:after="140" w:before="300"/>
      </w:pPr>
      <w:r>
        <w:rPr>
          <w:rFonts w:ascii="Times New Roman" w:cs="Times New Roman" w:eastAsia="Times New Roman" w:hAnsi="Times New Roman"/>
          <w:b/>
          <w:bCs/>
          <w:color w:val="000000"/>
          <w:sz w:val="28"/>
          <w:szCs w:val="28"/>
        </w:rPr>
        <w:t xml:space="preserve">7. Conclusion</w:t>
      </w:r>
    </w:p>
    <w:p>
      <w:pPr>
        <w:spacing w:after="140" w:line="312"/>
        <w:jc w:val="both"/>
      </w:pPr>
      <w:r>
        <w:rPr>
          <w:rFonts w:ascii="Times New Roman" w:cs="Times New Roman" w:eastAsia="Times New Roman" w:hAnsi="Times New Roman"/>
          <w:color w:val="000000"/>
          <w:sz w:val="24"/>
          <w:szCs w:val="24"/>
        </w:rPr>
        <w:t xml:space="preserve">The airline customers can be divided into three meaningful segments: low-activity customers, frequent flyers and credit card or bonus earners. K-Means and Hierarchical clustering with Ward linkage gave very similar results and similar silhouette scores of 0.331 and 0.334. DBSCAN gave a higher silhouette score of 0.594, but it placed almost every customer in one cluster and marked 4.4 percent of customers as noise, so it is more useful for spotting very high-value customers than for segmentation.</w:t>
      </w:r>
    </w:p>
    <w:p>
      <w:pPr>
        <w:spacing w:after="140" w:line="312"/>
        <w:jc w:val="both"/>
      </w:pPr>
      <w:r>
        <w:rPr>
          <w:rFonts w:ascii="Times New Roman" w:cs="Times New Roman" w:eastAsia="Times New Roman" w:hAnsi="Times New Roman"/>
          <w:color w:val="000000"/>
          <w:sz w:val="24"/>
          <w:szCs w:val="24"/>
        </w:rPr>
        <w:t xml:space="preserve">For business use, K-Means with three clusters is the most practical choice. It is simple, it gives well-sized groups and each group can be explained in plain words. The largest group (61.4 percent) is low-activity, the smallest group (6.5 percent) is the most valuable flyers, and the middle group (32.0 percent) earns miles mainly through cards. A limitation is that the silhouette score of about 0.33 shows that the groups overlap, and the two-dimensional plots capture only 48 percent of the variation in the data.</w:t>
      </w:r>
    </w:p>
    <w:p>
      <w:pPr>
        <w:pStyle w:val="Heading1"/>
        <w:pageBreakBefore/>
        <w:pBdr>
          <w:bottom w:val="single" w:color="000000" w:sz="8" w:space="6"/>
        </w:pBdr>
        <w:spacing w:after="300" w:before="0"/>
        <w:jc w:val="center"/>
      </w:pPr>
      <w:r>
        <w:rPr>
          <w:rFonts w:ascii="Times New Roman" w:cs="Times New Roman" w:eastAsia="Times New Roman" w:hAnsi="Times New Roman"/>
          <w:b/>
          <w:bCs/>
          <w:color w:val="000000"/>
          <w:sz w:val="32"/>
          <w:szCs w:val="32"/>
        </w:rPr>
        <w:t xml:space="preserve">CASE STUDY 5: WINE QUALITY ASSESSMENT</w:t>
      </w:r>
    </w:p>
    <w:p>
      <w:pPr>
        <w:pStyle w:val="Heading2"/>
        <w:keepNext/>
        <w:spacing w:after="140" w:before="300"/>
      </w:pPr>
      <w:r>
        <w:rPr>
          <w:rFonts w:ascii="Times New Roman" w:cs="Times New Roman" w:eastAsia="Times New Roman" w:hAnsi="Times New Roman"/>
          <w:b/>
          <w:bCs/>
          <w:color w:val="000000"/>
          <w:sz w:val="28"/>
          <w:szCs w:val="28"/>
        </w:rPr>
        <w:t xml:space="preserve">1. Problem Statement</w:t>
      </w:r>
    </w:p>
    <w:p>
      <w:pPr>
        <w:spacing w:after="140" w:line="312"/>
        <w:jc w:val="both"/>
      </w:pPr>
      <w:r>
        <w:rPr>
          <w:rFonts w:ascii="Times New Roman" w:cs="Times New Roman" w:eastAsia="Times New Roman" w:hAnsi="Times New Roman"/>
          <w:color w:val="000000"/>
          <w:sz w:val="24"/>
          <w:szCs w:val="24"/>
        </w:rPr>
        <w:t xml:space="preserve">A wine company currently decides the quality of its wines only through sensory assessment, which means that experts taste the wine and give a score. Management wants to know whether laboratory measurements of the wine can explain the differences in quality and help in a more data-driven quality check.</w:t>
      </w:r>
    </w:p>
    <w:p>
      <w:pPr>
        <w:spacing w:after="140" w:line="312"/>
        <w:jc w:val="both"/>
      </w:pPr>
      <w:r>
        <w:rPr>
          <w:rFonts w:ascii="Times New Roman" w:cs="Times New Roman" w:eastAsia="Times New Roman" w:hAnsi="Times New Roman"/>
          <w:color w:val="000000"/>
          <w:sz w:val="24"/>
          <w:szCs w:val="24"/>
        </w:rPr>
        <w:t xml:space="preserve">The aim of this case study is to find which physicochemical characteristics are most strongly related to wine quality and to build a multiple linear regression model that predicts the quality score from the laboratory measurements. The case study has four tasks: statistical analysis, exploratory data analysis, predictive modelling and a business recommendation.</w:t>
      </w:r>
    </w:p>
    <w:p>
      <w:pPr>
        <w:pStyle w:val="Heading2"/>
        <w:keepNext/>
        <w:spacing w:after="140" w:before="300"/>
      </w:pPr>
      <w:r>
        <w:rPr>
          <w:rFonts w:ascii="Times New Roman" w:cs="Times New Roman" w:eastAsia="Times New Roman" w:hAnsi="Times New Roman"/>
          <w:b/>
          <w:bCs/>
          <w:color w:val="000000"/>
          <w:sz w:val="28"/>
          <w:szCs w:val="28"/>
        </w:rPr>
        <w:t xml:space="preserve">2. Dataset Description</w:t>
      </w:r>
    </w:p>
    <w:p>
      <w:pPr>
        <w:spacing w:after="140" w:line="312"/>
        <w:jc w:val="both"/>
      </w:pPr>
      <w:r>
        <w:rPr>
          <w:rFonts w:ascii="Times New Roman" w:cs="Times New Roman" w:eastAsia="Times New Roman" w:hAnsi="Times New Roman"/>
          <w:color w:val="000000"/>
          <w:sz w:val="24"/>
          <w:szCs w:val="24"/>
        </w:rPr>
        <w:t xml:space="preserve">The data is about the red and white variants of the Portuguese Vinho Verde wine. The red wine file has 1,599 samples and the white wine file has 4,898 samples. Both files were joined to form one dataset of 6,497 wines. There are no missing values. The quality score is the median of at least three expert ratings on a scale of 0 to 10. The 11 laboratory measurements are listed in Table 8.</w:t>
      </w:r>
    </w:p>
    <w:p>
      <w:pPr>
        <w:keepNext/>
        <w:spacing w:after="100" w:before="160"/>
        <w:jc w:val="center"/>
      </w:pPr>
      <w:r>
        <w:rPr>
          <w:rFonts w:ascii="Times New Roman" w:cs="Times New Roman" w:eastAsia="Times New Roman" w:hAnsi="Times New Roman"/>
          <w:b/>
          <w:bCs/>
          <w:color w:val="000000"/>
          <w:sz w:val="22"/>
          <w:szCs w:val="22"/>
        </w:rPr>
        <w:t xml:space="preserve">Table 8: Physicochemical attributes in the wine dataset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500"/>
        <w:gridCol w:w="1500"/>
      </w:tblGrid>
      <w:tr>
        <w:trPr>
          <w:cantSplit/>
          <w:tblHeader/>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Attribute</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Mean</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Std Dev</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Min</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Max</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Fixed acidity</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7.215</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1.296</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3.800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15.900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Volatile acidity</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0.340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0.165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0.080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1.580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Citric acid</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0.319</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0.145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0.000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1.660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Residual sugar</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5.443</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4.758</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0.600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65.800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Chlorides</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0.056</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0.035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0.009</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0.611</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Free sulfur dioxide</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30.525</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17.749</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1.000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289.000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Total sulfur dioxide</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115.745</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56.521</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6.000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440.000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Density</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0.995</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0.003</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0.987</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1.039</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pH</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3.219</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0.161</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2.720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4.010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Sulphates</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0.531</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0.149</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0.220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2.000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Alcohol</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10.492</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1.193</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8.000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14.900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Quality (target)</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5.818</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0.873</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w:t>
            </w:r>
          </w:p>
        </w:tc>
      </w:tr>
    </w:tbl>
    <w:p>
      <w:pPr>
        <w:spacing w:after="160"/>
      </w:pPr>
    </w:p>
    <w:p>
      <w:pPr>
        <w:pStyle w:val="Heading2"/>
        <w:keepNext/>
        <w:spacing w:after="140" w:before="300"/>
      </w:pPr>
      <w:r>
        <w:rPr>
          <w:rFonts w:ascii="Times New Roman" w:cs="Times New Roman" w:eastAsia="Times New Roman" w:hAnsi="Times New Roman"/>
          <w:b/>
          <w:bCs/>
          <w:color w:val="000000"/>
          <w:sz w:val="28"/>
          <w:szCs w:val="28"/>
        </w:rPr>
        <w:t xml:space="preserve">3. Methodology</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Data preparation: The two files were read and combined into one table. The data was checked for missing values (none) and repeated rows (1,177 repeated rows were found and kept, as the case study does not ask for their removal).</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Statistical analysis: The mean, median, mode, standard deviation and skewness were calculated for alcohol, volatile acidity and residual sugar. The coefficient of variation was used to compare variability, and the Pearson correlation was used to study alcohol and quality.</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Exploratory analysis: A histogram of quality, a box plot of alcohol for each quality score and a correlation heatmap were prepared.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Modelling: A multiple linear regression model was trained on the 11 attributes. The data was split into 80 percent for training (5,197 wines) and 20 percent for testing (1,300 wines) with random_state = 42, so the same split can be repeated.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Evaluation: MAE, MSE, RMSE and R-squared were calculated on the test set. Standardized coefficients were used to rank the predictors, and the Variance Inflation Factor (VIF) was used to check multicollinearity.</w:t>
      </w:r>
    </w:p>
    <w:p>
      <w:pPr>
        <w:pStyle w:val="Heading2"/>
        <w:keepNext/>
        <w:spacing w:after="140" w:before="300"/>
      </w:pPr>
      <w:r>
        <w:rPr>
          <w:rFonts w:ascii="Times New Roman" w:cs="Times New Roman" w:eastAsia="Times New Roman" w:hAnsi="Times New Roman"/>
          <w:b/>
          <w:bCs/>
          <w:color w:val="000000"/>
          <w:sz w:val="28"/>
          <w:szCs w:val="28"/>
        </w:rPr>
        <w:t xml:space="preserve">4. Statistical Findings</w:t>
      </w:r>
    </w:p>
    <w:p>
      <w:pPr>
        <w:pStyle w:val="Heading3"/>
        <w:keepNext/>
        <w:spacing w:after="100" w:before="200"/>
      </w:pPr>
      <w:r>
        <w:rPr>
          <w:rFonts w:ascii="Times New Roman" w:cs="Times New Roman" w:eastAsia="Times New Roman" w:hAnsi="Times New Roman"/>
          <w:b/>
          <w:bCs/>
          <w:color w:val="000000"/>
          <w:sz w:val="24"/>
          <w:szCs w:val="24"/>
        </w:rPr>
        <w:t xml:space="preserve">4.1 Task 1: Statistical Analysis</w:t>
      </w:r>
    </w:p>
    <w:p>
      <w:pPr>
        <w:keepNext w:val="false"/>
        <w:spacing w:after="140" w:line="312"/>
        <w:jc w:val="both"/>
      </w:pPr>
      <w:r>
        <w:rPr>
          <w:rFonts w:ascii="Times New Roman" w:cs="Times New Roman" w:eastAsia="Times New Roman" w:hAnsi="Times New Roman"/>
          <w:b/>
          <w:bCs/>
          <w:color w:val="000000"/>
          <w:sz w:val="24"/>
          <w:szCs w:val="24"/>
        </w:rPr>
        <w:t xml:space="preserve">(a) Descriptive statistics. </w:t>
      </w:r>
      <w:r>
        <w:rPr>
          <w:rFonts w:ascii="Times New Roman" w:cs="Times New Roman" w:eastAsia="Times New Roman" w:hAnsi="Times New Roman"/>
          <w:b w:val="false"/>
          <w:bCs w:val="false"/>
          <w:color w:val="000000"/>
          <w:sz w:val="24"/>
          <w:szCs w:val="24"/>
        </w:rPr>
        <w:t xml:space="preserve">Table 9 gives the results for the three selected attributes.</w:t>
      </w:r>
    </w:p>
    <w:p>
      <w:pPr>
        <w:keepNext/>
        <w:spacing w:after="100" w:before="160"/>
        <w:jc w:val="center"/>
      </w:pPr>
      <w:r>
        <w:rPr>
          <w:rFonts w:ascii="Times New Roman" w:cs="Times New Roman" w:eastAsia="Times New Roman" w:hAnsi="Times New Roman"/>
          <w:b/>
          <w:bCs/>
          <w:color w:val="000000"/>
          <w:sz w:val="22"/>
          <w:szCs w:val="22"/>
        </w:rPr>
        <w:t xml:space="preserve">Table 9: Descriptive statistics of alcohol, volatile acidity and residual sugar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200"/>
        <w:gridCol w:w="1400"/>
        <w:gridCol w:w="1400"/>
      </w:tblGrid>
      <w:tr>
        <w:trPr>
          <w:cantSplit/>
          <w:tblHeader/>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Attribute</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Mean</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Median</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Mode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Std Dev</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Skewness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Alcohol</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10.492</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10.30</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9.50</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1.193</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0.566</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Volatile acidity</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0.340</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0.29</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0.28</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0.165</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1.495</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Residual sugar</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5.443</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3.00</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2.00</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4.758</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1.435</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For all three attributes, the mean is larger than the median and the median is larger than or close to the mode, and the skewness is positive. This means each attribute is right skewed, with a tail of high values. Volatile acidity (1.495) and residual sugar (1.435) are strongly skewed, while alcohol (0.566) is only moderately skewed. In simple terms, most wines have low volatile acidity and low sugar, and a few wines have very high values.</w:t>
      </w:r>
    </w:p>
    <w:p>
      <w:pPr>
        <w:keepNext w:val="false"/>
        <w:spacing w:after="140" w:line="312"/>
        <w:jc w:val="both"/>
      </w:pPr>
      <w:r>
        <w:rPr>
          <w:rFonts w:ascii="Times New Roman" w:cs="Times New Roman" w:eastAsia="Times New Roman" w:hAnsi="Times New Roman"/>
          <w:b/>
          <w:bCs/>
          <w:color w:val="000000"/>
          <w:sz w:val="24"/>
          <w:szCs w:val="24"/>
        </w:rPr>
        <w:t xml:space="preserve">(b) Relative variability. </w:t>
      </w:r>
      <w:r>
        <w:rPr>
          <w:rFonts w:ascii="Times New Roman" w:cs="Times New Roman" w:eastAsia="Times New Roman" w:hAnsi="Times New Roman"/>
          <w:b w:val="false"/>
          <w:bCs w:val="false"/>
          <w:color w:val="000000"/>
          <w:sz w:val="24"/>
          <w:szCs w:val="24"/>
        </w:rPr>
        <w:t xml:space="preserve">The standard deviation cannot be compared directly because the attributes have different units and sizes. The coefficient of variation (CV), which is the standard deviation divided by the mean, removes this problem. Table 10 shows the values.</w:t>
      </w:r>
    </w:p>
    <w:p>
      <w:pPr>
        <w:keepNext/>
        <w:spacing w:after="100" w:before="160"/>
        <w:jc w:val="center"/>
      </w:pPr>
      <w:r>
        <w:rPr>
          <w:rFonts w:ascii="Times New Roman" w:cs="Times New Roman" w:eastAsia="Times New Roman" w:hAnsi="Times New Roman"/>
          <w:b/>
          <w:bCs/>
          <w:color w:val="000000"/>
          <w:sz w:val="22"/>
          <w:szCs w:val="22"/>
        </w:rPr>
        <w:t xml:space="preserve">Table 10: Coefficient of variation of the selected attributes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cantSplit/>
          <w:tblHeader/>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Attribute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Mean</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Std Dev</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CV (%)</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Alcohol</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10.492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1.193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11.37</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Volatile acidity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0.340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0.165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48.47</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Residual sugar</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5.443</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4.758</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87.41</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Residual sugar has the greatest relative variability with a CV of 87.41 percent, followed by volatile acidity at 48.47 percent. Alcohol is the most consistent with a CV of only 11.37 percent. Wines differ a lot in sweetness, but they are much more similar in alcohol content.</w:t>
      </w:r>
    </w:p>
    <w:p>
      <w:pPr>
        <w:keepNext w:val="false"/>
        <w:spacing w:after="140" w:line="312"/>
        <w:jc w:val="both"/>
      </w:pPr>
      <w:r>
        <w:rPr>
          <w:rFonts w:ascii="Times New Roman" w:cs="Times New Roman" w:eastAsia="Times New Roman" w:hAnsi="Times New Roman"/>
          <w:b/>
          <w:bCs/>
          <w:color w:val="000000"/>
          <w:sz w:val="24"/>
          <w:szCs w:val="24"/>
        </w:rPr>
        <w:t xml:space="preserve">(c) Alcohol and quality. </w:t>
      </w:r>
      <w:r>
        <w:rPr>
          <w:rFonts w:ascii="Times New Roman" w:cs="Times New Roman" w:eastAsia="Times New Roman" w:hAnsi="Times New Roman"/>
          <w:b w:val="false"/>
          <w:bCs w:val="false"/>
          <w:color w:val="000000"/>
          <w:sz w:val="24"/>
          <w:szCs w:val="24"/>
        </w:rPr>
        <w:t xml:space="preserve">The Pearson correlation coefficient between alcohol and quality is r = 0.4443, and the p-value is practically zero (about 1.5 x 10^-312). The direction is positive, so wines with more alcohol tend to get higher quality scores. The strength is moderate. Alcohol alone explains about 19.7 percent of the variation in quality (r squared = 0.197). The relationship is statistically very significant, but it is not strong enough to predict quality on its own.</w:t>
      </w:r>
    </w:p>
    <w:p>
      <w:pPr>
        <w:pStyle w:val="Heading3"/>
        <w:keepNext/>
        <w:spacing w:after="100" w:before="200"/>
      </w:pPr>
      <w:r>
        <w:rPr>
          <w:rFonts w:ascii="Times New Roman" w:cs="Times New Roman" w:eastAsia="Times New Roman" w:hAnsi="Times New Roman"/>
          <w:b/>
          <w:bCs/>
          <w:color w:val="000000"/>
          <w:sz w:val="24"/>
          <w:szCs w:val="24"/>
        </w:rPr>
        <w:t xml:space="preserve">4.2 Task 2: Exploratory Data Analysis</w:t>
      </w:r>
    </w:p>
    <w:p>
      <w:pPr>
        <w:keepNext/>
        <w:spacing w:after="140" w:line="312"/>
        <w:jc w:val="both"/>
      </w:pPr>
      <w:r>
        <w:rPr>
          <w:rFonts w:ascii="Times New Roman" w:cs="Times New Roman" w:eastAsia="Times New Roman" w:hAnsi="Times New Roman"/>
          <w:b/>
          <w:bCs/>
          <w:color w:val="000000"/>
          <w:sz w:val="24"/>
          <w:szCs w:val="24"/>
        </w:rPr>
        <w:t xml:space="preserve">(a) Histogram of quality scores.</w:t>
      </w:r>
    </w:p>
    <w:p>
      <w:pPr>
        <w:keepNext/>
        <w:spacing w:after="80" w:before="160"/>
        <w:jc w:val="center"/>
      </w:pPr>
      <w:r>
        <w:drawing>
          <wp:inline distT="0" distB="0" distL="0" distR="0">
            <wp:extent cx="3619500" cy="2438400"/>
            <wp:effectExtent t="0" r="0" b="0" l="0"/>
            <wp:docPr id="1" name="cs5_quality_histogram.png" descr="Histogram of wine quality scores" title="Histogram of wine quality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4384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14: Histogram of wine quality scores</w:t>
      </w:r>
    </w:p>
    <w:p>
      <w:pPr>
        <w:spacing w:after="140" w:line="312"/>
        <w:jc w:val="both"/>
      </w:pPr>
      <w:r>
        <w:rPr>
          <w:rFonts w:ascii="Times New Roman" w:cs="Times New Roman" w:eastAsia="Times New Roman" w:hAnsi="Times New Roman"/>
          <w:color w:val="000000"/>
          <w:sz w:val="24"/>
          <w:szCs w:val="24"/>
        </w:rPr>
        <w:t xml:space="preserve">Figure 14 shows that the scores range from 3 to 9, but most wines are in the middle. Quality 6 is the most common (2,836 wines, 43.65 percent), followed by quality 5 (2,138 wines, 32.91 percent) and quality 7 (1,079 wines, 16.61 percent). Together, scores 5, 6 and 7 cover about 93 percent of all wines. Very poor wines (quality 3, only 30 wines) and excellent wines (quality 9, only 5 wines) are very rare. The shape is close to a bell curve with a small positive skewness of 0.19. The classes are clearly unbalanced, which makes it hard for a model to learn about the extreme scores.</w:t>
      </w:r>
    </w:p>
    <w:p>
      <w:pPr>
        <w:keepNext/>
        <w:spacing w:after="140" w:line="312"/>
        <w:jc w:val="both"/>
      </w:pPr>
      <w:r>
        <w:rPr>
          <w:rFonts w:ascii="Times New Roman" w:cs="Times New Roman" w:eastAsia="Times New Roman" w:hAnsi="Times New Roman"/>
          <w:b/>
          <w:bCs/>
          <w:color w:val="000000"/>
          <w:sz w:val="24"/>
          <w:szCs w:val="24"/>
        </w:rPr>
        <w:t xml:space="preserve">(b) Box plot of alcohol by quality.</w:t>
      </w:r>
    </w:p>
    <w:p>
      <w:pPr>
        <w:keepNext/>
        <w:spacing w:after="80" w:before="160"/>
        <w:jc w:val="center"/>
      </w:pPr>
      <w:r>
        <w:drawing>
          <wp:inline distT="0" distB="0" distL="0" distR="0">
            <wp:extent cx="3810000" cy="2543175"/>
            <wp:effectExtent t="0" r="0" b="0" l="0"/>
            <wp:docPr id="1" name="cs5_alcohol_boxplot.png" descr="Box plot of alcohol content for each wine quality score" title="Box plot of alcohol content for each wine quality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15: Box plot of alcohol content for each wine quality score</w:t>
      </w:r>
    </w:p>
    <w:p>
      <w:pPr>
        <w:keepNext/>
        <w:spacing w:after="100" w:before="160"/>
        <w:jc w:val="center"/>
      </w:pPr>
      <w:r>
        <w:rPr>
          <w:rFonts w:ascii="Times New Roman" w:cs="Times New Roman" w:eastAsia="Times New Roman" w:hAnsi="Times New Roman"/>
          <w:b/>
          <w:bCs/>
          <w:color w:val="000000"/>
          <w:sz w:val="22"/>
          <w:szCs w:val="22"/>
        </w:rPr>
        <w:t xml:space="preserve">Table 11: Alcohol content for each quality score</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400"/>
      </w:tblGrid>
      <w:tr>
        <w:trPr>
          <w:cantSplit/>
          <w:tblHeader/>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Quality</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Wines</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Median Alcohol</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Mean Alcohol</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10.15</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10.22</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216</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10.00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10.18</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2,138</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9.60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9.84</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6</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2,836</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10.50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10.59</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1,079</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11.40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11.39</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8</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193</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12.00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11.68</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12.50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12.18</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Figure 15 and Table 11 show a clear difference. From quality 5 onwards, the median alcohol rises steadily: 9.60 for quality 5, 10.50 for quality 6, 11.40 for quality 7, 12.00 for quality 8 and 12.50 for quality 9. Wines with quality 3 and 4 do not follow the pattern, as their median alcohol (about 10) is higher than that of quality 5. This is probably because there are few wines in these groups. Potential outliers were counted with the 1.5 x IQR rule. Quality 5 has the most, with 55 high-alcohol outliers shown as dots above its box. The other groups have at most one outlier each. These outliers are real measurements, not errors, so they were not removed.</w:t>
      </w:r>
    </w:p>
    <w:p>
      <w:pPr>
        <w:keepNext/>
        <w:spacing w:after="140" w:line="312"/>
        <w:jc w:val="both"/>
      </w:pPr>
      <w:r>
        <w:rPr>
          <w:rFonts w:ascii="Times New Roman" w:cs="Times New Roman" w:eastAsia="Times New Roman" w:hAnsi="Times New Roman"/>
          <w:b/>
          <w:bCs/>
          <w:color w:val="000000"/>
          <w:sz w:val="24"/>
          <w:szCs w:val="24"/>
        </w:rPr>
        <w:t xml:space="preserve">(c) Correlation heatmap.</w:t>
      </w:r>
    </w:p>
    <w:p>
      <w:pPr>
        <w:keepNext/>
        <w:spacing w:after="80" w:before="160"/>
        <w:jc w:val="center"/>
      </w:pPr>
      <w:r>
        <w:drawing>
          <wp:inline distT="0" distB="0" distL="0" distR="0">
            <wp:extent cx="4124325" cy="3524250"/>
            <wp:effectExtent t="0" r="0" b="0" l="0"/>
            <wp:docPr id="1" name="cs5_heatmap.png" descr="Correlation heatmap of the wine attributes and quality" title="Correlation heatmap of the wine attributes and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24325" cy="352425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16: Correlation heatmap of the wine attributes and quality</w:t>
      </w:r>
    </w:p>
    <w:p>
      <w:pPr>
        <w:spacing w:after="140" w:line="312"/>
        <w:jc w:val="both"/>
      </w:pPr>
      <w:r>
        <w:rPr>
          <w:rFonts w:ascii="Times New Roman" w:cs="Times New Roman" w:eastAsia="Times New Roman" w:hAnsi="Times New Roman"/>
          <w:color w:val="000000"/>
          <w:sz w:val="24"/>
          <w:szCs w:val="24"/>
        </w:rPr>
        <w:t xml:space="preserve">Figure 16 shows how the attributes relate to each other and to quality. Along the quality row, alcohol has the strongest positive link, and density and volatile acidity have negative links. There are also strong links between the attributes themselves: density and alcohol (-0.69), free and total sulfur dioxide (0.72), density and residual sugar (0.55) and total sulfur dioxide and residual sugar (0.50). These are important for the regression part, because they point towards multicollinearity.</w:t>
      </w:r>
    </w:p>
    <w:p>
      <w:pPr>
        <w:keepNext w:val="false"/>
        <w:spacing w:after="140" w:line="312"/>
        <w:jc w:val="both"/>
      </w:pPr>
      <w:r>
        <w:rPr>
          <w:rFonts w:ascii="Times New Roman" w:cs="Times New Roman" w:eastAsia="Times New Roman" w:hAnsi="Times New Roman"/>
          <w:b/>
          <w:bCs/>
          <w:color w:val="000000"/>
          <w:sz w:val="24"/>
          <w:szCs w:val="24"/>
        </w:rPr>
        <w:t xml:space="preserve">(d) Two attributes most associated with quality. </w:t>
      </w:r>
      <w:r>
        <w:rPr>
          <w:rFonts w:ascii="Times New Roman" w:cs="Times New Roman" w:eastAsia="Times New Roman" w:hAnsi="Times New Roman"/>
          <w:b w:val="false"/>
          <w:bCs w:val="false"/>
          <w:color w:val="000000"/>
          <w:sz w:val="24"/>
          <w:szCs w:val="24"/>
        </w:rPr>
        <w:t xml:space="preserve">Table 12 ranks the attributes by the absolute value of their correlation with quality.</w:t>
      </w:r>
    </w:p>
    <w:p>
      <w:pPr>
        <w:keepNext/>
        <w:spacing w:after="100" w:before="160"/>
        <w:jc w:val="center"/>
      </w:pPr>
      <w:r>
        <w:rPr>
          <w:rFonts w:ascii="Times New Roman" w:cs="Times New Roman" w:eastAsia="Times New Roman" w:hAnsi="Times New Roman"/>
          <w:b/>
          <w:bCs/>
          <w:color w:val="000000"/>
          <w:sz w:val="22"/>
          <w:szCs w:val="22"/>
        </w:rPr>
        <w:t xml:space="preserve">Table 12: Correlation of each attribute with quality (ranked by absolute value)</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400"/>
      </w:tblGrid>
      <w:tr>
        <w:trPr>
          <w:cantSplit/>
          <w:tblHeader/>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Rank</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Attribute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Correlation</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Direction</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Alcohol</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0.4443</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Positive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Density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-0.3059</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Negative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3</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Volatile acidity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-0.2657</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Negative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Chlorides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-0.2007</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Negative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Citric acid</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0.0855</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Positive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6</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Fixed acidity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-0.0767</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Negative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Free sulfur dioxide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0.0555</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Positive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8</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Total sulfur dioxide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-0.0414</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Negative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9</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Sulphates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0.0385</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Positive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10</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Residual sugar</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-0.0370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Negative</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11</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pH</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0.0195</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Positive</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The two attributes most strongly associated with quality are alcohol (r = 0.4443, positive) and density (r = -0.3059, negative). Higher alcohol goes with higher quality, and higher density goes with lower quality. However, density and alcohol are themselves strongly and negatively related (-0.69), because alcohol is lighter than water, so wines with more alcohol are less dense. Much of the effect of density may therefore be the alcohol effect in another form. Volatile acidity (-0.2657) is a close third.</w:t>
      </w:r>
    </w:p>
    <w:p>
      <w:pPr>
        <w:pStyle w:val="Heading2"/>
        <w:keepNext/>
        <w:spacing w:after="140" w:before="300"/>
      </w:pPr>
      <w:r>
        <w:rPr>
          <w:rFonts w:ascii="Times New Roman" w:cs="Times New Roman" w:eastAsia="Times New Roman" w:hAnsi="Times New Roman"/>
          <w:b/>
          <w:bCs/>
          <w:color w:val="000000"/>
          <w:sz w:val="28"/>
          <w:szCs w:val="28"/>
        </w:rPr>
        <w:t xml:space="preserve">5. Model Evaluation</w:t>
      </w:r>
    </w:p>
    <w:p>
      <w:pPr>
        <w:pStyle w:val="Heading3"/>
        <w:keepNext/>
        <w:spacing w:after="100" w:before="200"/>
      </w:pPr>
      <w:r>
        <w:rPr>
          <w:rFonts w:ascii="Times New Roman" w:cs="Times New Roman" w:eastAsia="Times New Roman" w:hAnsi="Times New Roman"/>
          <w:b/>
          <w:bCs/>
          <w:color w:val="000000"/>
          <w:sz w:val="24"/>
          <w:szCs w:val="24"/>
        </w:rPr>
        <w:t xml:space="preserve">5.1 Task 3: Predictive Modelling</w:t>
      </w:r>
    </w:p>
    <w:p>
      <w:pPr>
        <w:keepNext w:val="false"/>
        <w:spacing w:after="140" w:line="312"/>
        <w:jc w:val="both"/>
      </w:pPr>
      <w:r>
        <w:rPr>
          <w:rFonts w:ascii="Times New Roman" w:cs="Times New Roman" w:eastAsia="Times New Roman" w:hAnsi="Times New Roman"/>
          <w:b/>
          <w:bCs/>
          <w:color w:val="000000"/>
          <w:sz w:val="24"/>
          <w:szCs w:val="24"/>
        </w:rPr>
        <w:t xml:space="preserve">(a, b, c) Model and test set metrics. </w:t>
      </w:r>
      <w:r>
        <w:rPr>
          <w:rFonts w:ascii="Times New Roman" w:cs="Times New Roman" w:eastAsia="Times New Roman" w:hAnsi="Times New Roman"/>
          <w:b w:val="false"/>
          <w:bCs w:val="false"/>
          <w:color w:val="000000"/>
          <w:sz w:val="24"/>
          <w:szCs w:val="24"/>
        </w:rPr>
        <w:t xml:space="preserve">A multiple linear regression model with all 11 attributes was trained on 5,197 wines and tested on 1,300 wines. The test results are in Table 13.</w:t>
      </w:r>
    </w:p>
    <w:p>
      <w:pPr>
        <w:keepNext/>
        <w:spacing w:after="100" w:before="160"/>
        <w:jc w:val="center"/>
      </w:pPr>
      <w:r>
        <w:rPr>
          <w:rFonts w:ascii="Times New Roman" w:cs="Times New Roman" w:eastAsia="Times New Roman" w:hAnsi="Times New Roman"/>
          <w:b/>
          <w:bCs/>
          <w:color w:val="000000"/>
          <w:sz w:val="22"/>
          <w:szCs w:val="22"/>
        </w:rPr>
        <w:t xml:space="preserve">Table 13: Performance of the regression model on the test set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rPr>
          <w:cantSplit/>
          <w:tblHeader/>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Metric</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Value</w:t>
            </w:r>
          </w:p>
        </w:tc>
        <w:tc>
          <w:tcPr>
            <w:tcW w:type="dxa" w:w="5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Meaning</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MAE</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0.5659</w:t>
            </w:r>
          </w:p>
        </w:tc>
        <w:tc>
          <w:tcPr>
            <w:tcW w:type="dxa" w:w="5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On average, the prediction is off by about 0.57 quality points</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MSE</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0.5467</w:t>
            </w:r>
          </w:p>
        </w:tc>
        <w:tc>
          <w:tcPr>
            <w:tcW w:type="dxa" w:w="5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Average of the squared errors</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RMSE</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0.7394</w:t>
            </w:r>
          </w:p>
        </w:tc>
        <w:tc>
          <w:tcPr>
            <w:tcW w:type="dxa" w:w="5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Typical error of about 0.74 quality points; large errors count more</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R-squared</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0.2598</w:t>
            </w:r>
          </w:p>
        </w:tc>
        <w:tc>
          <w:tcPr>
            <w:tcW w:type="dxa" w:w="5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The model explains about 26 percent of the variation in quality</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The training R-squared is 0.2993, which is close to the test value of 0.2598, so the model is not overfitting. Its weakness is that it simply does not capture enough of the variation. To judge the errors, two more checks were made. About 53.9 percent of the test wines were predicted within 0.5 points of the actual score, and 84.2 percent were predicted within 1.0 point. As a baseline, a model that always predicts the average quality has an RMSE of 0.8596, so the regression model improves the error by only 14.0 percent.</w:t>
      </w:r>
    </w:p>
    <w:p>
      <w:pPr>
        <w:keepNext w:val="false"/>
        <w:spacing w:after="140" w:line="312"/>
        <w:jc w:val="both"/>
      </w:pPr>
      <w:r>
        <w:rPr>
          <w:rFonts w:ascii="Times New Roman" w:cs="Times New Roman" w:eastAsia="Times New Roman" w:hAnsi="Times New Roman"/>
          <w:b/>
          <w:bCs/>
          <w:color w:val="000000"/>
          <w:sz w:val="24"/>
          <w:szCs w:val="24"/>
        </w:rPr>
        <w:t xml:space="preserve">(d) Influential predictors and multicollinearity. </w:t>
      </w:r>
      <w:r>
        <w:rPr>
          <w:rFonts w:ascii="Times New Roman" w:cs="Times New Roman" w:eastAsia="Times New Roman" w:hAnsi="Times New Roman"/>
          <w:b w:val="false"/>
          <w:bCs w:val="false"/>
          <w:color w:val="000000"/>
          <w:sz w:val="24"/>
          <w:szCs w:val="24"/>
        </w:rPr>
        <w:t xml:space="preserve">Raw coefficients cannot be compared because the attributes are measured on different scales. Standardized coefficients put them on the same scale, so Table 14 can be used to compare their influence.</w:t>
      </w:r>
    </w:p>
    <w:p>
      <w:pPr>
        <w:keepNext/>
        <w:spacing w:after="100" w:before="160"/>
        <w:jc w:val="center"/>
      </w:pPr>
      <w:r>
        <w:rPr>
          <w:rFonts w:ascii="Times New Roman" w:cs="Times New Roman" w:eastAsia="Times New Roman" w:hAnsi="Times New Roman"/>
          <w:b/>
          <w:bCs/>
          <w:color w:val="000000"/>
          <w:sz w:val="22"/>
          <w:szCs w:val="22"/>
        </w:rPr>
        <w:t xml:space="preserve">Table 14: Standardized coefficients and VIF of the 11 predictors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1800"/>
      </w:tblGrid>
      <w:tr>
        <w:trPr>
          <w:cantSplit/>
          <w:tblHeader/>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bCs/>
                <w:color w:val="000000"/>
                <w:sz w:val="21"/>
                <w:szCs w:val="21"/>
              </w:rPr>
              <w:t xml:space="preserve">Attribute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Raw Coefficient</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Standardized Coefficient</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bCs/>
                <w:color w:val="000000"/>
                <w:sz w:val="21"/>
                <w:szCs w:val="21"/>
              </w:rPr>
              <w:t xml:space="preserve">VIF</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Alcohol</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0.2707</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0.3678</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4.78</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Residual sugar</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0.0459</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0.2514</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7.23</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Volatile acidity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-1.3508</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-0.2499</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1.95</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Density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-58.9451</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-0.2023</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15.91</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Total sulfur dioxide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-0.0027</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-0.1706</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2.94</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Free sulfur dioxide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0.0070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0.1398</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2.14</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Sulphates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0.8084</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0.1371</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1.54</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Fixed acidity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0.0790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0.1161</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4.90</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pH</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0.4828</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0.0879</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2.54</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Citric acid</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-0.1438</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-0.0237</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1.61</w:t>
            </w:r>
          </w:p>
        </w:tc>
      </w:tr>
      <w:tr>
        <w:trPr>
          <w:cantSplit/>
        </w:trP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left"/>
            </w:pPr>
            <w:r>
              <w:rPr>
                <w:rFonts w:ascii="Times New Roman" w:cs="Times New Roman" w:eastAsia="Times New Roman" w:hAnsi="Times New Roman"/>
                <w:b w:val="false"/>
                <w:bCs w:val="false"/>
                <w:color w:val="000000"/>
                <w:sz w:val="21"/>
                <w:szCs w:val="21"/>
              </w:rPr>
              <w:t xml:space="preserve">Chlorides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-0.3328</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-0.0132</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keepNext/>
              <w:jc w:val="center"/>
            </w:pPr>
            <w:r>
              <w:rPr>
                <w:rFonts w:ascii="Times New Roman" w:cs="Times New Roman" w:eastAsia="Times New Roman" w:hAnsi="Times New Roman"/>
                <w:b w:val="false"/>
                <w:bCs w:val="false"/>
                <w:color w:val="000000"/>
                <w:sz w:val="21"/>
                <w:szCs w:val="21"/>
              </w:rPr>
              <w:t xml:space="preserve">1.63</w:t>
            </w:r>
          </w:p>
        </w:tc>
      </w:tr>
    </w:tbl>
    <w:p>
      <w:pPr>
        <w:spacing w:after="160"/>
      </w:pPr>
    </w:p>
    <w:p>
      <w:pPr>
        <w:spacing w:after="140" w:line="312"/>
        <w:jc w:val="both"/>
      </w:pPr>
      <w:r>
        <w:rPr>
          <w:rFonts w:ascii="Times New Roman" w:cs="Times New Roman" w:eastAsia="Times New Roman" w:hAnsi="Times New Roman"/>
          <w:color w:val="000000"/>
          <w:sz w:val="24"/>
          <w:szCs w:val="24"/>
        </w:rPr>
        <w:t xml:space="preserve">By the size of the standardized coefficient, the two most influential predictors are alcohol (0.3678) and residual sugar (0.2514). Volatile acidity (-0.2499) is almost tied with residual sugar, so it is nearly as important.</w:t>
      </w:r>
    </w:p>
    <w:p>
      <w:pPr>
        <w:spacing w:after="140" w:line="312"/>
        <w:jc w:val="both"/>
      </w:pPr>
      <w:r>
        <w:rPr>
          <w:rFonts w:ascii="Times New Roman" w:cs="Times New Roman" w:eastAsia="Times New Roman" w:hAnsi="Times New Roman"/>
          <w:color w:val="000000"/>
          <w:sz w:val="24"/>
          <w:szCs w:val="24"/>
        </w:rPr>
        <w:t xml:space="preserve">Multicollinearity must be checked before trusting these effects. A VIF above 5 is a warning and above 10 is serious. Density has a VIF of 15.91, which is serious, and residual sugar has a VIF of 7.23, which is a warning. Alcohol (4.78) and fixed acidity (4.90) are just below the warning level. The reason is that density is strongly tied to alcohol (-0.69) and to residual sugar (0.55), so the model cannot separate their effects cleanly.</w:t>
      </w:r>
    </w:p>
    <w:p>
      <w:pPr>
        <w:spacing w:after="140" w:line="312"/>
        <w:jc w:val="both"/>
      </w:pPr>
      <w:r>
        <w:rPr>
          <w:rFonts w:ascii="Times New Roman" w:cs="Times New Roman" w:eastAsia="Times New Roman" w:hAnsi="Times New Roman"/>
          <w:color w:val="000000"/>
          <w:sz w:val="24"/>
          <w:szCs w:val="24"/>
        </w:rPr>
        <w:t xml:space="preserve">This changes how the result should be read. Residual sugar on its own has almost no correlation with quality (-0.037), yet its coefficient in the model is positive and large. This sign change is a typical effect of multicollinearity. Once density is in the model, residual sugar is acting as an adjustment for density and is not a true sign that sugar improves quality. In the same way, the large negative coefficient of density (-58.9) is unstable. The effect of alcohol is more reliable, since it agrees with its simple correlation and its box plot. Volatile acidity is also reliable because its VIF is low (1.95) and its sign agrees with its correlation.</w:t>
      </w:r>
    </w:p>
    <w:p>
      <w:pPr>
        <w:keepNext w:val="false"/>
        <w:spacing w:after="140" w:line="312"/>
        <w:jc w:val="both"/>
      </w:pPr>
      <w:r>
        <w:rPr>
          <w:rFonts w:ascii="Times New Roman" w:cs="Times New Roman" w:eastAsia="Times New Roman" w:hAnsi="Times New Roman"/>
          <w:b/>
          <w:bCs/>
          <w:color w:val="000000"/>
          <w:sz w:val="24"/>
          <w:szCs w:val="24"/>
        </w:rPr>
        <w:t xml:space="preserve">(e) Predicted versus actual scores. </w:t>
      </w:r>
      <w:r>
        <w:rPr>
          <w:rFonts w:ascii="Times New Roman" w:cs="Times New Roman" w:eastAsia="Times New Roman" w:hAnsi="Times New Roman"/>
          <w:b w:val="false"/>
          <w:bCs w:val="false"/>
          <w:color w:val="000000"/>
          <w:sz w:val="24"/>
          <w:szCs w:val="24"/>
        </w:rPr>
        <w:t xml:space="preserve">Figure 17 compares the predicted and the actual scores for the test set.</w:t>
      </w:r>
    </w:p>
    <w:p>
      <w:pPr>
        <w:keepNext/>
        <w:spacing w:after="80" w:before="160"/>
        <w:jc w:val="center"/>
      </w:pPr>
      <w:r>
        <w:drawing>
          <wp:inline distT="0" distB="0" distL="0" distR="0">
            <wp:extent cx="3409950" cy="2952750"/>
            <wp:effectExtent t="0" r="0" b="0" l="0"/>
            <wp:docPr id="1" name="cs5_pred_vs_actual.png" descr="Predicted quality against actual quality on the test set" title="Predicted quality against actual quality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09950" cy="295275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17: Predicted quality against actual quality on the test set</w:t>
      </w:r>
    </w:p>
    <w:p>
      <w:pPr>
        <w:spacing w:after="140" w:line="312"/>
        <w:jc w:val="both"/>
      </w:pPr>
      <w:r>
        <w:rPr>
          <w:rFonts w:ascii="Times New Roman" w:cs="Times New Roman" w:eastAsia="Times New Roman" w:hAnsi="Times New Roman"/>
          <w:color w:val="000000"/>
          <w:sz w:val="24"/>
          <w:szCs w:val="24"/>
        </w:rPr>
        <w:t xml:space="preserve">If the model were perfect, all points would lie on the dashed line. Instead, the points form a wide cloud. For every actual score, the predictions spread over a range of about two points. The model also pulls its predictions towards the middle. The average prediction for wines with a true score of 3 is 5.65, and for a true score of 9 it is 6.65. Poor wines are predicted too high and excellent wines are predicted too low, so the model cannot separate the extremes well. The ranking is still right in general, since the average prediction rises from 5.51 for quality 5 to 6.20 for quality 7 and 6.39 for quality 8.</w:t>
      </w:r>
    </w:p>
    <w:p>
      <w:pPr>
        <w:keepNext/>
        <w:spacing w:after="80" w:before="160"/>
        <w:jc w:val="center"/>
      </w:pPr>
      <w:r>
        <w:drawing>
          <wp:inline distT="0" distB="0" distL="0" distR="0">
            <wp:extent cx="3429000" cy="2333625"/>
            <wp:effectExtent t="0" r="0" b="0" l="0"/>
            <wp:docPr id="1" name="cs5_residuals.png" descr="Distribution of prediction errors on the test set" title="Distribution of prediction error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29000" cy="2333625"/>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18: Distribution of prediction errors on the test set</w:t>
      </w:r>
    </w:p>
    <w:p>
      <w:pPr>
        <w:spacing w:after="140" w:line="312"/>
        <w:jc w:val="both"/>
      </w:pPr>
      <w:r>
        <w:rPr>
          <w:rFonts w:ascii="Times New Roman" w:cs="Times New Roman" w:eastAsia="Times New Roman" w:hAnsi="Times New Roman"/>
          <w:color w:val="000000"/>
          <w:sz w:val="24"/>
          <w:szCs w:val="24"/>
        </w:rPr>
        <w:t xml:space="preserve">Figure 18 shows that the errors are centred around zero (mean error 0.02), so the model is not biased up or down. But the spread is wide, and some errors are large: the biggest over-prediction is 3.97 points and the biggest under-prediction is 2.44 points. The main limitations of the model are the following.</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Linear form: It assumes a straight-line effect for every attribute, but wine quality may depend on interactions and curved effects.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Few extreme wines: There are very few wines of quality 3, 4, 8 and 9, so the model learns little about them and predicts values near the average.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Multicollinearity: Density, residual sugar and alcohol are tied together, which makes the individual coefficients unreliable.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Subjective target: Quality comes from human taste scores, which carry personal opinion and cannot be explained fully by chemistry.</w:t>
      </w:r>
    </w:p>
    <w:p>
      <w:pPr>
        <w:pStyle w:val="Heading2"/>
        <w:keepNext/>
        <w:spacing w:after="140" w:before="300"/>
      </w:pPr>
      <w:r>
        <w:rPr>
          <w:rFonts w:ascii="Times New Roman" w:cs="Times New Roman" w:eastAsia="Times New Roman" w:hAnsi="Times New Roman"/>
          <w:b/>
          <w:bCs/>
          <w:color w:val="000000"/>
          <w:sz w:val="28"/>
          <w:szCs w:val="28"/>
        </w:rPr>
        <w:t xml:space="preserve">6. Business Decision-Making</w:t>
      </w:r>
    </w:p>
    <w:p>
      <w:pPr>
        <w:pStyle w:val="Heading3"/>
        <w:keepNext/>
        <w:spacing w:after="100" w:before="200"/>
      </w:pPr>
      <w:r>
        <w:rPr>
          <w:rFonts w:ascii="Times New Roman" w:cs="Times New Roman" w:eastAsia="Times New Roman" w:hAnsi="Times New Roman"/>
          <w:b/>
          <w:bCs/>
          <w:color w:val="000000"/>
          <w:sz w:val="24"/>
          <w:szCs w:val="24"/>
        </w:rPr>
        <w:t xml:space="preserve">6.1 Task 4: Recommendation to the Company</w:t>
      </w:r>
    </w:p>
    <w:p>
      <w:pPr>
        <w:keepNext w:val="false"/>
        <w:spacing w:after="140" w:line="312"/>
        <w:jc w:val="both"/>
      </w:pPr>
      <w:r>
        <w:rPr>
          <w:rFonts w:ascii="Times New Roman" w:cs="Times New Roman" w:eastAsia="Times New Roman" w:hAnsi="Times New Roman"/>
          <w:b/>
          <w:bCs/>
          <w:color w:val="000000"/>
          <w:sz w:val="24"/>
          <w:szCs w:val="24"/>
        </w:rPr>
        <w:t xml:space="preserve">(a) Measurements to focus on during screening. </w:t>
      </w:r>
      <w:r>
        <w:rPr>
          <w:rFonts w:ascii="Times New Roman" w:cs="Times New Roman" w:eastAsia="Times New Roman" w:hAnsi="Times New Roman"/>
          <w:b w:val="false"/>
          <w:bCs w:val="false"/>
          <w:color w:val="000000"/>
          <w:sz w:val="24"/>
          <w:szCs w:val="24"/>
        </w:rPr>
        <w:t xml:space="preserve">The two measurements recommended are alcohol and volatile acidity. Alcohol has the strongest link with quality (r = 0.4443), a strong standardized coefficient (0.3678) and a clear rise in the box plots from quality 5 to quality 9. Volatile acidity has a clear negative link (r = -0.2657), a strong standardized coefficient (-0.2499) and a low VIF of 1.95, so its effect is dependable. In practical terms, wines with low alcohol or high volatile acidity should be flagged for closer checking. Density and residual sugar were not chosen, because their effects are tangled with alcohol and with each other.</w:t>
      </w:r>
    </w:p>
    <w:p>
      <w:pPr>
        <w:keepNext w:val="false"/>
        <w:spacing w:after="140" w:line="312"/>
        <w:jc w:val="both"/>
      </w:pPr>
      <w:r>
        <w:rPr>
          <w:rFonts w:ascii="Times New Roman" w:cs="Times New Roman" w:eastAsia="Times New Roman" w:hAnsi="Times New Roman"/>
          <w:b/>
          <w:bCs/>
          <w:color w:val="000000"/>
          <w:sz w:val="24"/>
          <w:szCs w:val="24"/>
        </w:rPr>
        <w:t xml:space="preserve">(b) Can the model replace sensory evaluation? </w:t>
      </w:r>
      <w:r>
        <w:rPr>
          <w:rFonts w:ascii="Times New Roman" w:cs="Times New Roman" w:eastAsia="Times New Roman" w:hAnsi="Times New Roman"/>
          <w:b w:val="false"/>
          <w:bCs w:val="false"/>
          <w:color w:val="000000"/>
          <w:sz w:val="24"/>
          <w:szCs w:val="24"/>
        </w:rPr>
        <w:t xml:space="preserve">No, the model is not reliable enough to replace sensory evaluation. The test results give the reasons: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R-squared is only 0.2598, so about 74 percent of the variation in quality is not explained by the 11 measurements.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RMSE is 0.7394 and MAE is 0.5659. On a scale where most wines score between 5 and 7, an error of this size can move a wine into a different quality level.</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Only 53.9 percent of wines are predicted within 0.5 points, so nearly half of the predictions are further away.</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The RMSE is only 14 percent better than simply guessing the average score every time.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The model fails for the most important wines. Poor wines are predicted as average, and excellent wines are also predicted as average.</w:t>
      </w:r>
    </w:p>
    <w:p>
      <w:pPr>
        <w:spacing w:after="140" w:line="312"/>
        <w:jc w:val="both"/>
      </w:pPr>
      <w:r>
        <w:rPr>
          <w:rFonts w:ascii="Times New Roman" w:cs="Times New Roman" w:eastAsia="Times New Roman" w:hAnsi="Times New Roman"/>
          <w:color w:val="000000"/>
          <w:sz w:val="24"/>
          <w:szCs w:val="24"/>
        </w:rPr>
        <w:t xml:space="preserve">The model is still useful as a support tool. It can be used for a first screening of wines in the laboratory, so that wines with unusual measurements are sent to the tasting panel, while the final decision on quality remains with the human experts.</w:t>
      </w:r>
    </w:p>
    <w:p>
      <w:pPr>
        <w:keepNext w:val="false"/>
        <w:spacing w:after="140" w:line="312"/>
        <w:jc w:val="both"/>
      </w:pPr>
      <w:r>
        <w:rPr>
          <w:rFonts w:ascii="Times New Roman" w:cs="Times New Roman" w:eastAsia="Times New Roman" w:hAnsi="Times New Roman"/>
          <w:b/>
          <w:bCs/>
          <w:color w:val="000000"/>
          <w:sz w:val="24"/>
          <w:szCs w:val="24"/>
        </w:rPr>
        <w:t xml:space="preserve">(c) Limitations of the dataset and the approach. </w:t>
      </w:r>
      <w:r>
        <w:rPr>
          <w:rFonts w:ascii="Times New Roman" w:cs="Times New Roman" w:eastAsia="Times New Roman" w:hAnsi="Times New Roman"/>
          <w:b w:val="false"/>
          <w:bCs w:val="false"/>
          <w:color w:val="000000"/>
          <w:sz w:val="24"/>
          <w:szCs w:val="24"/>
        </w:rPr>
        <w:t xml:space="preserve">Two main limitations are listed below.</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Limitation of the dataset: The quality score is a median of expert opinions, which is subjective, and the scores are unbalanced, with 93 percent of the wines scored between 5 and 7. The data also comes from only one region (Vinho Verde from Portugal), has 1,177 repeated rows and does not include important factors such as grape type, brand or price. The red and white wines were also combined, although they can have different chemistry.</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Limitation of the approach: A single linear regression model was used, and it cannot capture curved or interacting effects. Several predictors are strongly correlated (density has a VIF of 15.91), so the individual coefficients are unstable. The quality score was also treated as a continuous number, although it is really an ordered category. Methods such as random forests or classification models, and separate models for red and white wines, could give better results.</w:t>
      </w:r>
    </w:p>
    <w:p>
      <w:pPr>
        <w:pStyle w:val="Heading2"/>
        <w:keepNext/>
        <w:spacing w:after="140" w:before="300"/>
      </w:pPr>
      <w:r>
        <w:rPr>
          <w:rFonts w:ascii="Times New Roman" w:cs="Times New Roman" w:eastAsia="Times New Roman" w:hAnsi="Times New Roman"/>
          <w:b/>
          <w:bCs/>
          <w:color w:val="000000"/>
          <w:sz w:val="28"/>
          <w:szCs w:val="28"/>
        </w:rPr>
        <w:t xml:space="preserve">7. Conclusion</w:t>
      </w:r>
    </w:p>
    <w:p>
      <w:pPr>
        <w:spacing w:after="140" w:line="312"/>
        <w:jc w:val="both"/>
      </w:pPr>
      <w:r>
        <w:rPr>
          <w:rFonts w:ascii="Times New Roman" w:cs="Times New Roman" w:eastAsia="Times New Roman" w:hAnsi="Times New Roman"/>
          <w:color w:val="000000"/>
          <w:sz w:val="24"/>
          <w:szCs w:val="24"/>
        </w:rPr>
        <w:t xml:space="preserve">The case study shows that the physicochemical measurements are related to wine quality, but only partly. Alcohol is the most important measurement and is positively linked to quality, while density, volatile acidity and chlorides are negatively linked. The multiple linear regression model reached an R-squared of 0.2598 and an RMSE of 0.7394 on the test set. This means it explains only about a quarter of the variation in quality. The company can use alcohol and volatile acidity as simple early warning checks in a laboratory screening process, but the model should support, and not replace, the sensory evaluation by expert tasters.</w:t>
      </w:r>
    </w:p>
    <w:p>
      <w:pPr>
        <w:pStyle w:val="Heading1"/>
        <w:pageBreakBefore/>
        <w:pBdr>
          <w:bottom w:val="single" w:color="000000" w:sz="8" w:space="6"/>
        </w:pBdr>
        <w:spacing w:after="300" w:before="0"/>
        <w:jc w:val="center"/>
      </w:pPr>
      <w:r>
        <w:rPr>
          <w:rFonts w:ascii="Times New Roman" w:cs="Times New Roman" w:eastAsia="Times New Roman" w:hAnsi="Times New Roman"/>
          <w:b/>
          <w:bCs/>
          <w:color w:val="000000"/>
          <w:sz w:val="32"/>
          <w:szCs w:val="32"/>
        </w:rPr>
        <w:t xml:space="preserve">REFERENCES</w:t>
      </w:r>
    </w:p>
    <w:p>
      <w:pPr>
        <w:spacing w:after="140" w:line="312"/>
        <w:jc w:val="both"/>
      </w:pPr>
      <w:r>
        <w:rPr>
          <w:rFonts w:ascii="Times New Roman" w:cs="Times New Roman" w:eastAsia="Times New Roman" w:hAnsi="Times New Roman"/>
          <w:color w:val="000000"/>
          <w:sz w:val="24"/>
          <w:szCs w:val="24"/>
        </w:rPr>
        <w:t xml:space="preserve">1. P. Cortez, A. Cerdeira, F. Almeida, T. Matos and J. Reis. Modeling wine preferences by data mining from physicochemical properties. Decision Support Systems, Elsevier, 47(4):547-553, 2009.</w:t>
      </w:r>
    </w:p>
    <w:p>
      <w:pPr>
        <w:spacing w:after="140" w:line="312"/>
        <w:jc w:val="both"/>
      </w:pPr>
      <w:r>
        <w:rPr>
          <w:rFonts w:ascii="Times New Roman" w:cs="Times New Roman" w:eastAsia="Times New Roman" w:hAnsi="Times New Roman"/>
          <w:color w:val="000000"/>
          <w:sz w:val="24"/>
          <w:szCs w:val="24"/>
        </w:rPr>
        <w:t xml:space="preserve">2. East-West Airlines dataset. Based on real business data, with company names changed. Copyright 2016, Galit Shmueli and Peter Bruce.</w:t>
      </w:r>
    </w:p>
    <w:p>
      <w:pPr>
        <w:spacing w:after="140" w:line="312"/>
        <w:jc w:val="both"/>
      </w:pPr>
      <w:r>
        <w:rPr>
          <w:rFonts w:ascii="Times New Roman" w:cs="Times New Roman" w:eastAsia="Times New Roman" w:hAnsi="Times New Roman"/>
          <w:color w:val="000000"/>
          <w:sz w:val="24"/>
          <w:szCs w:val="24"/>
        </w:rPr>
        <w:t xml:space="preserve">3. F. Pedregosa et al. Scikit-learn: Machine learning in Python. Journal of Machine Learning Research, 12:2825-2830, 2011.</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jc w:val="center"/>
    </w:pPr>
    <w:r>
      <w:rPr>
        <w:rFonts w:ascii="Times New Roman" w:cs="Times New Roman" w:eastAsia="Times New Roman" w:hAnsi="Times New Roman"/>
        <w:color w:val="000000"/>
        <w:sz w:val="20"/>
        <w:szCs w:val="20"/>
      </w:rPr>
      <w:t xml:space="preserve">Fundamentals of Data Science - Case Studies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c06c3462aae5f3e0445e02e4ae276c535512d6.png"/><Relationship Id="rId10" Type="http://schemas.openxmlformats.org/officeDocument/2006/relationships/image" Target="media/9693ab716eb7b6089a03c3fe6f5074edee16f611.png"/><Relationship Id="rId11" Type="http://schemas.openxmlformats.org/officeDocument/2006/relationships/image" Target="media/2ecd6ec205e1a9b2bda0df248c74b6e73f03be4b.png"/><Relationship Id="rId12" Type="http://schemas.openxmlformats.org/officeDocument/2006/relationships/image" Target="media/2de2d6368e9cd47f830b97a160e5c6e3347f5cb9.png"/><Relationship Id="rId13" Type="http://schemas.openxmlformats.org/officeDocument/2006/relationships/image" Target="media/f3d2ea85c3001bb0e8bd3be5c2ddd28f0094dc87.png"/><Relationship Id="rId14" Type="http://schemas.openxmlformats.org/officeDocument/2006/relationships/image" Target="media/de9dd3596a2ddf80cbf4cc5cdd8576a5fe8b56d1.png"/><Relationship Id="rId15" Type="http://schemas.openxmlformats.org/officeDocument/2006/relationships/image" Target="media/037b6005df82f37621807aeef545c1756faf7fd6.png"/><Relationship Id="rId16" Type="http://schemas.openxmlformats.org/officeDocument/2006/relationships/image" Target="media/bf06e3b08a10ad5fc9276b174cf478df73d1ccf9.png"/><Relationship Id="rId17" Type="http://schemas.openxmlformats.org/officeDocument/2006/relationships/image" Target="media/7f2ae573c4701bd754e7d0a205aa7843c632e981.png"/><Relationship Id="rId18" Type="http://schemas.openxmlformats.org/officeDocument/2006/relationships/image" Target="media/06dd2830809abd7e157c76c08bfc273cc51a5f3a.png"/><Relationship Id="rId19" Type="http://schemas.openxmlformats.org/officeDocument/2006/relationships/image" Target="media/053a286144a85855c87d4cd8458b059893eeab14.png"/><Relationship Id="rId20" Type="http://schemas.openxmlformats.org/officeDocument/2006/relationships/image" Target="media/c057b73b5177dcd951363383c82f86276ff952e8.png"/><Relationship Id="rId21" Type="http://schemas.openxmlformats.org/officeDocument/2006/relationships/image" Target="media/3eaca838eba9fa6bcd7c413bd0c91a780a52fdc3.png"/><Relationship Id="rId22" Type="http://schemas.openxmlformats.org/officeDocument/2006/relationships/image" Target="media/b931f74e476d185616f34134e7ff5e6f80286014.png"/><Relationship Id="rId23" Type="http://schemas.openxmlformats.org/officeDocument/2006/relationships/image" Target="media/9ae253f3a2eb63913d734b6893a6ded67671da59.png"/><Relationship Id="rId24" Type="http://schemas.openxmlformats.org/officeDocument/2006/relationships/image" Target="media/3d513b683e6cf1d1f8c04c9461971c969bc29995.png"/><Relationship Id="rId25" Type="http://schemas.openxmlformats.org/officeDocument/2006/relationships/image" Target="media/58baf81a0b8be163efc5ca90f628ce5e481257a7.png"/><Relationship Id="rId26" Type="http://schemas.openxmlformats.org/officeDocument/2006/relationships/image" Target="media/44459963ebd3378d815a0b4001ea48c7872134d1.png"/><Relationship Id="rId27" Type="http://schemas.openxmlformats.org/officeDocument/2006/relationships/image" Target="media/6b8bb2fb5fa6bbc6b34f2014ac954336220482f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Science - Case Studies 2 and 5</dc:title>
  <dc:creator>Deekonda Bhavesh</dc:creator>
  <cp:lastModifiedBy>Un-named</cp:lastModifiedBy>
  <cp:revision>1</cp:revision>
  <dcterms:created xsi:type="dcterms:W3CDTF">2026-10-27T04:45:19.027Z</dcterms:created>
  <dcterms:modified xsi:type="dcterms:W3CDTF">2026-10-27T04:45:19.032Z</dcterms:modified>
</cp:coreProperties>
</file>

<file path=docProps/custom.xml><?xml version="1.0" encoding="utf-8"?>
<Properties xmlns="http://schemas.openxmlformats.org/officeDocument/2006/custom-properties" xmlns:vt="http://schemas.openxmlformats.org/officeDocument/2006/docPropsVTypes"/>
</file>