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C8A24D"/>
          <w:sz w:val="24"/>
          <w:szCs w:val="24"/>
        </w:rPr>
        <w:t xml:space="preserve">EVIDENCE AND IMPLICATIONS OF A</w:t>
      </w:r>
    </w:p>
    <w:p>
      <w:pPr>
        <w:spacing w:after="300"/>
        <w:jc w:val="center"/>
      </w:pPr>
      <w:r>
        <w:rPr>
          <w:b/>
          <w:bCs/>
          <w:color w:val="0B1F3A"/>
          <w:sz w:val="56"/>
          <w:szCs w:val="56"/>
        </w:rPr>
        <w:t xml:space="preserve">K-SHAPED ECONOMY</w:t>
      </w:r>
    </w:p>
    <w:p>
      <w:pPr>
        <w:spacing w:after="800"/>
        <w:jc w:val="center"/>
      </w:pPr>
      <w:r>
        <w:rPr>
          <w:i/>
          <w:iCs/>
          <w:color w:val="6C757D"/>
          <w:sz w:val="26"/>
          <w:szCs w:val="26"/>
        </w:rPr>
        <w:t xml:space="preserve">Research Report — Outline</w:t>
      </w:r>
    </w:p>
    <w:p>
      <w:pPr>
        <w:spacing w:after="80"/>
        <w:jc w:val="center"/>
      </w:pPr>
      <w:r>
        <w:rPr>
          <w:b/>
          <w:bCs/>
          <w:color w:val="1A1A1A"/>
          <w:sz w:val="22"/>
          <w:szCs w:val="22"/>
        </w:rPr>
        <w:t xml:space="preserve">Team Zeta</w:t>
      </w:r>
    </w:p>
    <w:p>
      <w:pPr>
        <w:spacing w:after="80"/>
        <w:jc w:val="center"/>
      </w:pPr>
      <w:r>
        <w:rPr>
          <w:color w:val="1A1A1A"/>
          <w:sz w:val="20"/>
          <w:szCs w:val="20"/>
        </w:rPr>
        <w:t xml:space="preserve">UCSD Rady School of Management — Master of Quantitative Finance</w:t>
      </w:r>
    </w:p>
    <w:p>
      <w:pPr>
        <w:spacing w:after="80"/>
        <w:jc w:val="center"/>
      </w:pPr>
      <w:r>
        <w:rPr>
          <w:color w:val="1A1A1A"/>
          <w:sz w:val="20"/>
          <w:szCs w:val="20"/>
        </w:rPr>
        <w:t xml:space="preserve">Capstone Sponsor: Artisan Partners</w:t>
      </w:r>
    </w:p>
    <w:p>
      <w:pPr>
        <w:spacing w:after="1600"/>
        <w:jc w:val="center"/>
      </w:pPr>
      <w:r>
        <w:rPr>
          <w:color w:val="6C757D"/>
          <w:sz w:val="20"/>
          <w:szCs w:val="20"/>
        </w:rPr>
        <w:t xml:space="preserve">August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6F8" w:val="clear"/>
            <w:tcMar>
              <w:top w:type="dxa" w:w="160"/>
              <w:left w:type="dxa" w:w="200"/>
              <w:bottom w:type="dxa" w:w="160"/>
              <w:right w:type="dxa" w:w="200"/>
            </w:tcMar>
          </w:tcPr>
          <w:p>
            <w:r>
              <w:rPr>
                <w:b/>
                <w:bCs/>
                <w:i/>
                <w:iCs/>
                <w:color w:val="0B1F3A"/>
                <w:sz w:val="20"/>
                <w:szCs w:val="20"/>
              </w:rPr>
              <w:t xml:space="preserve">Repository: github.com/dbicknell22/Capstone — all code, data, and output referenced in this outline is version-controlled and reproducible.</w:t>
            </w:r>
          </w:p>
        </w:tc>
      </w:tr>
    </w:tbl>
    <w:p>
      <w:r>
        <w:br w:type="page"/>
      </w:r>
    </w:p>
    <w:p>
      <w:pPr>
        <w:pStyle w:val="Heading1"/>
        <w:spacing w:after="120" w:before="240"/>
      </w:pPr>
      <w:r>
        <w:rPr>
          <w:b/>
          <w:bCs/>
          <w:color w:val="0B1F3A"/>
          <w:sz w:val="30"/>
          <w:szCs w:val="30"/>
        </w:rPr>
        <w:t xml:space="preserve">I. Executive Summary</w:t>
      </w:r>
    </w:p>
    <w:p>
      <w:pPr>
        <w:spacing w:after="120" w:line="276"/>
      </w:pPr>
      <w:r>
        <w:rPr>
          <w:color w:val="1A1A1A"/>
          <w:sz w:val="21"/>
          <w:szCs w:val="21"/>
        </w:rPr>
        <w:t xml:space="preserve">Baby Boomers hold 52% of U.S. household net worth with only 30% of households, and this generational imbalance is beginning to unwind as Boomers retire and shift assets toward safety. This report tests whether that shift is measurable, whether it predicts asset prices or economic growth, and whether it can be turned into an investable strategy. Four questions anchor the analysis; four answers survived rigorous, repeated cross-checking:</w:t>
      </w:r>
    </w:p>
    <w:p>
      <w:pPr>
        <w:pStyle w:val="ListParagraph"/>
        <w:numPr>
          <w:ilvl w:val="0"/>
          <w:numId w:val="2"/>
        </w:numPr>
        <w:spacing w:after="100" w:line="264"/>
      </w:pPr>
      <w:r>
        <w:rPr>
          <w:b/>
          <w:bCs/>
          <w:color w:val="0B1F3A"/>
          <w:sz w:val="21"/>
          <w:szCs w:val="21"/>
        </w:rPr>
        <w:t xml:space="preserve">Does K, or BEDI, explain asset prices? </w:t>
      </w:r>
      <w:r>
        <w:rPr>
          <w:color w:val="1A1A1A"/>
          <w:sz w:val="21"/>
          <w:szCs w:val="21"/>
        </w:rPr>
        <w:t xml:space="preserve">Only fixed income. Three independently-built signals — K, BEDI, and the isolated Boomer rotation signal — each predict 10-Year Treasury returns one quarter out. No broad effect on equities, currencies, gold, or REITs.</w:t>
      </w:r>
    </w:p>
    <w:p>
      <w:pPr>
        <w:pStyle w:val="ListParagraph"/>
        <w:numPr>
          <w:ilvl w:val="0"/>
          <w:numId w:val="2"/>
        </w:numPr>
        <w:spacing w:after="100" w:line="264"/>
      </w:pPr>
      <w:r>
        <w:rPr>
          <w:b/>
          <w:bCs/>
          <w:color w:val="0B1F3A"/>
          <w:sz w:val="21"/>
          <w:szCs w:val="21"/>
        </w:rPr>
        <w:t xml:space="preserve">Does it explain economic growth? </w:t>
      </w:r>
      <w:r>
        <w:rPr>
          <w:color w:val="1A1A1A"/>
          <w:sz w:val="21"/>
          <w:szCs w:val="21"/>
        </w:rPr>
        <w:t xml:space="preserve">No, with one caveat. Unemployment and GDP are clean nulls; industrial production is a borderline, not-quite-significant read (p=0.057).</w:t>
      </w:r>
    </w:p>
    <w:p>
      <w:pPr>
        <w:pStyle w:val="ListParagraph"/>
        <w:numPr>
          <w:ilvl w:val="0"/>
          <w:numId w:val="2"/>
        </w:numPr>
        <w:spacing w:after="100" w:line="264"/>
      </w:pPr>
      <w:r>
        <w:rPr>
          <w:b/>
          <w:bCs/>
          <w:color w:val="0B1F3A"/>
          <w:sz w:val="21"/>
          <w:szCs w:val="21"/>
        </w:rPr>
        <w:t xml:space="preserve">Are we heading into uncharted territory? </w:t>
      </w:r>
      <w:r>
        <w:rPr>
          <w:color w:val="1A1A1A"/>
          <w:sz w:val="21"/>
          <w:szCs w:val="21"/>
        </w:rPr>
        <w:t xml:space="preserve">Yes, by this measure. Boomers’ wealth-concentration ratio (1.73×) already exceeds the Silent Generation’s full historical peak (1.66×) — and Boomers have not finished retiring.</w:t>
      </w:r>
    </w:p>
    <w:p>
      <w:pPr>
        <w:pStyle w:val="ListParagraph"/>
        <w:numPr>
          <w:ilvl w:val="0"/>
          <w:numId w:val="2"/>
        </w:numPr>
        <w:spacing w:after="100" w:line="264"/>
      </w:pPr>
      <w:r>
        <w:rPr>
          <w:b/>
          <w:bCs/>
          <w:color w:val="0B1F3A"/>
          <w:sz w:val="21"/>
          <w:szCs w:val="21"/>
        </w:rPr>
        <w:t xml:space="preserve">Is there an alpha opportunity? </w:t>
      </w:r>
      <w:r>
        <w:rPr>
          <w:color w:val="1A1A1A"/>
          <w:sz w:val="21"/>
          <w:szCs w:val="21"/>
        </w:rPr>
        <w:t xml:space="preserve">Yes — in bonds, not stocks. Three independently-built signals, each turned into an actual backtested Treasury-timing strategy, materially reduce volatility and drawdown versus buy-and-hold. The original long/short equity-sector strategy the sponsor’s thesis proposed, by contrast, lost money and shows no statistical relationship to any of the signals that do work.</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6F8" w:val="clear"/>
            <w:tcMar>
              <w:top w:type="dxa" w:w="160"/>
              <w:left w:type="dxa" w:w="200"/>
              <w:bottom w:type="dxa" w:w="160"/>
              <w:right w:type="dxa" w:w="200"/>
            </w:tcMar>
          </w:tcPr>
          <w:p>
            <w:r>
              <w:rPr>
                <w:b/>
                <w:bCs/>
                <w:i/>
                <w:iCs/>
                <w:color w:val="0B1F3A"/>
                <w:sz w:val="20"/>
                <w:szCs w:val="20"/>
              </w:rPr>
              <w:t xml:space="preserve">Scorecard across all 24 tests run in this project: 4 robust regression hits (all fixed income) • 3 backtested strategies beat buy-and-hold • 2 borderline • 15 clean/fragile nulls • 1 result failed an outlier check • 1 built strategy lost money.</w:t>
            </w:r>
          </w:p>
        </w:tc>
      </w:tr>
    </w:tbl>
    <w:p>
      <w:pPr>
        <w:pStyle w:val="Heading1"/>
        <w:spacing w:after="120" w:before="240"/>
      </w:pPr>
      <w:r>
        <w:rPr>
          <w:b/>
          <w:bCs/>
          <w:color w:val="0B1F3A"/>
          <w:sz w:val="30"/>
          <w:szCs w:val="30"/>
        </w:rPr>
        <w:t xml:space="preserve">II. Introduction &amp; Research Questions</w:t>
      </w:r>
    </w:p>
    <w:p>
      <w:pPr>
        <w:pStyle w:val="Heading2"/>
        <w:spacing w:after="100" w:before="200"/>
      </w:pPr>
      <w:r>
        <w:rPr>
          <w:b/>
          <w:bCs/>
          <w:color w:val="0B1F3A"/>
          <w:sz w:val="24"/>
          <w:szCs w:val="24"/>
        </w:rPr>
        <w:t xml:space="preserve">Background</w:t>
      </w:r>
    </w:p>
    <w:p>
      <w:pPr>
        <w:spacing w:after="120" w:line="276"/>
      </w:pPr>
      <w:r>
        <w:rPr>
          <w:color w:val="1A1A1A"/>
          <w:sz w:val="21"/>
          <w:szCs w:val="21"/>
        </w:rPr>
        <w:t xml:space="preserve">Since the COVID-19 pandemic, market commentators have described the U.S. economy as “K-shaped”: a bifurcation in which upper-income, asset-owning households prospered while lower-income households fell behind. Team Zeta was asked by Artisan Partners to test whether this divergence is measurable in public data, whether it explains asset prices or growth, and whether the coming Baby Boomer retirement wave — the largest, wealthiest cohort in U.S. history beginning to draw down and de-risk its holdings — represents a new, unprecedented stress on markets.</w:t>
      </w:r>
    </w:p>
    <w:p>
      <w:pPr>
        <w:pStyle w:val="Heading2"/>
        <w:spacing w:after="100" w:before="200"/>
      </w:pPr>
      <w:r>
        <w:rPr>
          <w:b/>
          <w:bCs/>
          <w:color w:val="0B1F3A"/>
          <w:sz w:val="24"/>
          <w:szCs w:val="24"/>
        </w:rPr>
        <w:t xml:space="preserve">The original brief</w:t>
      </w:r>
    </w:p>
    <w:p>
      <w:pPr>
        <w:pStyle w:val="ListParagraph"/>
        <w:numPr>
          <w:ilvl w:val="0"/>
          <w:numId w:val="2"/>
        </w:numPr>
        <w:spacing w:after="60" w:line="264"/>
      </w:pPr>
      <w:r>
        <w:rPr>
          <w:color w:val="1A1A1A"/>
          <w:sz w:val="21"/>
          <w:szCs w:val="21"/>
        </w:rPr>
        <w:t xml:space="preserve">Does the K-shape explain asset prices? Regress stock, bond, currency, and gold returns on a wealth/income/consumer divergence index, contemporaneous and lagged.</w:t>
      </w:r>
    </w:p>
    <w:p>
      <w:pPr>
        <w:pStyle w:val="ListParagraph"/>
        <w:numPr>
          <w:ilvl w:val="0"/>
          <w:numId w:val="2"/>
        </w:numPr>
        <w:spacing w:after="60" w:line="264"/>
      </w:pPr>
      <w:r>
        <w:rPr>
          <w:color w:val="1A1A1A"/>
          <w:sz w:val="21"/>
          <w:szCs w:val="21"/>
        </w:rPr>
        <w:t xml:space="preserve">Does it explain economic growth? Model unemployment, GDP, and industrial production as a function of the same index.</w:t>
      </w:r>
    </w:p>
    <w:p>
      <w:pPr>
        <w:pStyle w:val="ListParagraph"/>
        <w:numPr>
          <w:ilvl w:val="0"/>
          <w:numId w:val="2"/>
        </w:numPr>
        <w:spacing w:after="60" w:line="264"/>
      </w:pPr>
      <w:r>
        <w:rPr>
          <w:color w:val="1A1A1A"/>
          <w:sz w:val="21"/>
          <w:szCs w:val="21"/>
        </w:rPr>
        <w:t xml:space="preserve">Are we heading into uncharted territory? Has Boomer wealth concentration, as they retire, already exceeded anything the historical record has seen?</w:t>
      </w:r>
    </w:p>
    <w:p>
      <w:pPr>
        <w:pStyle w:val="Heading2"/>
        <w:spacing w:after="100" w:before="200"/>
      </w:pPr>
      <w:r>
        <w:rPr>
          <w:b/>
          <w:bCs/>
          <w:color w:val="0B1F3A"/>
          <w:sz w:val="24"/>
          <w:szCs w:val="24"/>
        </w:rPr>
        <w:t xml:space="preserve">The question that emerged</w:t>
      </w:r>
    </w:p>
    <w:p>
      <w:pPr>
        <w:spacing w:after="120" w:line="276"/>
      </w:pPr>
      <w:r>
        <w:rPr>
          <w:color w:val="1A1A1A"/>
          <w:sz w:val="21"/>
          <w:szCs w:val="21"/>
        </w:rPr>
        <w:t xml:space="preserve">Once the K→Treasury relationship proved robust, a fourth, sponsor-relevant question followed naturally: does this translate into an actual, investable alpha opportunity — not just a statistically significant coefficient? Sections VIII and IX address this directly.</w:t>
      </w:r>
    </w:p>
    <w:p>
      <w:pPr>
        <w:pStyle w:val="Heading2"/>
        <w:spacing w:after="100" w:before="200"/>
      </w:pPr>
      <w:r>
        <w:rPr>
          <w:b/>
          <w:bCs/>
          <w:color w:val="0B1F3A"/>
          <w:sz w:val="24"/>
          <w:szCs w:val="24"/>
        </w:rPr>
        <w:t xml:space="preserve">Discipline applied throughout</w:t>
      </w:r>
    </w:p>
    <w:p>
      <w:pPr>
        <w:pStyle w:val="ListParagraph"/>
        <w:numPr>
          <w:ilvl w:val="0"/>
          <w:numId w:val="2"/>
        </w:numPr>
        <w:spacing w:after="60" w:line="264"/>
      </w:pPr>
      <w:r>
        <w:rPr>
          <w:color w:val="1A1A1A"/>
          <w:sz w:val="21"/>
          <w:szCs w:val="21"/>
        </w:rPr>
        <w:t xml:space="preserve">Real data only. No fabricated results — where data was unavailable in this project’s sandboxed research environment, that is stated explicitly rather than approximated.</w:t>
      </w:r>
    </w:p>
    <w:p>
      <w:pPr>
        <w:pStyle w:val="ListParagraph"/>
        <w:numPr>
          <w:ilvl w:val="0"/>
          <w:numId w:val="2"/>
        </w:numPr>
        <w:spacing w:after="60" w:line="264"/>
      </w:pPr>
      <w:r>
        <w:rPr>
          <w:color w:val="1A1A1A"/>
          <w:sz w:val="21"/>
          <w:szCs w:val="21"/>
        </w:rPr>
        <w:t xml:space="preserve">Every combined regression (current value + lags together) was re-tested as two separate models — contemporaneous-only and lagged-only — to rule out multicollinearity false positives, a failure mode that produced misleading results for the S&amp;P 500 and GDP tests before being caught.</w:t>
      </w:r>
    </w:p>
    <w:p>
      <w:pPr>
        <w:pStyle w:val="ListParagraph"/>
        <w:numPr>
          <w:ilvl w:val="0"/>
          <w:numId w:val="2"/>
        </w:numPr>
        <w:spacing w:after="60" w:line="264"/>
      </w:pPr>
      <w:r>
        <w:rPr>
          <w:color w:val="1A1A1A"/>
          <w:sz w:val="21"/>
          <w:szCs w:val="21"/>
        </w:rPr>
        <w:t xml:space="preserve">Every result that cleared a 5% or 10% significance threshold was swept across lag lengths 1–4 and, where relevant, re-tested after dropping the most extreme outlier quarters using an objective, pre-specified rule (not hand-picked dates).</w:t>
      </w:r>
    </w:p>
    <w:p>
      <w:pPr>
        <w:pStyle w:val="Heading1"/>
        <w:spacing w:after="120" w:before="240"/>
      </w:pPr>
      <w:r>
        <w:rPr>
          <w:b/>
          <w:bCs/>
          <w:color w:val="0B1F3A"/>
          <w:sz w:val="30"/>
          <w:szCs w:val="30"/>
        </w:rPr>
        <w:t xml:space="preserve">III. Data &amp; Methodology</w:t>
      </w:r>
    </w:p>
    <w:p>
      <w:pPr>
        <w:pStyle w:val="Heading2"/>
        <w:spacing w:after="100" w:before="200"/>
      </w:pPr>
      <w:r>
        <w:rPr>
          <w:b/>
          <w:bCs/>
          <w:color w:val="0B1F3A"/>
          <w:sz w:val="24"/>
          <w:szCs w:val="24"/>
        </w:rPr>
        <w:t xml:space="preserve">Data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24"/>
        <w:gridCol w:w="3744"/>
        <w:gridCol w:w="2592"/>
      </w:tblGrid>
      <w:tr>
        <w:trPr>
          <w:tblHeader/>
        </w:trPr>
        <w:tc>
          <w:tcPr>
            <w:tcW w:type="dxa" w:w="3024"/>
            <w:shd w:fill="0B1F3A" w:val="clear"/>
            <w:tcMar>
              <w:top w:type="dxa" w:w="80"/>
              <w:left w:type="dxa" w:w="100"/>
              <w:bottom w:type="dxa" w:w="80"/>
              <w:right w:type="dxa" w:w="100"/>
            </w:tcMar>
          </w:tcPr>
          <w:p>
            <w:r>
              <w:rPr>
                <w:b/>
                <w:bCs/>
                <w:color w:val="FFFFFF"/>
                <w:sz w:val="18"/>
                <w:szCs w:val="18"/>
              </w:rPr>
              <w:t xml:space="preserve">Source</w:t>
            </w:r>
          </w:p>
        </w:tc>
        <w:tc>
          <w:tcPr>
            <w:tcW w:type="dxa" w:w="3744"/>
            <w:shd w:fill="0B1F3A" w:val="clear"/>
            <w:tcMar>
              <w:top w:type="dxa" w:w="80"/>
              <w:left w:type="dxa" w:w="100"/>
              <w:bottom w:type="dxa" w:w="80"/>
              <w:right w:type="dxa" w:w="100"/>
            </w:tcMar>
          </w:tcPr>
          <w:p>
            <w:r>
              <w:rPr>
                <w:b/>
                <w:bCs/>
                <w:color w:val="FFFFFF"/>
                <w:sz w:val="18"/>
                <w:szCs w:val="18"/>
              </w:rPr>
              <w:t xml:space="preserve">Series</w:t>
            </w:r>
          </w:p>
        </w:tc>
        <w:tc>
          <w:tcPr>
            <w:tcW w:type="dxa" w:w="2592"/>
            <w:shd w:fill="0B1F3A" w:val="clear"/>
            <w:tcMar>
              <w:top w:type="dxa" w:w="80"/>
              <w:left w:type="dxa" w:w="100"/>
              <w:bottom w:type="dxa" w:w="80"/>
              <w:right w:type="dxa" w:w="100"/>
            </w:tcMar>
          </w:tcPr>
          <w:p>
            <w:r>
              <w:rPr>
                <w:b/>
                <w:bCs/>
                <w:color w:val="FFFFFF"/>
                <w:sz w:val="18"/>
                <w:szCs w:val="18"/>
              </w:rPr>
              <w:t xml:space="preserve">Frequency</w:t>
            </w:r>
          </w:p>
        </w:tc>
      </w:tr>
      <w:tr>
        <w:tc>
          <w:tcPr>
            <w:tcW w:type="dxa" w:w="3024"/>
            <w:shd w:fill="FFFFFF" w:val="clear"/>
            <w:tcMar>
              <w:top w:type="dxa" w:w="60"/>
              <w:left w:type="dxa" w:w="100"/>
              <w:bottom w:type="dxa" w:w="60"/>
              <w:right w:type="dxa" w:w="100"/>
            </w:tcMar>
          </w:tcPr>
          <w:p>
            <w:r>
              <w:rPr>
                <w:b w:val="false"/>
                <w:bCs w:val="false"/>
                <w:color w:val="1A1A1A"/>
                <w:sz w:val="17"/>
                <w:szCs w:val="17"/>
              </w:rPr>
              <w:t xml:space="preserve">Federal Reserve Distributional Financial Accounts (DFA)</w:t>
            </w:r>
          </w:p>
        </w:tc>
        <w:tc>
          <w:tcPr>
            <w:tcW w:type="dxa" w:w="3744"/>
            <w:shd w:fill="FFFFFF" w:val="clear"/>
            <w:tcMar>
              <w:top w:type="dxa" w:w="60"/>
              <w:left w:type="dxa" w:w="100"/>
              <w:bottom w:type="dxa" w:w="60"/>
              <w:right w:type="dxa" w:w="100"/>
            </w:tcMar>
          </w:tcPr>
          <w:p>
            <w:r>
              <w:rPr>
                <w:b w:val="false"/>
                <w:bCs w:val="false"/>
                <w:color w:val="1A1A1A"/>
                <w:sz w:val="17"/>
                <w:szCs w:val="17"/>
              </w:rPr>
              <w:t xml:space="preserve">Net worth, assets, and household counts by generation, age, income, and wealth percentile</w:t>
            </w:r>
          </w:p>
        </w:tc>
        <w:tc>
          <w:tcPr>
            <w:tcW w:type="dxa" w:w="2592"/>
            <w:shd w:fill="FFFFFF" w:val="clear"/>
            <w:tcMar>
              <w:top w:type="dxa" w:w="60"/>
              <w:left w:type="dxa" w:w="100"/>
              <w:bottom w:type="dxa" w:w="60"/>
              <w:right w:type="dxa" w:w="100"/>
            </w:tcMar>
          </w:tcPr>
          <w:p>
            <w:r>
              <w:rPr>
                <w:b w:val="false"/>
                <w:bCs w:val="false"/>
                <w:color w:val="1A1A1A"/>
                <w:sz w:val="17"/>
                <w:szCs w:val="17"/>
              </w:rPr>
              <w:t xml:space="preserve">Quarterly, 1989–present</w:t>
            </w:r>
          </w:p>
        </w:tc>
      </w:tr>
      <w:tr>
        <w:tc>
          <w:tcPr>
            <w:tcW w:type="dxa" w:w="3024"/>
            <w:shd w:fill="F5F6F8" w:val="clear"/>
            <w:tcMar>
              <w:top w:type="dxa" w:w="60"/>
              <w:left w:type="dxa" w:w="100"/>
              <w:bottom w:type="dxa" w:w="60"/>
              <w:right w:type="dxa" w:w="100"/>
            </w:tcMar>
          </w:tcPr>
          <w:p>
            <w:r>
              <w:rPr>
                <w:b w:val="false"/>
                <w:bCs w:val="false"/>
                <w:color w:val="1A1A1A"/>
                <w:sz w:val="17"/>
                <w:szCs w:val="17"/>
              </w:rPr>
              <w:t xml:space="preserve">Atlanta Fed Wage Growth Tracker</w:t>
            </w:r>
          </w:p>
        </w:tc>
        <w:tc>
          <w:tcPr>
            <w:tcW w:type="dxa" w:w="3744"/>
            <w:shd w:fill="F5F6F8" w:val="clear"/>
            <w:tcMar>
              <w:top w:type="dxa" w:w="60"/>
              <w:left w:type="dxa" w:w="100"/>
              <w:bottom w:type="dxa" w:w="60"/>
              <w:right w:type="dxa" w:w="100"/>
            </w:tcMar>
          </w:tcPr>
          <w:p>
            <w:r>
              <w:rPr>
                <w:b w:val="false"/>
                <w:bCs w:val="false"/>
                <w:color w:val="1A1A1A"/>
                <w:sz w:val="17"/>
                <w:szCs w:val="17"/>
              </w:rPr>
              <w:t xml:space="preserve">Wage growth by income quartile</w:t>
            </w:r>
          </w:p>
        </w:tc>
        <w:tc>
          <w:tcPr>
            <w:tcW w:type="dxa" w:w="2592"/>
            <w:shd w:fill="F5F6F8" w:val="clear"/>
            <w:tcMar>
              <w:top w:type="dxa" w:w="60"/>
              <w:left w:type="dxa" w:w="100"/>
              <w:bottom w:type="dxa" w:w="60"/>
              <w:right w:type="dxa" w:w="100"/>
            </w:tcMar>
          </w:tcPr>
          <w:p>
            <w:r>
              <w:rPr>
                <w:b w:val="false"/>
                <w:bCs w:val="false"/>
                <w:color w:val="1A1A1A"/>
                <w:sz w:val="17"/>
                <w:szCs w:val="17"/>
              </w:rPr>
              <w:t xml:space="preserve">Quarterly</w:t>
            </w:r>
          </w:p>
        </w:tc>
      </w:tr>
      <w:tr>
        <w:tc>
          <w:tcPr>
            <w:tcW w:type="dxa" w:w="3024"/>
            <w:shd w:fill="FFFFFF" w:val="clear"/>
            <w:tcMar>
              <w:top w:type="dxa" w:w="60"/>
              <w:left w:type="dxa" w:w="100"/>
              <w:bottom w:type="dxa" w:w="60"/>
              <w:right w:type="dxa" w:w="100"/>
            </w:tcMar>
          </w:tcPr>
          <w:p>
            <w:r>
              <w:rPr>
                <w:b w:val="false"/>
                <w:bCs w:val="false"/>
                <w:color w:val="1A1A1A"/>
                <w:sz w:val="17"/>
                <w:szCs w:val="17"/>
              </w:rPr>
              <w:t xml:space="preserve">University of Michigan Surveys of Consumers</w:t>
            </w:r>
          </w:p>
        </w:tc>
        <w:tc>
          <w:tcPr>
            <w:tcW w:type="dxa" w:w="3744"/>
            <w:shd w:fill="FFFFFF" w:val="clear"/>
            <w:tcMar>
              <w:top w:type="dxa" w:w="60"/>
              <w:left w:type="dxa" w:w="100"/>
              <w:bottom w:type="dxa" w:w="60"/>
              <w:right w:type="dxa" w:w="100"/>
            </w:tcMar>
          </w:tcPr>
          <w:p>
            <w:r>
              <w:rPr>
                <w:b w:val="false"/>
                <w:bCs w:val="false"/>
                <w:color w:val="1A1A1A"/>
                <w:sz w:val="17"/>
                <w:szCs w:val="17"/>
              </w:rPr>
              <w:t xml:space="preserve">Consumer sentiment by income tercile</w:t>
            </w:r>
          </w:p>
        </w:tc>
        <w:tc>
          <w:tcPr>
            <w:tcW w:type="dxa" w:w="2592"/>
            <w:shd w:fill="FFFFFF" w:val="clear"/>
            <w:tcMar>
              <w:top w:type="dxa" w:w="60"/>
              <w:left w:type="dxa" w:w="100"/>
              <w:bottom w:type="dxa" w:w="60"/>
              <w:right w:type="dxa" w:w="100"/>
            </w:tcMar>
          </w:tcPr>
          <w:p>
            <w:r>
              <w:rPr>
                <w:b w:val="false"/>
                <w:bCs w:val="false"/>
                <w:color w:val="1A1A1A"/>
                <w:sz w:val="17"/>
                <w:szCs w:val="17"/>
              </w:rPr>
              <w:t xml:space="preserve">Quarterly</w:t>
            </w:r>
          </w:p>
        </w:tc>
      </w:tr>
      <w:tr>
        <w:tc>
          <w:tcPr>
            <w:tcW w:type="dxa" w:w="3024"/>
            <w:shd w:fill="F5F6F8" w:val="clear"/>
            <w:tcMar>
              <w:top w:type="dxa" w:w="60"/>
              <w:left w:type="dxa" w:w="100"/>
              <w:bottom w:type="dxa" w:w="60"/>
              <w:right w:type="dxa" w:w="100"/>
            </w:tcMar>
          </w:tcPr>
          <w:p>
            <w:r>
              <w:rPr>
                <w:b w:val="false"/>
                <w:bCs w:val="false"/>
                <w:color w:val="1A1A1A"/>
                <w:sz w:val="17"/>
                <w:szCs w:val="17"/>
              </w:rPr>
              <w:t xml:space="preserve">CRSP / WRDS</w:t>
            </w:r>
          </w:p>
        </w:tc>
        <w:tc>
          <w:tcPr>
            <w:tcW w:type="dxa" w:w="3744"/>
            <w:shd w:fill="F5F6F8" w:val="clear"/>
            <w:tcMar>
              <w:top w:type="dxa" w:w="60"/>
              <w:left w:type="dxa" w:w="100"/>
              <w:bottom w:type="dxa" w:w="60"/>
              <w:right w:type="dxa" w:w="100"/>
            </w:tcMar>
          </w:tcPr>
          <w:p>
            <w:r>
              <w:rPr>
                <w:b w:val="false"/>
                <w:bCs w:val="false"/>
                <w:color w:val="1A1A1A"/>
                <w:sz w:val="17"/>
                <w:szCs w:val="17"/>
              </w:rPr>
              <w:t xml:space="preserve">Daily total returns for sector/style ETFs and benchmark</w:t>
            </w:r>
          </w:p>
        </w:tc>
        <w:tc>
          <w:tcPr>
            <w:tcW w:type="dxa" w:w="2592"/>
            <w:shd w:fill="F5F6F8" w:val="clear"/>
            <w:tcMar>
              <w:top w:type="dxa" w:w="60"/>
              <w:left w:type="dxa" w:w="100"/>
              <w:bottom w:type="dxa" w:w="60"/>
              <w:right w:type="dxa" w:w="100"/>
            </w:tcMar>
          </w:tcPr>
          <w:p>
            <w:r>
              <w:rPr>
                <w:b w:val="false"/>
                <w:bCs w:val="false"/>
                <w:color w:val="1A1A1A"/>
                <w:sz w:val="17"/>
                <w:szCs w:val="17"/>
              </w:rPr>
              <w:t xml:space="preserve">Daily → resampled</w:t>
            </w:r>
          </w:p>
        </w:tc>
      </w:tr>
      <w:tr>
        <w:tc>
          <w:tcPr>
            <w:tcW w:type="dxa" w:w="3024"/>
            <w:shd w:fill="FFFFFF" w:val="clear"/>
            <w:tcMar>
              <w:top w:type="dxa" w:w="60"/>
              <w:left w:type="dxa" w:w="100"/>
              <w:bottom w:type="dxa" w:w="60"/>
              <w:right w:type="dxa" w:w="100"/>
            </w:tcMar>
          </w:tcPr>
          <w:p>
            <w:r>
              <w:rPr>
                <w:b w:val="false"/>
                <w:bCs w:val="false"/>
                <w:color w:val="1A1A1A"/>
                <w:sz w:val="17"/>
                <w:szCs w:val="17"/>
              </w:rPr>
              <w:t xml:space="preserve">FRED (Federal Reserve Economic Data)</w:t>
            </w:r>
          </w:p>
        </w:tc>
        <w:tc>
          <w:tcPr>
            <w:tcW w:type="dxa" w:w="3744"/>
            <w:shd w:fill="FFFFFF" w:val="clear"/>
            <w:tcMar>
              <w:top w:type="dxa" w:w="60"/>
              <w:left w:type="dxa" w:w="100"/>
              <w:bottom w:type="dxa" w:w="60"/>
              <w:right w:type="dxa" w:w="100"/>
            </w:tcMar>
          </w:tcPr>
          <w:p>
            <w:r>
              <w:rPr>
                <w:b w:val="false"/>
                <w:bCs w:val="false"/>
                <w:color w:val="1A1A1A"/>
                <w:sz w:val="17"/>
                <w:szCs w:val="17"/>
              </w:rPr>
              <w:t xml:space="preserve">GDP, unemployment rate, industrial production</w:t>
            </w:r>
          </w:p>
        </w:tc>
        <w:tc>
          <w:tcPr>
            <w:tcW w:type="dxa" w:w="2592"/>
            <w:shd w:fill="FFFFFF" w:val="clear"/>
            <w:tcMar>
              <w:top w:type="dxa" w:w="60"/>
              <w:left w:type="dxa" w:w="100"/>
              <w:bottom w:type="dxa" w:w="60"/>
              <w:right w:type="dxa" w:w="100"/>
            </w:tcMar>
          </w:tcPr>
          <w:p>
            <w:r>
              <w:rPr>
                <w:b w:val="false"/>
                <w:bCs w:val="false"/>
                <w:color w:val="1A1A1A"/>
                <w:sz w:val="17"/>
                <w:szCs w:val="17"/>
              </w:rPr>
              <w:t xml:space="preserve">Quarterly / monthly</w:t>
            </w:r>
          </w:p>
        </w:tc>
      </w:tr>
      <w:tr>
        <w:tc>
          <w:tcPr>
            <w:tcW w:type="dxa" w:w="3024"/>
            <w:shd w:fill="F5F6F8" w:val="clear"/>
            <w:tcMar>
              <w:top w:type="dxa" w:w="60"/>
              <w:left w:type="dxa" w:w="100"/>
              <w:bottom w:type="dxa" w:w="60"/>
              <w:right w:type="dxa" w:w="100"/>
            </w:tcMar>
          </w:tcPr>
          <w:p>
            <w:r>
              <w:rPr>
                <w:b w:val="false"/>
                <w:bCs w:val="false"/>
                <w:color w:val="1A1A1A"/>
                <w:sz w:val="17"/>
                <w:szCs w:val="17"/>
              </w:rPr>
              <w:t xml:space="preserve">REIT basket (team-supplied)</w:t>
            </w:r>
          </w:p>
        </w:tc>
        <w:tc>
          <w:tcPr>
            <w:tcW w:type="dxa" w:w="3744"/>
            <w:shd w:fill="F5F6F8" w:val="clear"/>
            <w:tcMar>
              <w:top w:type="dxa" w:w="60"/>
              <w:left w:type="dxa" w:w="100"/>
              <w:bottom w:type="dxa" w:w="60"/>
              <w:right w:type="dxa" w:w="100"/>
            </w:tcMar>
          </w:tcPr>
          <w:p>
            <w:r>
              <w:rPr>
                <w:b w:val="false"/>
                <w:bCs w:val="false"/>
                <w:color w:val="1A1A1A"/>
                <w:sz w:val="17"/>
                <w:szCs w:val="17"/>
              </w:rPr>
              <w:t xml:space="preserve">Quarterly REIT total return series</w:t>
            </w:r>
          </w:p>
        </w:tc>
        <w:tc>
          <w:tcPr>
            <w:tcW w:type="dxa" w:w="2592"/>
            <w:shd w:fill="F5F6F8" w:val="clear"/>
            <w:tcMar>
              <w:top w:type="dxa" w:w="60"/>
              <w:left w:type="dxa" w:w="100"/>
              <w:bottom w:type="dxa" w:w="60"/>
              <w:right w:type="dxa" w:w="100"/>
            </w:tcMar>
          </w:tcPr>
          <w:p>
            <w:r>
              <w:rPr>
                <w:b w:val="false"/>
                <w:bCs w:val="false"/>
                <w:color w:val="1A1A1A"/>
                <w:sz w:val="17"/>
                <w:szCs w:val="17"/>
              </w:rPr>
              <w:t xml:space="preserve">Quarterly, 1990–2024</w:t>
            </w:r>
          </w:p>
        </w:tc>
      </w:tr>
    </w:tbl>
    <w:p>
      <w:pPr>
        <w:spacing w:after="120"/>
      </w:pPr>
    </w:p>
    <w:p>
      <w:pPr>
        <w:pStyle w:val="Heading2"/>
        <w:spacing w:after="100" w:before="200"/>
      </w:pPr>
      <w:r>
        <w:rPr>
          <w:b/>
          <w:bCs/>
          <w:color w:val="0B1F3A"/>
          <w:sz w:val="24"/>
          <w:szCs w:val="24"/>
        </w:rPr>
        <w:t xml:space="preserve">The K-Index</w:t>
      </w:r>
    </w:p>
    <w:p>
      <w:pPr>
        <w:spacing w:after="120" w:line="276"/>
      </w:pPr>
      <w:r>
        <w:rPr>
          <w:color w:val="1A1A1A"/>
          <w:sz w:val="21"/>
          <w:szCs w:val="21"/>
        </w:rPr>
        <w:t xml:space="preserve">A composite spread between the top and bottom of the wealth distribution, built from three pillars, each z-scored and averaged:</w:t>
      </w:r>
    </w:p>
    <w:p>
      <w:pPr>
        <w:pStyle w:val="ListParagraph"/>
        <w:numPr>
          <w:ilvl w:val="0"/>
          <w:numId w:val="2"/>
        </w:numPr>
        <w:spacing w:after="60" w:line="264"/>
      </w:pPr>
      <w:r>
        <w:rPr>
          <w:color w:val="1A1A1A"/>
          <w:sz w:val="21"/>
          <w:szCs w:val="21"/>
        </w:rPr>
        <w:t xml:space="preserve">Wealth pillar: log(Top 10% net worth per household) − log(Bottom 50% net worth per household)</w:t>
      </w:r>
    </w:p>
    <w:p>
      <w:pPr>
        <w:pStyle w:val="ListParagraph"/>
        <w:numPr>
          <w:ilvl w:val="0"/>
          <w:numId w:val="2"/>
        </w:numPr>
        <w:spacing w:after="60" w:line="264"/>
      </w:pPr>
      <w:r>
        <w:rPr>
          <w:color w:val="1A1A1A"/>
          <w:sz w:val="21"/>
          <w:szCs w:val="21"/>
        </w:rPr>
        <w:t xml:space="preserve">Income pillar: top-quartile minus bottom-quartile wage growth</w:t>
      </w:r>
    </w:p>
    <w:p>
      <w:pPr>
        <w:pStyle w:val="ListParagraph"/>
        <w:numPr>
          <w:ilvl w:val="0"/>
          <w:numId w:val="2"/>
        </w:numPr>
        <w:spacing w:after="60" w:line="264"/>
      </w:pPr>
      <w:r>
        <w:rPr>
          <w:color w:val="1A1A1A"/>
          <w:sz w:val="21"/>
          <w:szCs w:val="21"/>
        </w:rPr>
        <w:t xml:space="preserve">Consumer pillar: top-tercile minus bottom-tercile consumer sentiment</w:t>
      </w:r>
    </w:p>
    <w:p>
      <w:pPr>
        <w:spacing w:after="120" w:line="276"/>
      </w:pPr>
      <w:r>
        <w:rPr>
          <w:color w:val="1A1A1A"/>
          <w:sz w:val="21"/>
          <w:szCs w:val="21"/>
        </w:rPr>
        <w:t xml:space="preserve">Validated three ways — equal-weight, first principal component, and inverse-variance weighting — all in close agreement.</w:t>
      </w:r>
    </w:p>
    <w:p>
      <w:pPr>
        <w:pStyle w:val="Heading2"/>
        <w:spacing w:after="100" w:before="200"/>
      </w:pPr>
      <w:r>
        <w:rPr>
          <w:b/>
          <w:bCs/>
          <w:color w:val="0B1F3A"/>
          <w:sz w:val="24"/>
          <w:szCs w:val="24"/>
        </w:rPr>
        <w:t xml:space="preserve">BEDI (Boomer Equity Displacement Index)</w:t>
      </w:r>
    </w:p>
    <w:p>
      <w:pPr>
        <w:spacing w:after="120" w:line="276"/>
      </w:pPr>
      <w:r>
        <w:rPr>
          <w:color w:val="1A1A1A"/>
          <w:sz w:val="21"/>
          <w:szCs w:val="21"/>
        </w:rPr>
        <w:t xml:space="preserve">Combines two DFA-derived components, sign-aligned so BEDI rises when Boomers de-risk and concentration widens together:</w:t>
      </w:r>
    </w:p>
    <w:p>
      <w:pPr>
        <w:pStyle w:val="ListParagraph"/>
        <w:numPr>
          <w:ilvl w:val="0"/>
          <w:numId w:val="2"/>
        </w:numPr>
        <w:spacing w:after="60" w:line="264"/>
      </w:pPr>
      <w:r>
        <w:rPr>
          <w:color w:val="1A1A1A"/>
          <w:sz w:val="21"/>
          <w:szCs w:val="21"/>
        </w:rPr>
        <w:t xml:space="preserve">Rotation signal: Baby Boomers’ equity share of assets minus their safe-asset share (deposits, money-market funds, bonds, annuities) — also tested on its own, isolated from BEDI</w:t>
      </w:r>
    </w:p>
    <w:p>
      <w:pPr>
        <w:pStyle w:val="ListParagraph"/>
        <w:numPr>
          <w:ilvl w:val="0"/>
          <w:numId w:val="2"/>
        </w:numPr>
        <w:spacing w:after="60" w:line="264"/>
      </w:pPr>
      <w:r>
        <w:rPr>
          <w:color w:val="1A1A1A"/>
          <w:sz w:val="21"/>
          <w:szCs w:val="21"/>
        </w:rPr>
        <w:t xml:space="preserve">K-shape gap: (Top 1% + next 1%) minus Bottom 50% share of net worth, economy-wide (not Boomer-specific)</w:t>
      </w:r>
    </w:p>
    <w:p>
      <w:pPr>
        <w:spacing w:after="120" w:line="276"/>
      </w:pPr>
      <w:r>
        <w:rPr>
          <w:color w:val="1A1A1A"/>
          <w:sz w:val="21"/>
          <w:szCs w:val="21"/>
        </w:rPr>
        <w:t xml:space="preserve">A parallel real-estate rotation signal (Boomer real-estate share of assets) was built to test the most literal “are Boomers selling their homes” hypothesis.</w:t>
      </w:r>
    </w:p>
    <w:p>
      <w:pPr>
        <w:pStyle w:val="Heading2"/>
        <w:spacing w:after="100" w:before="200"/>
      </w:pPr>
      <w:r>
        <w:rPr>
          <w:b/>
          <w:bCs/>
          <w:color w:val="0B1F3A"/>
          <w:sz w:val="24"/>
          <w:szCs w:val="24"/>
        </w:rPr>
        <w:t xml:space="preserve">Regression methodology</w:t>
      </w:r>
    </w:p>
    <w:p>
      <w:pPr>
        <w:pStyle w:val="ListParagraph"/>
        <w:numPr>
          <w:ilvl w:val="0"/>
          <w:numId w:val="2"/>
        </w:numPr>
        <w:spacing w:after="60" w:line="264"/>
      </w:pPr>
      <w:r>
        <w:rPr>
          <w:color w:val="1A1A1A"/>
          <w:sz w:val="21"/>
          <w:szCs w:val="21"/>
        </w:rPr>
        <w:t xml:space="preserve">Contemporaneous and lagged relationships are always tested as separate regressions, never combined into one “current + 4 lags” model.</w:t>
      </w:r>
    </w:p>
    <w:p>
      <w:pPr>
        <w:pStyle w:val="ListParagraph"/>
        <w:numPr>
          <w:ilvl w:val="0"/>
          <w:numId w:val="2"/>
        </w:numPr>
        <w:spacing w:after="60" w:line="264"/>
      </w:pPr>
      <w:r>
        <w:rPr>
          <w:color w:val="1A1A1A"/>
          <w:sz w:val="21"/>
          <w:szCs w:val="21"/>
        </w:rPr>
        <w:t xml:space="preserve">Lag length is swept from 1 to 4 quarters; a result significant at only one lag length is treated as a red flag, not a finding.</w:t>
      </w:r>
    </w:p>
    <w:p>
      <w:pPr>
        <w:pStyle w:val="ListParagraph"/>
        <w:numPr>
          <w:ilvl w:val="0"/>
          <w:numId w:val="2"/>
        </w:numPr>
        <w:spacing w:after="60" w:line="264"/>
      </w:pPr>
      <w:r>
        <w:rPr>
          <w:color w:val="1A1A1A"/>
          <w:sz w:val="21"/>
          <w:szCs w:val="21"/>
        </w:rPr>
        <w:t xml:space="preserve">Newey-West (HAC) robust standard errors are used throughout to account for serial correlation in quarterly financial series.</w:t>
      </w:r>
    </w:p>
    <w:p>
      <w:pPr>
        <w:pStyle w:val="ListParagraph"/>
        <w:numPr>
          <w:ilvl w:val="0"/>
          <w:numId w:val="2"/>
        </w:numPr>
        <w:spacing w:after="60" w:line="264"/>
      </w:pPr>
      <w:r>
        <w:rPr>
          <w:color w:val="1A1A1A"/>
          <w:sz w:val="21"/>
          <w:szCs w:val="21"/>
        </w:rPr>
        <w:t xml:space="preserve">Any promising result is re-tested after dropping outlier quarters, defined objectively as |value| exceeding 2 standard deviations — never hand-picked dates.</w:t>
      </w:r>
    </w:p>
    <w:p>
      <w:pPr>
        <w:pStyle w:val="Heading2"/>
        <w:spacing w:after="100" w:before="200"/>
      </w:pPr>
      <w:r>
        <w:rPr>
          <w:b/>
          <w:bCs/>
          <w:color w:val="0B1F3A"/>
          <w:sz w:val="24"/>
          <w:szCs w:val="24"/>
        </w:rPr>
        <w:t xml:space="preserve">Backtest methodology</w:t>
      </w:r>
    </w:p>
    <w:p>
      <w:pPr>
        <w:pStyle w:val="ListParagraph"/>
        <w:numPr>
          <w:ilvl w:val="0"/>
          <w:numId w:val="2"/>
        </w:numPr>
        <w:spacing w:after="60" w:line="264"/>
      </w:pPr>
      <w:r>
        <w:rPr>
          <w:color w:val="1A1A1A"/>
          <w:sz w:val="21"/>
          <w:szCs w:val="21"/>
        </w:rPr>
        <w:t xml:space="preserve">Signals used in a backtest are point-in-time (expanding-window) z-scores, computed using only data available up to and including each quarter — a stricter, no-look-ahead standard than the full-sample z-scores used in the regressions themselves.</w:t>
      </w:r>
    </w:p>
    <w:p>
      <w:pPr>
        <w:pStyle w:val="ListParagraph"/>
        <w:numPr>
          <w:ilvl w:val="0"/>
          <w:numId w:val="2"/>
        </w:numPr>
        <w:spacing w:after="60" w:line="264"/>
      </w:pPr>
      <w:r>
        <w:rPr>
          <w:color w:val="1A1A1A"/>
          <w:sz w:val="21"/>
          <w:szCs w:val="21"/>
        </w:rPr>
        <w:t xml:space="preserve">Rule: hold the asset when the signal (observed at the end of the prior quarter) is positive; hold cash (0% return) otherwise. Rebalanced quarterly.</w:t>
      </w:r>
    </w:p>
    <w:p>
      <w:pPr>
        <w:pStyle w:val="ListParagraph"/>
        <w:numPr>
          <w:ilvl w:val="0"/>
          <w:numId w:val="2"/>
        </w:numPr>
        <w:spacing w:after="60" w:line="264"/>
      </w:pPr>
      <w:r>
        <w:rPr>
          <w:color w:val="1A1A1A"/>
          <w:sz w:val="21"/>
          <w:szCs w:val="21"/>
        </w:rPr>
        <w:t xml:space="preserve">Every backtest is stress-tested by inverting the signal (long only when the signal is negative) — a real signal should perform much worse when inverted, not similarly.</w:t>
      </w:r>
    </w:p>
    <w:p>
      <w:pPr>
        <w:pStyle w:val="Heading1"/>
        <w:spacing w:after="120" w:before="240"/>
      </w:pPr>
      <w:r>
        <w:rPr>
          <w:b/>
          <w:bCs/>
          <w:color w:val="0B1F3A"/>
          <w:sz w:val="30"/>
          <w:szCs w:val="30"/>
        </w:rPr>
        <w:t xml:space="preserve">IV. Findings Overview</w:t>
      </w:r>
    </w:p>
    <w:p>
      <w:pPr>
        <w:spacing w:after="120" w:line="276"/>
      </w:pPr>
      <w:r>
        <w:rPr>
          <w:color w:val="1A1A1A"/>
          <w:sz w:val="21"/>
          <w:szCs w:val="21"/>
        </w:rPr>
        <w:t xml:space="preserve">Twenty-four distinct tests were run across two model tracks (a K-Index/macro regression model and a Pillar 2 demographic/BEDI model). The scorecard below summarizes every one of them; the sections that follow detail each row.</w:t>
      </w:r>
    </w:p>
    <w:p>
      <w:pPr>
        <w:spacing w:after="8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714750"/>
                    </a:xfrm>
                    <a:prstGeom prst="rect">
                      <a:avLst/>
                    </a:prstGeom>
                  </pic:spPr>
                </pic:pic>
              </a:graphicData>
            </a:graphic>
          </wp:inline>
        </w:drawing>
      </w:r>
    </w:p>
    <w:p>
      <w:pPr>
        <w:spacing w:after="200"/>
        <w:jc w:val="left"/>
      </w:pPr>
      <w:r>
        <w:rPr>
          <w:i/>
          <w:iCs/>
          <w:color w:val="6C757D"/>
          <w:sz w:val="18"/>
          <w:szCs w:val="18"/>
        </w:rPr>
        <w:t xml:space="preserve">Figure 1. Complete scorecard — every regression, mechanism test, strategy-correlation check, and backtest run in this project.</w:t>
      </w:r>
    </w:p>
    <w:p>
      <w:pPr>
        <w:pStyle w:val="Heading1"/>
        <w:spacing w:after="120" w:before="240"/>
      </w:pPr>
      <w:r>
        <w:rPr>
          <w:b/>
          <w:bCs/>
          <w:color w:val="0B1F3A"/>
          <w:sz w:val="30"/>
          <w:szCs w:val="30"/>
        </w:rPr>
        <w:t xml:space="preserve">V. Findings — The Boomer Wealth Dominance Backdrop</w:t>
      </w:r>
    </w:p>
    <w:p>
      <w:pPr>
        <w:spacing w:after="120" w:line="276"/>
      </w:pPr>
      <w:r>
        <w:rPr>
          <w:color w:val="1A1A1A"/>
          <w:sz w:val="21"/>
          <w:szCs w:val="21"/>
        </w:rPr>
        <w:t xml:space="preserve">Before testing any predictive relationship, the underlying premise was confirmed directly from Fed DFA data: Baby Boomers are, by a wide margin, the dominant holders of U.S. household wealth and real estate.</w:t>
      </w:r>
    </w:p>
    <w:p>
      <w:pPr>
        <w:pStyle w:val="ListParagraph"/>
        <w:numPr>
          <w:ilvl w:val="0"/>
          <w:numId w:val="2"/>
        </w:numPr>
        <w:spacing w:after="60" w:line="264"/>
      </w:pPr>
      <w:r>
        <w:rPr>
          <w:color w:val="1A1A1A"/>
          <w:sz w:val="21"/>
          <w:szCs w:val="21"/>
        </w:rPr>
        <w:t xml:space="preserve">Baby Boomers hold 52% of all U.S. household net worth, with only 30% of households (concentration ratio 1.73×).</w:t>
      </w:r>
    </w:p>
    <w:p>
      <w:pPr>
        <w:pStyle w:val="ListParagraph"/>
        <w:numPr>
          <w:ilvl w:val="0"/>
          <w:numId w:val="2"/>
        </w:numPr>
        <w:spacing w:after="60" w:line="264"/>
      </w:pPr>
      <w:r>
        <w:rPr>
          <w:color w:val="1A1A1A"/>
          <w:sz w:val="21"/>
          <w:szCs w:val="21"/>
        </w:rPr>
        <w:t xml:space="preserve">Boomers + the Silent Generation hold 49% of household real-estate value, with only 37% of households.</w:t>
      </w:r>
    </w:p>
    <w:p>
      <w:pPr>
        <w:spacing w:after="80"/>
        <w:jc w:val="center"/>
      </w:pPr>
      <w:r>
        <w:drawing>
          <wp:inline distT="0" distB="0" distL="0" distR="0">
            <wp:extent cx="59436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48025"/>
                    </a:xfrm>
                    <a:prstGeom prst="rect">
                      <a:avLst/>
                    </a:prstGeom>
                  </pic:spPr>
                </pic:pic>
              </a:graphicData>
            </a:graphic>
          </wp:inline>
        </w:drawing>
      </w:r>
    </w:p>
    <w:p>
      <w:pPr>
        <w:spacing w:after="200"/>
        <w:jc w:val="left"/>
      </w:pPr>
      <w:r>
        <w:rPr>
          <w:i/>
          <w:iCs/>
          <w:color w:val="6C757D"/>
          <w:sz w:val="18"/>
          <w:szCs w:val="18"/>
        </w:rPr>
        <w:t xml:space="preserve">Figure 2. Wealth concentration ratio by generation (wealth share ÷ household share), 1989–2026. A ratio above 1.0 means a generation holds more wealth than its household share alone would imply.</w:t>
      </w:r>
    </w:p>
    <w:p>
      <w:pPr>
        <w:pStyle w:val="Heading1"/>
        <w:spacing w:after="120" w:before="240"/>
      </w:pPr>
      <w:r>
        <w:rPr>
          <w:b/>
          <w:bCs/>
          <w:color w:val="0B1F3A"/>
          <w:sz w:val="30"/>
          <w:szCs w:val="30"/>
        </w:rPr>
        <w:t xml:space="preserve">VI. Findings — Does the K-Shape Explain Asset Prices &amp; Growth?</w:t>
      </w:r>
    </w:p>
    <w:p>
      <w:pPr>
        <w:spacing w:after="120" w:line="276"/>
      </w:pPr>
      <w:r>
        <w:rPr>
          <w:color w:val="1A1A1A"/>
          <w:sz w:val="21"/>
          <w:szCs w:val="21"/>
        </w:rPr>
        <w:t xml:space="preserve">The advisor’s original request: regress nine target series — six asset-price series and three growth series — on K, contemporaneously and with lags 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68"/>
        <w:gridCol w:w="1872"/>
        <w:gridCol w:w="1584"/>
        <w:gridCol w:w="4464"/>
      </w:tblGrid>
      <w:tr>
        <w:trPr>
          <w:tblHeader/>
        </w:trPr>
        <w:tc>
          <w:tcPr>
            <w:tcW w:type="dxa" w:w="3168"/>
            <w:shd w:fill="0B1F3A" w:val="clear"/>
            <w:tcMar>
              <w:top w:type="dxa" w:w="80"/>
              <w:left w:type="dxa" w:w="100"/>
              <w:bottom w:type="dxa" w:w="80"/>
              <w:right w:type="dxa" w:w="100"/>
            </w:tcMar>
          </w:tcPr>
          <w:p>
            <w:r>
              <w:rPr>
                <w:b/>
                <w:bCs/>
                <w:color w:val="FFFFFF"/>
                <w:sz w:val="18"/>
                <w:szCs w:val="18"/>
              </w:rPr>
              <w:t xml:space="preserve">Target series</w:t>
            </w:r>
          </w:p>
        </w:tc>
        <w:tc>
          <w:tcPr>
            <w:tcW w:type="dxa" w:w="1872"/>
            <w:shd w:fill="0B1F3A" w:val="clear"/>
            <w:tcMar>
              <w:top w:type="dxa" w:w="80"/>
              <w:left w:type="dxa" w:w="100"/>
              <w:bottom w:type="dxa" w:w="80"/>
              <w:right w:type="dxa" w:w="100"/>
            </w:tcMar>
          </w:tcPr>
          <w:p>
            <w:r>
              <w:rPr>
                <w:b/>
                <w:bCs/>
                <w:color w:val="FFFFFF"/>
                <w:sz w:val="18"/>
                <w:szCs w:val="18"/>
              </w:rPr>
              <w:t xml:space="preserve">Category</w:t>
            </w:r>
          </w:p>
        </w:tc>
        <w:tc>
          <w:tcPr>
            <w:tcW w:type="dxa" w:w="1584"/>
            <w:shd w:fill="0B1F3A" w:val="clear"/>
            <w:tcMar>
              <w:top w:type="dxa" w:w="80"/>
              <w:left w:type="dxa" w:w="100"/>
              <w:bottom w:type="dxa" w:w="80"/>
              <w:right w:type="dxa" w:w="100"/>
            </w:tcMar>
          </w:tcPr>
          <w:p>
            <w:r>
              <w:rPr>
                <w:b/>
                <w:bCs/>
                <w:color w:val="FFFFFF"/>
                <w:sz w:val="18"/>
                <w:szCs w:val="18"/>
              </w:rPr>
              <w:t xml:space="preserve">Result</w:t>
            </w:r>
          </w:p>
        </w:tc>
        <w:tc>
          <w:tcPr>
            <w:tcW w:type="dxa" w:w="4464"/>
            <w:shd w:fill="0B1F3A" w:val="clear"/>
            <w:tcMar>
              <w:top w:type="dxa" w:w="80"/>
              <w:left w:type="dxa" w:w="100"/>
              <w:bottom w:type="dxa" w:w="80"/>
              <w:right w:type="dxa" w:w="100"/>
            </w:tcMar>
          </w:tcPr>
          <w:p>
            <w:r>
              <w:rPr>
                <w:b/>
                <w:bCs/>
                <w:color w:val="FFFFFF"/>
                <w:sz w:val="18"/>
                <w:szCs w:val="18"/>
              </w:rPr>
              <w:t xml:space="preserve">Note</w:t>
            </w:r>
          </w:p>
        </w:tc>
      </w:tr>
      <w:tr>
        <w:tc>
          <w:tcPr>
            <w:tcW w:type="dxa" w:w="3168"/>
            <w:shd w:fill="FFFFFF" w:val="clear"/>
            <w:tcMar>
              <w:top w:type="dxa" w:w="60"/>
              <w:left w:type="dxa" w:w="100"/>
              <w:bottom w:type="dxa" w:w="60"/>
              <w:right w:type="dxa" w:w="100"/>
            </w:tcMar>
          </w:tcPr>
          <w:p>
            <w:r>
              <w:rPr>
                <w:b w:val="false"/>
                <w:bCs w:val="false"/>
                <w:color w:val="1A1A1A"/>
                <w:sz w:val="17"/>
                <w:szCs w:val="17"/>
              </w:rPr>
              <w:t xml:space="preserve">10Y Treasury total return</w:t>
            </w:r>
          </w:p>
        </w:tc>
        <w:tc>
          <w:tcPr>
            <w:tcW w:type="dxa" w:w="1872"/>
            <w:shd w:fill="FFFFFF" w:val="clear"/>
            <w:tcMar>
              <w:top w:type="dxa" w:w="60"/>
              <w:left w:type="dxa" w:w="100"/>
              <w:bottom w:type="dxa" w:w="60"/>
              <w:right w:type="dxa" w:w="100"/>
            </w:tcMar>
          </w:tcPr>
          <w:p>
            <w:r>
              <w:rPr>
                <w:b w:val="false"/>
                <w:bCs w:val="false"/>
                <w:color w:val="1A1A1A"/>
                <w:sz w:val="17"/>
                <w:szCs w:val="17"/>
              </w:rPr>
              <w:t xml:space="preserve">Asset price</w:t>
            </w:r>
          </w:p>
        </w:tc>
        <w:tc>
          <w:tcPr>
            <w:tcW w:type="dxa" w:w="1584"/>
            <w:shd w:fill="FFFFFF" w:val="clear"/>
            <w:tcMar>
              <w:top w:type="dxa" w:w="60"/>
              <w:left w:type="dxa" w:w="100"/>
              <w:bottom w:type="dxa" w:w="60"/>
              <w:right w:type="dxa" w:w="100"/>
            </w:tcMar>
          </w:tcPr>
          <w:p>
            <w:r>
              <w:rPr>
                <w:b/>
                <w:bCs/>
                <w:color w:val="2E7D32"/>
                <w:sz w:val="17"/>
                <w:szCs w:val="17"/>
              </w:rPr>
              <w:t xml:space="preserve">ROBUST</w:t>
            </w:r>
          </w:p>
        </w:tc>
        <w:tc>
          <w:tcPr>
            <w:tcW w:type="dxa" w:w="4464"/>
            <w:shd w:fill="FFFFFF" w:val="clear"/>
            <w:tcMar>
              <w:top w:type="dxa" w:w="60"/>
              <w:left w:type="dxa" w:w="100"/>
              <w:bottom w:type="dxa" w:w="60"/>
              <w:right w:type="dxa" w:w="100"/>
            </w:tcMar>
          </w:tcPr>
          <w:p>
            <w:r>
              <w:rPr>
                <w:b w:val="false"/>
                <w:bCs w:val="false"/>
                <w:color w:val="1A1A1A"/>
                <w:sz w:val="17"/>
                <w:szCs w:val="17"/>
              </w:rPr>
              <w:t xml:space="preserve">Significant, all 4 lag lengths (p&lt;0.02)</w:t>
            </w:r>
          </w:p>
        </w:tc>
      </w:tr>
      <w:tr>
        <w:tc>
          <w:tcPr>
            <w:tcW w:type="dxa" w:w="3168"/>
            <w:shd w:fill="F5F6F8" w:val="clear"/>
            <w:tcMar>
              <w:top w:type="dxa" w:w="60"/>
              <w:left w:type="dxa" w:w="100"/>
              <w:bottom w:type="dxa" w:w="60"/>
              <w:right w:type="dxa" w:w="100"/>
            </w:tcMar>
          </w:tcPr>
          <w:p>
            <w:r>
              <w:rPr>
                <w:b w:val="false"/>
                <w:bCs w:val="false"/>
                <w:color w:val="1A1A1A"/>
                <w:sz w:val="17"/>
                <w:szCs w:val="17"/>
              </w:rPr>
              <w:t xml:space="preserve">Industrial production</w:t>
            </w:r>
          </w:p>
        </w:tc>
        <w:tc>
          <w:tcPr>
            <w:tcW w:type="dxa" w:w="1872"/>
            <w:shd w:fill="F5F6F8" w:val="clear"/>
            <w:tcMar>
              <w:top w:type="dxa" w:w="60"/>
              <w:left w:type="dxa" w:w="100"/>
              <w:bottom w:type="dxa" w:w="60"/>
              <w:right w:type="dxa" w:w="100"/>
            </w:tcMar>
          </w:tcPr>
          <w:p>
            <w:r>
              <w:rPr>
                <w:b w:val="false"/>
                <w:bCs w:val="false"/>
                <w:color w:val="1A1A1A"/>
                <w:sz w:val="17"/>
                <w:szCs w:val="17"/>
              </w:rPr>
              <w:t xml:space="preserve">Econ growth</w:t>
            </w:r>
          </w:p>
        </w:tc>
        <w:tc>
          <w:tcPr>
            <w:tcW w:type="dxa" w:w="1584"/>
            <w:shd w:fill="F5F6F8" w:val="clear"/>
            <w:tcMar>
              <w:top w:type="dxa" w:w="60"/>
              <w:left w:type="dxa" w:w="100"/>
              <w:bottom w:type="dxa" w:w="60"/>
              <w:right w:type="dxa" w:w="100"/>
            </w:tcMar>
          </w:tcPr>
          <w:p>
            <w:r>
              <w:rPr>
                <w:b/>
                <w:bCs/>
                <w:color w:val="C8A24D"/>
                <w:sz w:val="17"/>
                <w:szCs w:val="17"/>
              </w:rPr>
              <w:t xml:space="preserve">BORDERLINE</w:t>
            </w:r>
          </w:p>
        </w:tc>
        <w:tc>
          <w:tcPr>
            <w:tcW w:type="dxa" w:w="4464"/>
            <w:shd w:fill="F5F6F8" w:val="clear"/>
            <w:tcMar>
              <w:top w:type="dxa" w:w="60"/>
              <w:left w:type="dxa" w:w="100"/>
              <w:bottom w:type="dxa" w:w="60"/>
              <w:right w:type="dxa" w:w="100"/>
            </w:tcMar>
          </w:tcPr>
          <w:p>
            <w:r>
              <w:rPr>
                <w:b w:val="false"/>
                <w:bCs w:val="false"/>
                <w:color w:val="1A1A1A"/>
                <w:sz w:val="17"/>
                <w:szCs w:val="17"/>
              </w:rPr>
              <w:t xml:space="preserve">p=0.057 — close, not significant</w:t>
            </w:r>
          </w:p>
        </w:tc>
      </w:tr>
      <w:tr>
        <w:tc>
          <w:tcPr>
            <w:tcW w:type="dxa" w:w="3168"/>
            <w:shd w:fill="FFFFFF" w:val="clear"/>
            <w:tcMar>
              <w:top w:type="dxa" w:w="60"/>
              <w:left w:type="dxa" w:w="100"/>
              <w:bottom w:type="dxa" w:w="60"/>
              <w:right w:type="dxa" w:w="100"/>
            </w:tcMar>
          </w:tcPr>
          <w:p>
            <w:r>
              <w:rPr>
                <w:b w:val="false"/>
                <w:bCs w:val="false"/>
                <w:color w:val="1A1A1A"/>
                <w:sz w:val="17"/>
                <w:szCs w:val="17"/>
              </w:rPr>
              <w:t xml:space="preserve">S&amp;P 500</w:t>
            </w:r>
          </w:p>
        </w:tc>
        <w:tc>
          <w:tcPr>
            <w:tcW w:type="dxa" w:w="1872"/>
            <w:shd w:fill="FFFFFF" w:val="clear"/>
            <w:tcMar>
              <w:top w:type="dxa" w:w="60"/>
              <w:left w:type="dxa" w:w="100"/>
              <w:bottom w:type="dxa" w:w="60"/>
              <w:right w:type="dxa" w:w="100"/>
            </w:tcMar>
          </w:tcPr>
          <w:p>
            <w:r>
              <w:rPr>
                <w:b w:val="false"/>
                <w:bCs w:val="false"/>
                <w:color w:val="1A1A1A"/>
                <w:sz w:val="17"/>
                <w:szCs w:val="17"/>
              </w:rPr>
              <w:t xml:space="preserve">Asset price</w:t>
            </w:r>
          </w:p>
        </w:tc>
        <w:tc>
          <w:tcPr>
            <w:tcW w:type="dxa" w:w="1584"/>
            <w:shd w:fill="FFFFFF" w:val="clear"/>
            <w:tcMar>
              <w:top w:type="dxa" w:w="60"/>
              <w:left w:type="dxa" w:w="100"/>
              <w:bottom w:type="dxa" w:w="60"/>
              <w:right w:type="dxa" w:w="100"/>
            </w:tcMar>
          </w:tcPr>
          <w:p>
            <w:r>
              <w:rPr>
                <w:b/>
                <w:bCs/>
                <w:color w:val="6C757D"/>
                <w:sz w:val="17"/>
                <w:szCs w:val="17"/>
              </w:rPr>
              <w:t xml:space="preserve">NULL</w:t>
            </w:r>
          </w:p>
        </w:tc>
        <w:tc>
          <w:tcPr>
            <w:tcW w:type="dxa" w:w="4464"/>
            <w:shd w:fill="FFFFFF" w:val="clear"/>
            <w:tcMar>
              <w:top w:type="dxa" w:w="60"/>
              <w:left w:type="dxa" w:w="100"/>
              <w:bottom w:type="dxa" w:w="60"/>
              <w:right w:type="dxa" w:w="100"/>
            </w:tcMar>
          </w:tcPr>
          <w:p>
            <w:r>
              <w:rPr>
                <w:b w:val="false"/>
                <w:bCs w:val="false"/>
                <w:color w:val="1A1A1A"/>
                <w:sz w:val="17"/>
                <w:szCs w:val="17"/>
              </w:rPr>
              <w:t xml:space="preserve">Combined-model “hit” was multicollinearity</w:t>
            </w:r>
          </w:p>
        </w:tc>
      </w:tr>
      <w:tr>
        <w:tc>
          <w:tcPr>
            <w:tcW w:type="dxa" w:w="3168"/>
            <w:shd w:fill="F5F6F8" w:val="clear"/>
            <w:tcMar>
              <w:top w:type="dxa" w:w="60"/>
              <w:left w:type="dxa" w:w="100"/>
              <w:bottom w:type="dxa" w:w="60"/>
              <w:right w:type="dxa" w:w="100"/>
            </w:tcMar>
          </w:tcPr>
          <w:p>
            <w:r>
              <w:rPr>
                <w:b w:val="false"/>
                <w:bCs w:val="false"/>
                <w:color w:val="1A1A1A"/>
                <w:sz w:val="17"/>
                <w:szCs w:val="17"/>
              </w:rPr>
              <w:t xml:space="preserve">USD/JPY</w:t>
            </w:r>
          </w:p>
        </w:tc>
        <w:tc>
          <w:tcPr>
            <w:tcW w:type="dxa" w:w="1872"/>
            <w:shd w:fill="F5F6F8" w:val="clear"/>
            <w:tcMar>
              <w:top w:type="dxa" w:w="60"/>
              <w:left w:type="dxa" w:w="100"/>
              <w:bottom w:type="dxa" w:w="60"/>
              <w:right w:type="dxa" w:w="100"/>
            </w:tcMar>
          </w:tcPr>
          <w:p>
            <w:r>
              <w:rPr>
                <w:b w:val="false"/>
                <w:bCs w:val="false"/>
                <w:color w:val="1A1A1A"/>
                <w:sz w:val="17"/>
                <w:szCs w:val="17"/>
              </w:rPr>
              <w:t xml:space="preserve">Asset price</w:t>
            </w:r>
          </w:p>
        </w:tc>
        <w:tc>
          <w:tcPr>
            <w:tcW w:type="dxa" w:w="1584"/>
            <w:shd w:fill="F5F6F8" w:val="clear"/>
            <w:tcMar>
              <w:top w:type="dxa" w:w="60"/>
              <w:left w:type="dxa" w:w="100"/>
              <w:bottom w:type="dxa" w:w="60"/>
              <w:right w:type="dxa" w:w="100"/>
            </w:tcMar>
          </w:tcPr>
          <w:p>
            <w:r>
              <w:rPr>
                <w:b/>
                <w:bCs/>
                <w:color w:val="6C757D"/>
                <w:sz w:val="17"/>
                <w:szCs w:val="17"/>
              </w:rPr>
              <w:t xml:space="preserve">NULL</w:t>
            </w:r>
          </w:p>
        </w:tc>
        <w:tc>
          <w:tcPr>
            <w:tcW w:type="dxa" w:w="4464"/>
            <w:shd w:fill="F5F6F8" w:val="clear"/>
            <w:tcMar>
              <w:top w:type="dxa" w:w="60"/>
              <w:left w:type="dxa" w:w="100"/>
              <w:bottom w:type="dxa" w:w="60"/>
              <w:right w:type="dxa" w:w="100"/>
            </w:tcMar>
          </w:tcPr>
          <w:p>
            <w:r>
              <w:rPr>
                <w:b w:val="false"/>
                <w:bCs w:val="false"/>
                <w:color w:val="1A1A1A"/>
                <w:sz w:val="17"/>
                <w:szCs w:val="17"/>
              </w:rPr>
              <w:t xml:space="preserve">Only “sig.” at 3–4 lags — fragile pattern</w:t>
            </w:r>
          </w:p>
        </w:tc>
      </w:tr>
      <w:tr>
        <w:tc>
          <w:tcPr>
            <w:tcW w:type="dxa" w:w="3168"/>
            <w:shd w:fill="FFFFFF" w:val="clear"/>
            <w:tcMar>
              <w:top w:type="dxa" w:w="60"/>
              <w:left w:type="dxa" w:w="100"/>
              <w:bottom w:type="dxa" w:w="60"/>
              <w:right w:type="dxa" w:w="100"/>
            </w:tcMar>
          </w:tcPr>
          <w:p>
            <w:r>
              <w:rPr>
                <w:b w:val="false"/>
                <w:bCs w:val="false"/>
                <w:color w:val="1A1A1A"/>
                <w:sz w:val="17"/>
                <w:szCs w:val="17"/>
              </w:rPr>
              <w:t xml:space="preserve">USD/EUR, USD/GBP, Gold</w:t>
            </w:r>
          </w:p>
        </w:tc>
        <w:tc>
          <w:tcPr>
            <w:tcW w:type="dxa" w:w="1872"/>
            <w:shd w:fill="FFFFFF" w:val="clear"/>
            <w:tcMar>
              <w:top w:type="dxa" w:w="60"/>
              <w:left w:type="dxa" w:w="100"/>
              <w:bottom w:type="dxa" w:w="60"/>
              <w:right w:type="dxa" w:w="100"/>
            </w:tcMar>
          </w:tcPr>
          <w:p>
            <w:r>
              <w:rPr>
                <w:b w:val="false"/>
                <w:bCs w:val="false"/>
                <w:color w:val="1A1A1A"/>
                <w:sz w:val="17"/>
                <w:szCs w:val="17"/>
              </w:rPr>
              <w:t xml:space="preserve">Asset price</w:t>
            </w:r>
          </w:p>
        </w:tc>
        <w:tc>
          <w:tcPr>
            <w:tcW w:type="dxa" w:w="1584"/>
            <w:shd w:fill="FFFFFF" w:val="clear"/>
            <w:tcMar>
              <w:top w:type="dxa" w:w="60"/>
              <w:left w:type="dxa" w:w="100"/>
              <w:bottom w:type="dxa" w:w="60"/>
              <w:right w:type="dxa" w:w="100"/>
            </w:tcMar>
          </w:tcPr>
          <w:p>
            <w:r>
              <w:rPr>
                <w:b/>
                <w:bCs/>
                <w:color w:val="6C757D"/>
                <w:sz w:val="17"/>
                <w:szCs w:val="17"/>
              </w:rPr>
              <w:t xml:space="preserve">NULL</w:t>
            </w:r>
          </w:p>
        </w:tc>
        <w:tc>
          <w:tcPr>
            <w:tcW w:type="dxa" w:w="4464"/>
            <w:shd w:fill="FFFFFF" w:val="clear"/>
            <w:tcMar>
              <w:top w:type="dxa" w:w="60"/>
              <w:left w:type="dxa" w:w="100"/>
              <w:bottom w:type="dxa" w:w="60"/>
              <w:right w:type="dxa" w:w="100"/>
            </w:tcMar>
          </w:tcPr>
          <w:p>
            <w:r>
              <w:rPr>
                <w:b w:val="false"/>
                <w:bCs w:val="false"/>
                <w:color w:val="1A1A1A"/>
                <w:sz w:val="17"/>
                <w:szCs w:val="17"/>
              </w:rPr>
              <w:t xml:space="preserve">Not significant at any lag</w:t>
            </w:r>
          </w:p>
        </w:tc>
      </w:tr>
      <w:tr>
        <w:tc>
          <w:tcPr>
            <w:tcW w:type="dxa" w:w="3168"/>
            <w:shd w:fill="F5F6F8" w:val="clear"/>
            <w:tcMar>
              <w:top w:type="dxa" w:w="60"/>
              <w:left w:type="dxa" w:w="100"/>
              <w:bottom w:type="dxa" w:w="60"/>
              <w:right w:type="dxa" w:w="100"/>
            </w:tcMar>
          </w:tcPr>
          <w:p>
            <w:r>
              <w:rPr>
                <w:b w:val="false"/>
                <w:bCs w:val="false"/>
                <w:color w:val="1A1A1A"/>
                <w:sz w:val="17"/>
                <w:szCs w:val="17"/>
              </w:rPr>
              <w:t xml:space="preserve">Unemployment rate (Δ)</w:t>
            </w:r>
          </w:p>
        </w:tc>
        <w:tc>
          <w:tcPr>
            <w:tcW w:type="dxa" w:w="1872"/>
            <w:shd w:fill="F5F6F8" w:val="clear"/>
            <w:tcMar>
              <w:top w:type="dxa" w:w="60"/>
              <w:left w:type="dxa" w:w="100"/>
              <w:bottom w:type="dxa" w:w="60"/>
              <w:right w:type="dxa" w:w="100"/>
            </w:tcMar>
          </w:tcPr>
          <w:p>
            <w:r>
              <w:rPr>
                <w:b w:val="false"/>
                <w:bCs w:val="false"/>
                <w:color w:val="1A1A1A"/>
                <w:sz w:val="17"/>
                <w:szCs w:val="17"/>
              </w:rPr>
              <w:t xml:space="preserve">Econ growth</w:t>
            </w:r>
          </w:p>
        </w:tc>
        <w:tc>
          <w:tcPr>
            <w:tcW w:type="dxa" w:w="1584"/>
            <w:shd w:fill="F5F6F8" w:val="clear"/>
            <w:tcMar>
              <w:top w:type="dxa" w:w="60"/>
              <w:left w:type="dxa" w:w="100"/>
              <w:bottom w:type="dxa" w:w="60"/>
              <w:right w:type="dxa" w:w="100"/>
            </w:tcMar>
          </w:tcPr>
          <w:p>
            <w:r>
              <w:rPr>
                <w:b/>
                <w:bCs/>
                <w:color w:val="6C757D"/>
                <w:sz w:val="17"/>
                <w:szCs w:val="17"/>
              </w:rPr>
              <w:t xml:space="preserve">NULL</w:t>
            </w:r>
          </w:p>
        </w:tc>
        <w:tc>
          <w:tcPr>
            <w:tcW w:type="dxa" w:w="4464"/>
            <w:shd w:fill="F5F6F8" w:val="clear"/>
            <w:tcMar>
              <w:top w:type="dxa" w:w="60"/>
              <w:left w:type="dxa" w:w="100"/>
              <w:bottom w:type="dxa" w:w="60"/>
              <w:right w:type="dxa" w:w="100"/>
            </w:tcMar>
          </w:tcPr>
          <w:p>
            <w:r>
              <w:rPr>
                <w:b w:val="false"/>
                <w:bCs w:val="false"/>
                <w:color w:val="1A1A1A"/>
                <w:sz w:val="17"/>
                <w:szCs w:val="17"/>
              </w:rPr>
              <w:t xml:space="preserve">Null at every lag, 1–4</w:t>
            </w:r>
          </w:p>
        </w:tc>
      </w:tr>
      <w:tr>
        <w:tc>
          <w:tcPr>
            <w:tcW w:type="dxa" w:w="3168"/>
            <w:shd w:fill="FFFFFF" w:val="clear"/>
            <w:tcMar>
              <w:top w:type="dxa" w:w="60"/>
              <w:left w:type="dxa" w:w="100"/>
              <w:bottom w:type="dxa" w:w="60"/>
              <w:right w:type="dxa" w:w="100"/>
            </w:tcMar>
          </w:tcPr>
          <w:p>
            <w:r>
              <w:rPr>
                <w:b w:val="false"/>
                <w:bCs w:val="false"/>
                <w:color w:val="1A1A1A"/>
                <w:sz w:val="17"/>
                <w:szCs w:val="17"/>
              </w:rPr>
              <w:t xml:space="preserve">GDP (% chg)</w:t>
            </w:r>
          </w:p>
        </w:tc>
        <w:tc>
          <w:tcPr>
            <w:tcW w:type="dxa" w:w="1872"/>
            <w:shd w:fill="FFFFFF" w:val="clear"/>
            <w:tcMar>
              <w:top w:type="dxa" w:w="60"/>
              <w:left w:type="dxa" w:w="100"/>
              <w:bottom w:type="dxa" w:w="60"/>
              <w:right w:type="dxa" w:w="100"/>
            </w:tcMar>
          </w:tcPr>
          <w:p>
            <w:r>
              <w:rPr>
                <w:b w:val="false"/>
                <w:bCs w:val="false"/>
                <w:color w:val="1A1A1A"/>
                <w:sz w:val="17"/>
                <w:szCs w:val="17"/>
              </w:rPr>
              <w:t xml:space="preserve">Econ growth</w:t>
            </w:r>
          </w:p>
        </w:tc>
        <w:tc>
          <w:tcPr>
            <w:tcW w:type="dxa" w:w="1584"/>
            <w:shd w:fill="FFFFFF" w:val="clear"/>
            <w:tcMar>
              <w:top w:type="dxa" w:w="60"/>
              <w:left w:type="dxa" w:w="100"/>
              <w:bottom w:type="dxa" w:w="60"/>
              <w:right w:type="dxa" w:w="100"/>
            </w:tcMar>
          </w:tcPr>
          <w:p>
            <w:r>
              <w:rPr>
                <w:b/>
                <w:bCs/>
                <w:color w:val="6C757D"/>
                <w:sz w:val="17"/>
                <w:szCs w:val="17"/>
              </w:rPr>
              <w:t xml:space="preserve">NULL</w:t>
            </w:r>
          </w:p>
        </w:tc>
        <w:tc>
          <w:tcPr>
            <w:tcW w:type="dxa" w:w="4464"/>
            <w:shd w:fill="FFFFFF" w:val="clear"/>
            <w:tcMar>
              <w:top w:type="dxa" w:w="60"/>
              <w:left w:type="dxa" w:w="100"/>
              <w:bottom w:type="dxa" w:w="60"/>
              <w:right w:type="dxa" w:w="100"/>
            </w:tcMar>
          </w:tcPr>
          <w:p>
            <w:r>
              <w:rPr>
                <w:b w:val="false"/>
                <w:bCs w:val="false"/>
                <w:color w:val="1A1A1A"/>
                <w:sz w:val="17"/>
                <w:szCs w:val="17"/>
              </w:rPr>
              <w:t xml:space="preserve">Combined-model “hit” was multicollinearity</w:t>
            </w:r>
          </w:p>
        </w:tc>
      </w:tr>
    </w:tbl>
    <w:p>
      <w:pPr>
        <w:spacing w:after="120"/>
      </w:pPr>
    </w:p>
    <w:p>
      <w:pPr>
        <w:pStyle w:val="Heading3"/>
        <w:spacing w:after="80" w:before="160"/>
      </w:pPr>
      <w:r>
        <w:rPr>
          <w:b/>
          <w:bCs/>
          <w:color w:val="1A1A1A"/>
          <w:sz w:val="21"/>
          <w:szCs w:val="21"/>
        </w:rPr>
        <w:t xml:space="preserve">The one robust result: K → 10Y Treasury</w:t>
      </w:r>
    </w:p>
    <w:p>
      <w:pPr>
        <w:pStyle w:val="ListParagraph"/>
        <w:numPr>
          <w:ilvl w:val="0"/>
          <w:numId w:val="2"/>
        </w:numPr>
        <w:spacing w:after="60" w:line="264"/>
      </w:pPr>
      <w:r>
        <w:rPr>
          <w:color w:val="1A1A1A"/>
          <w:sz w:val="21"/>
          <w:szCs w:val="21"/>
        </w:rPr>
        <w:t xml:space="preserve">Driven by K lagged one quarter, not the contemporaneous value (contemporaneous p=0.26).</w:t>
      </w:r>
    </w:p>
    <w:p>
      <w:pPr>
        <w:pStyle w:val="ListParagraph"/>
        <w:numPr>
          <w:ilvl w:val="0"/>
          <w:numId w:val="2"/>
        </w:numPr>
        <w:spacing w:after="60" w:line="264"/>
      </w:pPr>
      <w:r>
        <w:rPr>
          <w:color w:val="1A1A1A"/>
          <w:sz w:val="21"/>
          <w:szCs w:val="21"/>
        </w:rPr>
        <w:t xml:space="preserve">Coefficient ranges +0.013 to +0.030 depending on specification; significant at every lag length 1–4, unlike every other series tested.</w:t>
      </w:r>
    </w:p>
    <w:p>
      <w:pPr>
        <w:pStyle w:val="ListParagraph"/>
        <w:numPr>
          <w:ilvl w:val="0"/>
          <w:numId w:val="2"/>
        </w:numPr>
        <w:spacing w:after="60" w:line="264"/>
      </w:pPr>
      <w:r>
        <w:rPr>
          <w:color w:val="1A1A1A"/>
          <w:sz w:val="21"/>
          <w:szCs w:val="21"/>
        </w:rPr>
        <w:t xml:space="preserve">Economic read: widening wealth divergence precedes a flight-to-quality bid in Treasuries, one quarter later.</w:t>
      </w:r>
    </w:p>
    <w:p>
      <w:pPr>
        <w:pStyle w:val="Heading3"/>
        <w:spacing w:after="80" w:before="160"/>
      </w:pPr>
      <w:r>
        <w:rPr>
          <w:b/>
          <w:bCs/>
          <w:color w:val="1A1A1A"/>
          <w:sz w:val="21"/>
          <w:szCs w:val="21"/>
        </w:rPr>
        <w:t xml:space="preserve">Two multicollinearity traps caught</w:t>
      </w:r>
    </w:p>
    <w:p>
      <w:pPr>
        <w:spacing w:after="120" w:line="276"/>
      </w:pPr>
      <w:r>
        <w:rPr>
          <w:color w:val="1A1A1A"/>
          <w:sz w:val="21"/>
          <w:szCs w:val="21"/>
        </w:rPr>
        <w:t xml:space="preserve">The S&amp;P 500 and GDP tests both showed a significant coefficient in the combined “current + 4 lags” model, but the effect vanished once contemporaneous and lagged terms were tested separately — K correlates 0.92 with its own prior-quarter value, and a combined model can mistake that autocorrelation for a real relationship. This is precisely the failure mode the project’s separated-regression discipline exists to catch.</w:t>
      </w:r>
    </w:p>
    <w:p>
      <w:pPr>
        <w:pStyle w:val="Heading1"/>
        <w:spacing w:after="120" w:before="240"/>
      </w:pPr>
      <w:r>
        <w:rPr>
          <w:b/>
          <w:bCs/>
          <w:color w:val="0B1F3A"/>
          <w:sz w:val="30"/>
          <w:szCs w:val="30"/>
        </w:rPr>
        <w:t xml:space="preserve">VII. Findings — BEDI, the Rotation Signal, and Real Estate</w:t>
      </w:r>
    </w:p>
    <w:p>
      <w:pPr>
        <w:pStyle w:val="Heading2"/>
        <w:spacing w:after="100" w:before="200"/>
      </w:pPr>
      <w:r>
        <w:rPr>
          <w:b/>
          <w:bCs/>
          <w:color w:val="0B1F3A"/>
          <w:sz w:val="24"/>
          <w:szCs w:val="24"/>
        </w:rPr>
        <w:t xml:space="preserve">Corroboration: BEDI and the rotation signal also predict Treasury returns</w:t>
      </w:r>
    </w:p>
    <w:p>
      <w:pPr>
        <w:spacing w:after="120" w:line="276"/>
      </w:pPr>
      <w:r>
        <w:rPr>
          <w:color w:val="1A1A1A"/>
          <w:sz w:val="21"/>
          <w:szCs w:val="21"/>
        </w:rPr>
        <w:t xml:space="preserve">Neither BEDI nor the isolated rotation signal had been tested against the Treasury directly until this project closed that gap. Both clear the same “robust” bar as K itself: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224"/>
        <w:gridCol w:w="1224"/>
        <w:gridCol w:w="1224"/>
        <w:gridCol w:w="1224"/>
        <w:gridCol w:w="1728"/>
      </w:tblGrid>
      <w:tr>
        <w:trPr>
          <w:tblHeader/>
        </w:trPr>
        <w:tc>
          <w:tcPr>
            <w:tcW w:type="dxa" w:w="2880"/>
            <w:shd w:fill="0B1F3A" w:val="clear"/>
            <w:tcMar>
              <w:top w:type="dxa" w:w="80"/>
              <w:left w:type="dxa" w:w="100"/>
              <w:bottom w:type="dxa" w:w="80"/>
              <w:right w:type="dxa" w:w="100"/>
            </w:tcMar>
          </w:tcPr>
          <w:p>
            <w:r>
              <w:rPr>
                <w:b/>
                <w:bCs/>
                <w:color w:val="FFFFFF"/>
                <w:sz w:val="18"/>
                <w:szCs w:val="18"/>
              </w:rPr>
              <w:t xml:space="preserve">Predictor</w:t>
            </w:r>
          </w:p>
        </w:tc>
        <w:tc>
          <w:tcPr>
            <w:tcW w:type="dxa" w:w="1440"/>
            <w:shd w:fill="0B1F3A" w:val="clear"/>
            <w:tcMar>
              <w:top w:type="dxa" w:w="80"/>
              <w:left w:type="dxa" w:w="100"/>
              <w:bottom w:type="dxa" w:w="80"/>
              <w:right w:type="dxa" w:w="100"/>
            </w:tcMar>
          </w:tcPr>
          <w:p>
            <w:r>
              <w:rPr>
                <w:b/>
                <w:bCs/>
                <w:color w:val="FFFFFF"/>
                <w:sz w:val="18"/>
                <w:szCs w:val="18"/>
              </w:rPr>
              <w:t xml:space="preserve">Contemp.</w:t>
            </w:r>
          </w:p>
        </w:tc>
        <w:tc>
          <w:tcPr>
            <w:tcW w:type="dxa" w:w="1224"/>
            <w:shd w:fill="0B1F3A" w:val="clear"/>
            <w:tcMar>
              <w:top w:type="dxa" w:w="80"/>
              <w:left w:type="dxa" w:w="100"/>
              <w:bottom w:type="dxa" w:w="80"/>
              <w:right w:type="dxa" w:w="100"/>
            </w:tcMar>
          </w:tcPr>
          <w:p>
            <w:r>
              <w:rPr>
                <w:b/>
                <w:bCs/>
                <w:color w:val="FFFFFF"/>
                <w:sz w:val="18"/>
                <w:szCs w:val="18"/>
              </w:rPr>
              <w:t xml:space="preserve">n=1</w:t>
            </w:r>
          </w:p>
        </w:tc>
        <w:tc>
          <w:tcPr>
            <w:tcW w:type="dxa" w:w="1224"/>
            <w:shd w:fill="0B1F3A" w:val="clear"/>
            <w:tcMar>
              <w:top w:type="dxa" w:w="80"/>
              <w:left w:type="dxa" w:w="100"/>
              <w:bottom w:type="dxa" w:w="80"/>
              <w:right w:type="dxa" w:w="100"/>
            </w:tcMar>
          </w:tcPr>
          <w:p>
            <w:r>
              <w:rPr>
                <w:b/>
                <w:bCs/>
                <w:color w:val="FFFFFF"/>
                <w:sz w:val="18"/>
                <w:szCs w:val="18"/>
              </w:rPr>
              <w:t xml:space="preserve">n=2</w:t>
            </w:r>
          </w:p>
        </w:tc>
        <w:tc>
          <w:tcPr>
            <w:tcW w:type="dxa" w:w="1224"/>
            <w:shd w:fill="0B1F3A" w:val="clear"/>
            <w:tcMar>
              <w:top w:type="dxa" w:w="80"/>
              <w:left w:type="dxa" w:w="100"/>
              <w:bottom w:type="dxa" w:w="80"/>
              <w:right w:type="dxa" w:w="100"/>
            </w:tcMar>
          </w:tcPr>
          <w:p>
            <w:r>
              <w:rPr>
                <w:b/>
                <w:bCs/>
                <w:color w:val="FFFFFF"/>
                <w:sz w:val="18"/>
                <w:szCs w:val="18"/>
              </w:rPr>
              <w:t xml:space="preserve">n=3</w:t>
            </w:r>
          </w:p>
        </w:tc>
        <w:tc>
          <w:tcPr>
            <w:tcW w:type="dxa" w:w="1224"/>
            <w:shd w:fill="0B1F3A" w:val="clear"/>
            <w:tcMar>
              <w:top w:type="dxa" w:w="80"/>
              <w:left w:type="dxa" w:w="100"/>
              <w:bottom w:type="dxa" w:w="80"/>
              <w:right w:type="dxa" w:w="100"/>
            </w:tcMar>
          </w:tcPr>
          <w:p>
            <w:r>
              <w:rPr>
                <w:b/>
                <w:bCs/>
                <w:color w:val="FFFFFF"/>
                <w:sz w:val="18"/>
                <w:szCs w:val="18"/>
              </w:rPr>
              <w:t xml:space="preserve">n=4</w:t>
            </w:r>
          </w:p>
        </w:tc>
        <w:tc>
          <w:tcPr>
            <w:tcW w:type="dxa" w:w="1728"/>
            <w:shd w:fill="0B1F3A" w:val="clear"/>
            <w:tcMar>
              <w:top w:type="dxa" w:w="80"/>
              <w:left w:type="dxa" w:w="100"/>
              <w:bottom w:type="dxa" w:w="80"/>
              <w:right w:type="dxa" w:w="100"/>
            </w:tcMar>
          </w:tcPr>
          <w:p>
            <w:r>
              <w:rPr>
                <w:b/>
                <w:bCs/>
                <w:color w:val="FFFFFF"/>
                <w:sz w:val="18"/>
                <w:szCs w:val="18"/>
              </w:rPr>
              <w:t xml:space="preserve">Ex-outliers</w:t>
            </w:r>
          </w:p>
        </w:tc>
      </w:tr>
      <w:tr>
        <w:tc>
          <w:tcPr>
            <w:tcW w:type="dxa" w:w="2880"/>
            <w:shd w:fill="FFFFFF" w:val="clear"/>
            <w:tcMar>
              <w:top w:type="dxa" w:w="60"/>
              <w:left w:type="dxa" w:w="100"/>
              <w:bottom w:type="dxa" w:w="60"/>
              <w:right w:type="dxa" w:w="100"/>
            </w:tcMar>
          </w:tcPr>
          <w:p>
            <w:r>
              <w:rPr>
                <w:b w:val="false"/>
                <w:bCs w:val="false"/>
                <w:color w:val="1A1A1A"/>
                <w:sz w:val="17"/>
                <w:szCs w:val="17"/>
              </w:rPr>
              <w:t xml:space="preserve">BEDI (expanding)</w:t>
            </w:r>
          </w:p>
        </w:tc>
        <w:tc>
          <w:tcPr>
            <w:tcW w:type="dxa" w:w="1440"/>
            <w:shd w:fill="FFFFFF" w:val="clear"/>
            <w:tcMar>
              <w:top w:type="dxa" w:w="60"/>
              <w:left w:type="dxa" w:w="100"/>
              <w:bottom w:type="dxa" w:w="60"/>
              <w:right w:type="dxa" w:w="100"/>
            </w:tcMar>
          </w:tcPr>
          <w:p>
            <w:r>
              <w:rPr>
                <w:b w:val="false"/>
                <w:bCs w:val="false"/>
                <w:color w:val="1A1A1A"/>
                <w:sz w:val="17"/>
                <w:szCs w:val="17"/>
              </w:rPr>
              <w:t xml:space="preserve">0.158</w:t>
            </w:r>
          </w:p>
        </w:tc>
        <w:tc>
          <w:tcPr>
            <w:tcW w:type="dxa" w:w="1224"/>
            <w:shd w:fill="FFFFFF" w:val="clear"/>
            <w:tcMar>
              <w:top w:type="dxa" w:w="60"/>
              <w:left w:type="dxa" w:w="100"/>
              <w:bottom w:type="dxa" w:w="60"/>
              <w:right w:type="dxa" w:w="100"/>
            </w:tcMar>
          </w:tcPr>
          <w:p>
            <w:r>
              <w:rPr>
                <w:b/>
                <w:bCs/>
                <w:color w:val="2E7D32"/>
                <w:sz w:val="17"/>
                <w:szCs w:val="17"/>
              </w:rPr>
              <w:t xml:space="preserve">0.012</w:t>
            </w:r>
          </w:p>
        </w:tc>
        <w:tc>
          <w:tcPr>
            <w:tcW w:type="dxa" w:w="1224"/>
            <w:shd w:fill="FFFFFF" w:val="clear"/>
            <w:tcMar>
              <w:top w:type="dxa" w:w="60"/>
              <w:left w:type="dxa" w:w="100"/>
              <w:bottom w:type="dxa" w:w="60"/>
              <w:right w:type="dxa" w:w="100"/>
            </w:tcMar>
          </w:tcPr>
          <w:p>
            <w:r>
              <w:rPr>
                <w:b/>
                <w:bCs/>
                <w:color w:val="2E7D32"/>
                <w:sz w:val="17"/>
                <w:szCs w:val="17"/>
              </w:rPr>
              <w:t xml:space="preserve">0.021</w:t>
            </w:r>
          </w:p>
        </w:tc>
        <w:tc>
          <w:tcPr>
            <w:tcW w:type="dxa" w:w="1224"/>
            <w:shd w:fill="FFFFFF" w:val="clear"/>
            <w:tcMar>
              <w:top w:type="dxa" w:w="60"/>
              <w:left w:type="dxa" w:w="100"/>
              <w:bottom w:type="dxa" w:w="60"/>
              <w:right w:type="dxa" w:w="100"/>
            </w:tcMar>
          </w:tcPr>
          <w:p>
            <w:r>
              <w:rPr>
                <w:b/>
                <w:bCs/>
                <w:color w:val="2E7D32"/>
                <w:sz w:val="17"/>
                <w:szCs w:val="17"/>
              </w:rPr>
              <w:t xml:space="preserve">0.029</w:t>
            </w:r>
          </w:p>
        </w:tc>
        <w:tc>
          <w:tcPr>
            <w:tcW w:type="dxa" w:w="1224"/>
            <w:shd w:fill="FFFFFF" w:val="clear"/>
            <w:tcMar>
              <w:top w:type="dxa" w:w="60"/>
              <w:left w:type="dxa" w:w="100"/>
              <w:bottom w:type="dxa" w:w="60"/>
              <w:right w:type="dxa" w:w="100"/>
            </w:tcMar>
          </w:tcPr>
          <w:p>
            <w:r>
              <w:rPr>
                <w:b w:val="false"/>
                <w:bCs w:val="false"/>
                <w:color w:val="1A1A1A"/>
                <w:sz w:val="17"/>
                <w:szCs w:val="17"/>
              </w:rPr>
              <w:t xml:space="preserve">0.060</w:t>
            </w:r>
          </w:p>
        </w:tc>
        <w:tc>
          <w:tcPr>
            <w:tcW w:type="dxa" w:w="1728"/>
            <w:shd w:fill="FFFFFF" w:val="clear"/>
            <w:tcMar>
              <w:top w:type="dxa" w:w="60"/>
              <w:left w:type="dxa" w:w="100"/>
              <w:bottom w:type="dxa" w:w="60"/>
              <w:right w:type="dxa" w:w="100"/>
            </w:tcMar>
          </w:tcPr>
          <w:p>
            <w:r>
              <w:rPr>
                <w:b/>
                <w:bCs/>
                <w:color w:val="2E7D32"/>
                <w:sz w:val="17"/>
                <w:szCs w:val="17"/>
              </w:rPr>
              <w:t xml:space="preserve">0.042</w:t>
            </w:r>
          </w:p>
        </w:tc>
      </w:tr>
      <w:tr>
        <w:tc>
          <w:tcPr>
            <w:tcW w:type="dxa" w:w="2880"/>
            <w:shd w:fill="F5F6F8" w:val="clear"/>
            <w:tcMar>
              <w:top w:type="dxa" w:w="60"/>
              <w:left w:type="dxa" w:w="100"/>
              <w:bottom w:type="dxa" w:w="60"/>
              <w:right w:type="dxa" w:w="100"/>
            </w:tcMar>
          </w:tcPr>
          <w:p>
            <w:r>
              <w:rPr>
                <w:b w:val="false"/>
                <w:bCs w:val="false"/>
                <w:color w:val="1A1A1A"/>
                <w:sz w:val="17"/>
                <w:szCs w:val="17"/>
              </w:rPr>
              <w:t xml:space="preserve">Rotation signal alone</w:t>
            </w:r>
          </w:p>
        </w:tc>
        <w:tc>
          <w:tcPr>
            <w:tcW w:type="dxa" w:w="1440"/>
            <w:shd w:fill="F5F6F8" w:val="clear"/>
            <w:tcMar>
              <w:top w:type="dxa" w:w="60"/>
              <w:left w:type="dxa" w:w="100"/>
              <w:bottom w:type="dxa" w:w="60"/>
              <w:right w:type="dxa" w:w="100"/>
            </w:tcMar>
          </w:tcPr>
          <w:p>
            <w:r>
              <w:rPr>
                <w:b w:val="false"/>
                <w:bCs w:val="false"/>
                <w:color w:val="1A1A1A"/>
                <w:sz w:val="17"/>
                <w:szCs w:val="17"/>
              </w:rPr>
              <w:t xml:space="preserve">0.362</w:t>
            </w:r>
          </w:p>
        </w:tc>
        <w:tc>
          <w:tcPr>
            <w:tcW w:type="dxa" w:w="1224"/>
            <w:shd w:fill="F5F6F8" w:val="clear"/>
            <w:tcMar>
              <w:top w:type="dxa" w:w="60"/>
              <w:left w:type="dxa" w:w="100"/>
              <w:bottom w:type="dxa" w:w="60"/>
              <w:right w:type="dxa" w:w="100"/>
            </w:tcMar>
          </w:tcPr>
          <w:p>
            <w:r>
              <w:rPr>
                <w:b/>
                <w:bCs/>
                <w:color w:val="2E7D32"/>
                <w:sz w:val="17"/>
                <w:szCs w:val="17"/>
              </w:rPr>
              <w:t xml:space="preserve">0.015</w:t>
            </w:r>
          </w:p>
        </w:tc>
        <w:tc>
          <w:tcPr>
            <w:tcW w:type="dxa" w:w="1224"/>
            <w:shd w:fill="F5F6F8" w:val="clear"/>
            <w:tcMar>
              <w:top w:type="dxa" w:w="60"/>
              <w:left w:type="dxa" w:w="100"/>
              <w:bottom w:type="dxa" w:w="60"/>
              <w:right w:type="dxa" w:w="100"/>
            </w:tcMar>
          </w:tcPr>
          <w:p>
            <w:r>
              <w:rPr>
                <w:b/>
                <w:bCs/>
                <w:color w:val="2E7D32"/>
                <w:sz w:val="17"/>
                <w:szCs w:val="17"/>
              </w:rPr>
              <w:t xml:space="preserve">0.020</w:t>
            </w:r>
          </w:p>
        </w:tc>
        <w:tc>
          <w:tcPr>
            <w:tcW w:type="dxa" w:w="1224"/>
            <w:shd w:fill="F5F6F8" w:val="clear"/>
            <w:tcMar>
              <w:top w:type="dxa" w:w="60"/>
              <w:left w:type="dxa" w:w="100"/>
              <w:bottom w:type="dxa" w:w="60"/>
              <w:right w:type="dxa" w:w="100"/>
            </w:tcMar>
          </w:tcPr>
          <w:p>
            <w:r>
              <w:rPr>
                <w:b/>
                <w:bCs/>
                <w:color w:val="2E7D32"/>
                <w:sz w:val="17"/>
                <w:szCs w:val="17"/>
              </w:rPr>
              <w:t xml:space="preserve">0.015</w:t>
            </w:r>
          </w:p>
        </w:tc>
        <w:tc>
          <w:tcPr>
            <w:tcW w:type="dxa" w:w="1224"/>
            <w:shd w:fill="F5F6F8" w:val="clear"/>
            <w:tcMar>
              <w:top w:type="dxa" w:w="60"/>
              <w:left w:type="dxa" w:w="100"/>
              <w:bottom w:type="dxa" w:w="60"/>
              <w:right w:type="dxa" w:w="100"/>
            </w:tcMar>
          </w:tcPr>
          <w:p>
            <w:r>
              <w:rPr>
                <w:b/>
                <w:bCs/>
                <w:color w:val="2E7D32"/>
                <w:sz w:val="17"/>
                <w:szCs w:val="17"/>
              </w:rPr>
              <w:t xml:space="preserve">0.034</w:t>
            </w:r>
          </w:p>
        </w:tc>
        <w:tc>
          <w:tcPr>
            <w:tcW w:type="dxa" w:w="1728"/>
            <w:shd w:fill="F5F6F8" w:val="clear"/>
            <w:tcMar>
              <w:top w:type="dxa" w:w="60"/>
              <w:left w:type="dxa" w:w="100"/>
              <w:bottom w:type="dxa" w:w="60"/>
              <w:right w:type="dxa" w:w="100"/>
            </w:tcMar>
          </w:tcPr>
          <w:p>
            <w:r>
              <w:rPr>
                <w:b/>
                <w:bCs/>
                <w:color w:val="2E7D32"/>
                <w:sz w:val="17"/>
                <w:szCs w:val="17"/>
              </w:rPr>
              <w:t xml:space="preserve">0.016</w:t>
            </w:r>
          </w:p>
        </w:tc>
      </w:tr>
    </w:tbl>
    <w:p>
      <w:pPr>
        <w:spacing w:after="120"/>
      </w:pPr>
    </w:p>
    <w:p>
      <w:pPr>
        <w:pStyle w:val="ListParagraph"/>
        <w:numPr>
          <w:ilvl w:val="0"/>
          <w:numId w:val="2"/>
        </w:numPr>
        <w:spacing w:after="60" w:line="264"/>
      </w:pPr>
      <w:r>
        <w:rPr>
          <w:color w:val="1A1A1A"/>
          <w:sz w:val="21"/>
          <w:szCs w:val="21"/>
        </w:rPr>
        <w:t xml:space="preserve">Both are null contemporaneously and significant only with a lag — the effect is Boomers’ behavior this quarter predicting Treasury returns next quarter.</w:t>
      </w:r>
    </w:p>
    <w:p>
      <w:pPr>
        <w:pStyle w:val="ListParagraph"/>
        <w:numPr>
          <w:ilvl w:val="0"/>
          <w:numId w:val="2"/>
        </w:numPr>
        <w:spacing w:after="60" w:line="264"/>
      </w:pPr>
      <w:r>
        <w:rPr>
          <w:color w:val="1A1A1A"/>
          <w:sz w:val="21"/>
          <w:szCs w:val="21"/>
        </w:rPr>
        <w:t xml:space="preserve">Both survive dropping the four most extreme Treasury-return quarters (2008Q4, 2010Q2, 2011Q3, 2020Q1) — a meaningfully cleaner result than the REIT/K-Index contemporaneous reading below, which did not survive the same check.</w:t>
      </w:r>
    </w:p>
    <w:p>
      <w:pPr>
        <w:pStyle w:val="ListParagraph"/>
        <w:numPr>
          <w:ilvl w:val="0"/>
          <w:numId w:val="2"/>
        </w:numPr>
        <w:spacing w:after="60" w:line="264"/>
      </w:pPr>
      <w:r>
        <w:rPr>
          <w:color w:val="1A1A1A"/>
          <w:sz w:val="21"/>
          <w:szCs w:val="21"/>
        </w:rPr>
        <w:t xml:space="preserve">BEDI was also tested against a credit-vs-equity pair (investment-grade bonds minus the S&amp;P 500): significant at both 1- and 2-quarter horizons (p=0.012, p=0.048), and survives outlier removal.</w:t>
      </w:r>
    </w:p>
    <w:p>
      <w:pPr>
        <w:pStyle w:val="Heading2"/>
        <w:spacing w:after="100" w:before="200"/>
      </w:pPr>
      <w:r>
        <w:rPr>
          <w:b/>
          <w:bCs/>
          <w:color w:val="0B1F3A"/>
          <w:sz w:val="24"/>
          <w:szCs w:val="24"/>
        </w:rPr>
        <w:t xml:space="preserve">Real estate: one clean null, one result that did not survive scrutiny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56"/>
        <w:gridCol w:w="1440"/>
        <w:gridCol w:w="1440"/>
        <w:gridCol w:w="4896"/>
      </w:tblGrid>
      <w:tr>
        <w:trPr>
          <w:tblHeader/>
        </w:trPr>
        <w:tc>
          <w:tcPr>
            <w:tcW w:type="dxa" w:w="3456"/>
            <w:shd w:fill="0B1F3A" w:val="clear"/>
            <w:tcMar>
              <w:top w:type="dxa" w:w="80"/>
              <w:left w:type="dxa" w:w="100"/>
              <w:bottom w:type="dxa" w:w="80"/>
              <w:right w:type="dxa" w:w="100"/>
            </w:tcMar>
          </w:tcPr>
          <w:p>
            <w:r>
              <w:rPr>
                <w:b/>
                <w:bCs/>
                <w:color w:val="FFFFFF"/>
                <w:sz w:val="18"/>
                <w:szCs w:val="18"/>
              </w:rPr>
              <w:t xml:space="preserve">Test</w:t>
            </w:r>
          </w:p>
        </w:tc>
        <w:tc>
          <w:tcPr>
            <w:tcW w:type="dxa" w:w="1440"/>
            <w:shd w:fill="0B1F3A" w:val="clear"/>
            <w:tcMar>
              <w:top w:type="dxa" w:w="80"/>
              <w:left w:type="dxa" w:w="100"/>
              <w:bottom w:type="dxa" w:w="80"/>
              <w:right w:type="dxa" w:w="100"/>
            </w:tcMar>
          </w:tcPr>
          <w:p>
            <w:r>
              <w:rPr>
                <w:b/>
                <w:bCs/>
                <w:color w:val="FFFFFF"/>
                <w:sz w:val="18"/>
                <w:szCs w:val="18"/>
              </w:rPr>
              <w:t xml:space="preserve">Contemp.</w:t>
            </w:r>
          </w:p>
        </w:tc>
        <w:tc>
          <w:tcPr>
            <w:tcW w:type="dxa" w:w="1440"/>
            <w:shd w:fill="0B1F3A" w:val="clear"/>
            <w:tcMar>
              <w:top w:type="dxa" w:w="80"/>
              <w:left w:type="dxa" w:w="100"/>
              <w:bottom w:type="dxa" w:w="80"/>
              <w:right w:type="dxa" w:w="100"/>
            </w:tcMar>
          </w:tcPr>
          <w:p>
            <w:r>
              <w:rPr>
                <w:b/>
                <w:bCs/>
                <w:color w:val="FFFFFF"/>
                <w:sz w:val="18"/>
                <w:szCs w:val="18"/>
              </w:rPr>
              <w:t xml:space="preserve">Result</w:t>
            </w:r>
          </w:p>
        </w:tc>
        <w:tc>
          <w:tcPr>
            <w:tcW w:type="dxa" w:w="4896"/>
            <w:shd w:fill="0B1F3A" w:val="clear"/>
            <w:tcMar>
              <w:top w:type="dxa" w:w="80"/>
              <w:left w:type="dxa" w:w="100"/>
              <w:bottom w:type="dxa" w:w="80"/>
              <w:right w:type="dxa" w:w="100"/>
            </w:tcMar>
          </w:tcPr>
          <w:p>
            <w:r>
              <w:rPr>
                <w:b/>
                <w:bCs/>
                <w:color w:val="FFFFFF"/>
                <w:sz w:val="18"/>
                <w:szCs w:val="18"/>
              </w:rPr>
              <w:t xml:space="preserve">Note</w:t>
            </w:r>
          </w:p>
        </w:tc>
      </w:tr>
      <w:tr>
        <w:tc>
          <w:tcPr>
            <w:tcW w:type="dxa" w:w="3456"/>
            <w:shd w:fill="FFFFFF" w:val="clear"/>
            <w:tcMar>
              <w:top w:type="dxa" w:w="60"/>
              <w:left w:type="dxa" w:w="100"/>
              <w:bottom w:type="dxa" w:w="60"/>
              <w:right w:type="dxa" w:w="100"/>
            </w:tcMar>
          </w:tcPr>
          <w:p>
            <w:r>
              <w:rPr>
                <w:b w:val="false"/>
                <w:bCs w:val="false"/>
                <w:color w:val="1A1A1A"/>
                <w:sz w:val="17"/>
                <w:szCs w:val="17"/>
              </w:rPr>
              <w:t xml:space="preserve">Real-estate rotation → REIT</w:t>
            </w:r>
          </w:p>
        </w:tc>
        <w:tc>
          <w:tcPr>
            <w:tcW w:type="dxa" w:w="1440"/>
            <w:shd w:fill="FFFFFF" w:val="clear"/>
            <w:tcMar>
              <w:top w:type="dxa" w:w="60"/>
              <w:left w:type="dxa" w:w="100"/>
              <w:bottom w:type="dxa" w:w="60"/>
              <w:right w:type="dxa" w:w="100"/>
            </w:tcMar>
          </w:tcPr>
          <w:p>
            <w:r>
              <w:rPr>
                <w:b w:val="false"/>
                <w:bCs w:val="false"/>
                <w:color w:val="1A1A1A"/>
                <w:sz w:val="17"/>
                <w:szCs w:val="17"/>
              </w:rPr>
              <w:t xml:space="preserve">0.859</w:t>
            </w:r>
          </w:p>
        </w:tc>
        <w:tc>
          <w:tcPr>
            <w:tcW w:type="dxa" w:w="1440"/>
            <w:shd w:fill="FFFFFF" w:val="clear"/>
            <w:tcMar>
              <w:top w:type="dxa" w:w="60"/>
              <w:left w:type="dxa" w:w="100"/>
              <w:bottom w:type="dxa" w:w="60"/>
              <w:right w:type="dxa" w:w="100"/>
            </w:tcMar>
          </w:tcPr>
          <w:p>
            <w:r>
              <w:rPr>
                <w:b/>
                <w:bCs/>
                <w:color w:val="6C757D"/>
                <w:sz w:val="17"/>
                <w:szCs w:val="17"/>
              </w:rPr>
              <w:t xml:space="preserve">NULL</w:t>
            </w:r>
          </w:p>
        </w:tc>
        <w:tc>
          <w:tcPr>
            <w:tcW w:type="dxa" w:w="4896"/>
            <w:shd w:fill="FFFFFF" w:val="clear"/>
            <w:tcMar>
              <w:top w:type="dxa" w:w="60"/>
              <w:left w:type="dxa" w:w="100"/>
              <w:bottom w:type="dxa" w:w="60"/>
              <w:right w:type="dxa" w:w="100"/>
            </w:tcMar>
          </w:tcPr>
          <w:p>
            <w:r>
              <w:rPr>
                <w:b w:val="false"/>
                <w:bCs w:val="false"/>
                <w:color w:val="1A1A1A"/>
                <w:sz w:val="17"/>
                <w:szCs w:val="17"/>
              </w:rPr>
              <w:t xml:space="preserve">Null at every lag, 1–4 — no near-miss</w:t>
            </w:r>
          </w:p>
        </w:tc>
      </w:tr>
      <w:tr>
        <w:tc>
          <w:tcPr>
            <w:tcW w:type="dxa" w:w="3456"/>
            <w:shd w:fill="F5F6F8" w:val="clear"/>
            <w:tcMar>
              <w:top w:type="dxa" w:w="60"/>
              <w:left w:type="dxa" w:w="100"/>
              <w:bottom w:type="dxa" w:w="60"/>
              <w:right w:type="dxa" w:w="100"/>
            </w:tcMar>
          </w:tcPr>
          <w:p>
            <w:r>
              <w:rPr>
                <w:b w:val="false"/>
                <w:bCs w:val="false"/>
                <w:color w:val="1A1A1A"/>
                <w:sz w:val="17"/>
                <w:szCs w:val="17"/>
              </w:rPr>
              <w:t xml:space="preserve">K-Index → REIT</w:t>
            </w:r>
          </w:p>
        </w:tc>
        <w:tc>
          <w:tcPr>
            <w:tcW w:type="dxa" w:w="1440"/>
            <w:shd w:fill="F5F6F8" w:val="clear"/>
            <w:tcMar>
              <w:top w:type="dxa" w:w="60"/>
              <w:left w:type="dxa" w:w="100"/>
              <w:bottom w:type="dxa" w:w="60"/>
              <w:right w:type="dxa" w:w="100"/>
            </w:tcMar>
          </w:tcPr>
          <w:p>
            <w:r>
              <w:rPr>
                <w:b/>
                <w:bCs/>
                <w:color w:val="C8A24D"/>
                <w:sz w:val="17"/>
                <w:szCs w:val="17"/>
              </w:rPr>
              <w:t xml:space="preserve">0.021</w:t>
            </w:r>
          </w:p>
        </w:tc>
        <w:tc>
          <w:tcPr>
            <w:tcW w:type="dxa" w:w="1440"/>
            <w:shd w:fill="F5F6F8" w:val="clear"/>
            <w:tcMar>
              <w:top w:type="dxa" w:w="60"/>
              <w:left w:type="dxa" w:w="100"/>
              <w:bottom w:type="dxa" w:w="60"/>
              <w:right w:type="dxa" w:w="100"/>
            </w:tcMar>
          </w:tcPr>
          <w:p>
            <w:r>
              <w:rPr>
                <w:b/>
                <w:bCs/>
                <w:color w:val="C8102E"/>
                <w:sz w:val="17"/>
                <w:szCs w:val="17"/>
              </w:rPr>
              <w:t xml:space="preserve">FAILS CHECK</w:t>
            </w:r>
          </w:p>
        </w:tc>
        <w:tc>
          <w:tcPr>
            <w:tcW w:type="dxa" w:w="4896"/>
            <w:shd w:fill="F5F6F8" w:val="clear"/>
            <w:tcMar>
              <w:top w:type="dxa" w:w="60"/>
              <w:left w:type="dxa" w:w="100"/>
              <w:bottom w:type="dxa" w:w="60"/>
              <w:right w:type="dxa" w:w="100"/>
            </w:tcMar>
          </w:tcPr>
          <w:p>
            <w:r>
              <w:rPr>
                <w:b w:val="false"/>
                <w:bCs w:val="false"/>
                <w:color w:val="1A1A1A"/>
                <w:sz w:val="17"/>
                <w:szCs w:val="17"/>
              </w:rPr>
              <w:t xml:space="preserve">p=0.021 → 0.075 once the 6 most extreme quarters (2008–09 crisis, 2020 COVID crash) are dropped</w:t>
            </w:r>
          </w:p>
        </w:tc>
      </w:tr>
    </w:tbl>
    <w:p>
      <w:pPr>
        <w:spacing w:after="120"/>
      </w:pPr>
    </w:p>
    <w:p>
      <w:pPr>
        <w:spacing w:after="120" w:line="276"/>
      </w:pPr>
      <w:r>
        <w:rPr>
          <w:color w:val="1A1A1A"/>
          <w:sz w:val="21"/>
          <w:szCs w:val="21"/>
        </w:rPr>
        <w:t xml:space="preserve">Read plainly: Boomers’ real-estate holdings do not predict REIT returns at any horizon, and K’s apparent contemporaneous relationship with REITs turned out to be two series both reacting to the same macro shocks — not K leading REITs. Consistent with the rest of this project, the real signal is specific to rate-sensitive fixed income, not real estate.</w:t>
      </w:r>
    </w:p>
    <w:p>
      <w:pPr>
        <w:pStyle w:val="Heading1"/>
        <w:spacing w:after="120" w:before="240"/>
      </w:pPr>
      <w:r>
        <w:rPr>
          <w:b/>
          <w:bCs/>
          <w:color w:val="0B1F3A"/>
          <w:sz w:val="30"/>
          <w:szCs w:val="30"/>
        </w:rPr>
        <w:t xml:space="preserve">VIII. Findings — From Signals to Strategies: Backtests</w:t>
      </w:r>
    </w:p>
    <w:p>
      <w:pPr>
        <w:spacing w:after="120" w:line="276"/>
      </w:pPr>
      <w:r>
        <w:rPr>
          <w:color w:val="1A1A1A"/>
          <w:sz w:val="21"/>
          <w:szCs w:val="21"/>
        </w:rPr>
        <w:t xml:space="preserve">A regression coefficient is not a trading strategy. Each of the three Treasury-predicting signals was turned into an actual, investable rule: hold the 10-Year Treasury (via the IEF ETF) when the signal was positive last quarter; hold cash otherwise.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36"/>
        <w:gridCol w:w="1440"/>
        <w:gridCol w:w="1440"/>
        <w:gridCol w:w="1296"/>
        <w:gridCol w:w="1584"/>
        <w:gridCol w:w="1584"/>
      </w:tblGrid>
      <w:tr>
        <w:trPr>
          <w:tblHeader/>
        </w:trPr>
        <w:tc>
          <w:tcPr>
            <w:tcW w:type="dxa" w:w="2736"/>
            <w:shd w:fill="0B1F3A" w:val="clear"/>
            <w:tcMar>
              <w:top w:type="dxa" w:w="80"/>
              <w:left w:type="dxa" w:w="100"/>
              <w:bottom w:type="dxa" w:w="80"/>
              <w:right w:type="dxa" w:w="100"/>
            </w:tcMar>
          </w:tcPr>
          <w:p>
            <w:r>
              <w:rPr>
                <w:b/>
                <w:bCs/>
                <w:color w:val="FFFFFF"/>
                <w:sz w:val="18"/>
                <w:szCs w:val="18"/>
              </w:rPr>
              <w:t xml:space="preserve">Strategy</w:t>
            </w:r>
          </w:p>
        </w:tc>
        <w:tc>
          <w:tcPr>
            <w:tcW w:type="dxa" w:w="1440"/>
            <w:shd w:fill="0B1F3A" w:val="clear"/>
            <w:tcMar>
              <w:top w:type="dxa" w:w="80"/>
              <w:left w:type="dxa" w:w="100"/>
              <w:bottom w:type="dxa" w:w="80"/>
              <w:right w:type="dxa" w:w="100"/>
            </w:tcMar>
          </w:tcPr>
          <w:p>
            <w:r>
              <w:rPr>
                <w:b/>
                <w:bCs/>
                <w:color w:val="FFFFFF"/>
                <w:sz w:val="18"/>
                <w:szCs w:val="18"/>
              </w:rPr>
              <w:t xml:space="preserve">CAGR</w:t>
            </w:r>
          </w:p>
        </w:tc>
        <w:tc>
          <w:tcPr>
            <w:tcW w:type="dxa" w:w="1440"/>
            <w:shd w:fill="0B1F3A" w:val="clear"/>
            <w:tcMar>
              <w:top w:type="dxa" w:w="80"/>
              <w:left w:type="dxa" w:w="100"/>
              <w:bottom w:type="dxa" w:w="80"/>
              <w:right w:type="dxa" w:w="100"/>
            </w:tcMar>
          </w:tcPr>
          <w:p>
            <w:r>
              <w:rPr>
                <w:b/>
                <w:bCs/>
                <w:color w:val="FFFFFF"/>
                <w:sz w:val="18"/>
                <w:szCs w:val="18"/>
              </w:rPr>
              <w:t xml:space="preserve">Ann. Vol</w:t>
            </w:r>
          </w:p>
        </w:tc>
        <w:tc>
          <w:tcPr>
            <w:tcW w:type="dxa" w:w="1296"/>
            <w:shd w:fill="0B1F3A" w:val="clear"/>
            <w:tcMar>
              <w:top w:type="dxa" w:w="80"/>
              <w:left w:type="dxa" w:w="100"/>
              <w:bottom w:type="dxa" w:w="80"/>
              <w:right w:type="dxa" w:w="100"/>
            </w:tcMar>
          </w:tcPr>
          <w:p>
            <w:r>
              <w:rPr>
                <w:b/>
                <w:bCs/>
                <w:color w:val="FFFFFF"/>
                <w:sz w:val="18"/>
                <w:szCs w:val="18"/>
              </w:rPr>
              <w:t xml:space="preserve">Sharpe</w:t>
            </w:r>
          </w:p>
        </w:tc>
        <w:tc>
          <w:tcPr>
            <w:tcW w:type="dxa" w:w="1584"/>
            <w:shd w:fill="0B1F3A" w:val="clear"/>
            <w:tcMar>
              <w:top w:type="dxa" w:w="80"/>
              <w:left w:type="dxa" w:w="100"/>
              <w:bottom w:type="dxa" w:w="80"/>
              <w:right w:type="dxa" w:w="100"/>
            </w:tcMar>
          </w:tcPr>
          <w:p>
            <w:r>
              <w:rPr>
                <w:b/>
                <w:bCs/>
                <w:color w:val="FFFFFF"/>
                <w:sz w:val="18"/>
                <w:szCs w:val="18"/>
              </w:rPr>
              <w:t xml:space="preserve">Max DD</w:t>
            </w:r>
          </w:p>
        </w:tc>
        <w:tc>
          <w:tcPr>
            <w:tcW w:type="dxa" w:w="1584"/>
            <w:shd w:fill="0B1F3A" w:val="clear"/>
            <w:tcMar>
              <w:top w:type="dxa" w:w="80"/>
              <w:left w:type="dxa" w:w="100"/>
              <w:bottom w:type="dxa" w:w="80"/>
              <w:right w:type="dxa" w:w="100"/>
            </w:tcMar>
          </w:tcPr>
          <w:p>
            <w:r>
              <w:rPr>
                <w:b/>
                <w:bCs/>
                <w:color w:val="FFFFFF"/>
                <w:sz w:val="18"/>
                <w:szCs w:val="18"/>
              </w:rPr>
              <w:t xml:space="preserve">Time in mkt.</w:t>
            </w:r>
          </w:p>
        </w:tc>
      </w:tr>
      <w:tr>
        <w:tc>
          <w:tcPr>
            <w:tcW w:type="dxa" w:w="2736"/>
            <w:shd w:fill="FFFFFF" w:val="clear"/>
            <w:tcMar>
              <w:top w:type="dxa" w:w="60"/>
              <w:left w:type="dxa" w:w="100"/>
              <w:bottom w:type="dxa" w:w="60"/>
              <w:right w:type="dxa" w:w="100"/>
            </w:tcMar>
          </w:tcPr>
          <w:p>
            <w:r>
              <w:rPr>
                <w:b w:val="false"/>
                <w:bCs w:val="false"/>
                <w:color w:val="1A1A1A"/>
                <w:sz w:val="17"/>
                <w:szCs w:val="17"/>
              </w:rPr>
              <w:t xml:space="preserve">K-timed</w:t>
            </w:r>
          </w:p>
        </w:tc>
        <w:tc>
          <w:tcPr>
            <w:tcW w:type="dxa" w:w="1440"/>
            <w:shd w:fill="FFFFFF" w:val="clear"/>
            <w:tcMar>
              <w:top w:type="dxa" w:w="60"/>
              <w:left w:type="dxa" w:w="100"/>
              <w:bottom w:type="dxa" w:w="60"/>
              <w:right w:type="dxa" w:w="100"/>
            </w:tcMar>
          </w:tcPr>
          <w:p>
            <w:r>
              <w:rPr>
                <w:b w:val="false"/>
                <w:bCs w:val="false"/>
                <w:color w:val="1A1A1A"/>
                <w:sz w:val="17"/>
                <w:szCs w:val="17"/>
              </w:rPr>
              <w:t xml:space="preserve">3.34%</w:t>
            </w:r>
          </w:p>
        </w:tc>
        <w:tc>
          <w:tcPr>
            <w:tcW w:type="dxa" w:w="1440"/>
            <w:shd w:fill="FFFFFF" w:val="clear"/>
            <w:tcMar>
              <w:top w:type="dxa" w:w="60"/>
              <w:left w:type="dxa" w:w="100"/>
              <w:bottom w:type="dxa" w:w="60"/>
              <w:right w:type="dxa" w:w="100"/>
            </w:tcMar>
          </w:tcPr>
          <w:p>
            <w:r>
              <w:rPr>
                <w:b w:val="false"/>
                <w:bCs w:val="false"/>
                <w:color w:val="1A1A1A"/>
                <w:sz w:val="17"/>
                <w:szCs w:val="17"/>
              </w:rPr>
              <w:t xml:space="preserve">5.74%</w:t>
            </w:r>
          </w:p>
        </w:tc>
        <w:tc>
          <w:tcPr>
            <w:tcW w:type="dxa" w:w="1296"/>
            <w:shd w:fill="FFFFFF" w:val="clear"/>
            <w:tcMar>
              <w:top w:type="dxa" w:w="60"/>
              <w:left w:type="dxa" w:w="100"/>
              <w:bottom w:type="dxa" w:w="60"/>
              <w:right w:type="dxa" w:w="100"/>
            </w:tcMar>
          </w:tcPr>
          <w:p>
            <w:r>
              <w:rPr>
                <w:b/>
                <w:bCs/>
                <w:color w:val="2E7D32"/>
                <w:sz w:val="17"/>
                <w:szCs w:val="17"/>
              </w:rPr>
              <w:t xml:space="preserve">0.60</w:t>
            </w:r>
          </w:p>
        </w:tc>
        <w:tc>
          <w:tcPr>
            <w:tcW w:type="dxa" w:w="1584"/>
            <w:shd w:fill="FFFFFF" w:val="clear"/>
            <w:tcMar>
              <w:top w:type="dxa" w:w="60"/>
              <w:left w:type="dxa" w:w="100"/>
              <w:bottom w:type="dxa" w:w="60"/>
              <w:right w:type="dxa" w:w="100"/>
            </w:tcMar>
          </w:tcPr>
          <w:p>
            <w:r>
              <w:rPr>
                <w:b w:val="false"/>
                <w:bCs w:val="false"/>
                <w:color w:val="1A1A1A"/>
                <w:sz w:val="17"/>
                <w:szCs w:val="17"/>
              </w:rPr>
              <w:t xml:space="preserve">-6.65%</w:t>
            </w:r>
          </w:p>
        </w:tc>
        <w:tc>
          <w:tcPr>
            <w:tcW w:type="dxa" w:w="1584"/>
            <w:shd w:fill="FFFFFF" w:val="clear"/>
            <w:tcMar>
              <w:top w:type="dxa" w:w="60"/>
              <w:left w:type="dxa" w:w="100"/>
              <w:bottom w:type="dxa" w:w="60"/>
              <w:right w:type="dxa" w:w="100"/>
            </w:tcMar>
          </w:tcPr>
          <w:p>
            <w:r>
              <w:rPr>
                <w:b w:val="false"/>
                <w:bCs w:val="false"/>
                <w:color w:val="1A1A1A"/>
                <w:sz w:val="17"/>
                <w:szCs w:val="17"/>
              </w:rPr>
              <w:t xml:space="preserve">64.1%</w:t>
            </w:r>
          </w:p>
        </w:tc>
      </w:tr>
      <w:tr>
        <w:tc>
          <w:tcPr>
            <w:tcW w:type="dxa" w:w="2736"/>
            <w:shd w:fill="F5F6F8" w:val="clear"/>
            <w:tcMar>
              <w:top w:type="dxa" w:w="60"/>
              <w:left w:type="dxa" w:w="100"/>
              <w:bottom w:type="dxa" w:w="60"/>
              <w:right w:type="dxa" w:w="100"/>
            </w:tcMar>
          </w:tcPr>
          <w:p>
            <w:r>
              <w:rPr>
                <w:b w:val="false"/>
                <w:bCs w:val="false"/>
                <w:color w:val="1A1A1A"/>
                <w:sz w:val="17"/>
                <w:szCs w:val="17"/>
              </w:rPr>
              <w:t xml:space="preserve">BEDI-timed</w:t>
            </w:r>
          </w:p>
        </w:tc>
        <w:tc>
          <w:tcPr>
            <w:tcW w:type="dxa" w:w="1440"/>
            <w:shd w:fill="F5F6F8" w:val="clear"/>
            <w:tcMar>
              <w:top w:type="dxa" w:w="60"/>
              <w:left w:type="dxa" w:w="100"/>
              <w:bottom w:type="dxa" w:w="60"/>
              <w:right w:type="dxa" w:w="100"/>
            </w:tcMar>
          </w:tcPr>
          <w:p>
            <w:r>
              <w:rPr>
                <w:b w:val="false"/>
                <w:bCs w:val="false"/>
                <w:color w:val="1A1A1A"/>
                <w:sz w:val="17"/>
                <w:szCs w:val="17"/>
              </w:rPr>
              <w:t xml:space="preserve">3.69%</w:t>
            </w:r>
          </w:p>
        </w:tc>
        <w:tc>
          <w:tcPr>
            <w:tcW w:type="dxa" w:w="1440"/>
            <w:shd w:fill="F5F6F8" w:val="clear"/>
            <w:tcMar>
              <w:top w:type="dxa" w:w="60"/>
              <w:left w:type="dxa" w:w="100"/>
              <w:bottom w:type="dxa" w:w="60"/>
              <w:right w:type="dxa" w:w="100"/>
            </w:tcMar>
          </w:tcPr>
          <w:p>
            <w:r>
              <w:rPr>
                <w:b w:val="false"/>
                <w:bCs w:val="false"/>
                <w:color w:val="1A1A1A"/>
                <w:sz w:val="17"/>
                <w:szCs w:val="17"/>
              </w:rPr>
              <w:t xml:space="preserve">6.62%</w:t>
            </w:r>
          </w:p>
        </w:tc>
        <w:tc>
          <w:tcPr>
            <w:tcW w:type="dxa" w:w="1296"/>
            <w:shd w:fill="F5F6F8" w:val="clear"/>
            <w:tcMar>
              <w:top w:type="dxa" w:w="60"/>
              <w:left w:type="dxa" w:w="100"/>
              <w:bottom w:type="dxa" w:w="60"/>
              <w:right w:type="dxa" w:w="100"/>
            </w:tcMar>
          </w:tcPr>
          <w:p>
            <w:r>
              <w:rPr>
                <w:b/>
                <w:bCs/>
                <w:color w:val="2E7D32"/>
                <w:sz w:val="17"/>
                <w:szCs w:val="17"/>
              </w:rPr>
              <w:t xml:space="preserve">0.58</w:t>
            </w:r>
          </w:p>
        </w:tc>
        <w:tc>
          <w:tcPr>
            <w:tcW w:type="dxa" w:w="1584"/>
            <w:shd w:fill="F5F6F8" w:val="clear"/>
            <w:tcMar>
              <w:top w:type="dxa" w:w="60"/>
              <w:left w:type="dxa" w:w="100"/>
              <w:bottom w:type="dxa" w:w="60"/>
              <w:right w:type="dxa" w:w="100"/>
            </w:tcMar>
          </w:tcPr>
          <w:p>
            <w:r>
              <w:rPr>
                <w:b w:val="false"/>
                <w:bCs w:val="false"/>
                <w:color w:val="1A1A1A"/>
                <w:sz w:val="17"/>
                <w:szCs w:val="17"/>
              </w:rPr>
              <w:t xml:space="preserve">-6.94%</w:t>
            </w:r>
          </w:p>
        </w:tc>
        <w:tc>
          <w:tcPr>
            <w:tcW w:type="dxa" w:w="1584"/>
            <w:shd w:fill="F5F6F8" w:val="clear"/>
            <w:tcMar>
              <w:top w:type="dxa" w:w="60"/>
              <w:left w:type="dxa" w:w="100"/>
              <w:bottom w:type="dxa" w:w="60"/>
              <w:right w:type="dxa" w:w="100"/>
            </w:tcMar>
          </w:tcPr>
          <w:p>
            <w:r>
              <w:rPr>
                <w:b w:val="false"/>
                <w:bCs w:val="false"/>
                <w:color w:val="1A1A1A"/>
                <w:sz w:val="17"/>
                <w:szCs w:val="17"/>
              </w:rPr>
              <w:t xml:space="preserve">89.1%</w:t>
            </w:r>
          </w:p>
        </w:tc>
      </w:tr>
      <w:tr>
        <w:tc>
          <w:tcPr>
            <w:tcW w:type="dxa" w:w="2736"/>
            <w:shd w:fill="FFFFFF" w:val="clear"/>
            <w:tcMar>
              <w:top w:type="dxa" w:w="60"/>
              <w:left w:type="dxa" w:w="100"/>
              <w:bottom w:type="dxa" w:w="60"/>
              <w:right w:type="dxa" w:w="100"/>
            </w:tcMar>
          </w:tcPr>
          <w:p>
            <w:r>
              <w:rPr>
                <w:b/>
                <w:bCs/>
                <w:color w:val="2E7D32"/>
                <w:sz w:val="17"/>
                <w:szCs w:val="17"/>
              </w:rPr>
              <w:t xml:space="preserve">Rotation-signal-timed</w:t>
            </w:r>
          </w:p>
        </w:tc>
        <w:tc>
          <w:tcPr>
            <w:tcW w:type="dxa" w:w="1440"/>
            <w:shd w:fill="FFFFFF" w:val="clear"/>
            <w:tcMar>
              <w:top w:type="dxa" w:w="60"/>
              <w:left w:type="dxa" w:w="100"/>
              <w:bottom w:type="dxa" w:w="60"/>
              <w:right w:type="dxa" w:w="100"/>
            </w:tcMar>
          </w:tcPr>
          <w:p>
            <w:r>
              <w:rPr>
                <w:b w:val="false"/>
                <w:bCs w:val="false"/>
                <w:color w:val="1A1A1A"/>
                <w:sz w:val="17"/>
                <w:szCs w:val="17"/>
              </w:rPr>
              <w:t xml:space="preserve">3.36%</w:t>
            </w:r>
          </w:p>
        </w:tc>
        <w:tc>
          <w:tcPr>
            <w:tcW w:type="dxa" w:w="1440"/>
            <w:shd w:fill="FFFFFF" w:val="clear"/>
            <w:tcMar>
              <w:top w:type="dxa" w:w="60"/>
              <w:left w:type="dxa" w:w="100"/>
              <w:bottom w:type="dxa" w:w="60"/>
              <w:right w:type="dxa" w:w="100"/>
            </w:tcMar>
          </w:tcPr>
          <w:p>
            <w:r>
              <w:rPr>
                <w:b/>
                <w:bCs/>
                <w:color w:val="2E7D32"/>
                <w:sz w:val="17"/>
                <w:szCs w:val="17"/>
              </w:rPr>
              <w:t xml:space="preserve">5.41%</w:t>
            </w:r>
          </w:p>
        </w:tc>
        <w:tc>
          <w:tcPr>
            <w:tcW w:type="dxa" w:w="1296"/>
            <w:shd w:fill="FFFFFF" w:val="clear"/>
            <w:tcMar>
              <w:top w:type="dxa" w:w="60"/>
              <w:left w:type="dxa" w:w="100"/>
              <w:bottom w:type="dxa" w:w="60"/>
              <w:right w:type="dxa" w:w="100"/>
            </w:tcMar>
          </w:tcPr>
          <w:p>
            <w:r>
              <w:rPr>
                <w:b/>
                <w:bCs/>
                <w:color w:val="2E7D32"/>
                <w:sz w:val="17"/>
                <w:szCs w:val="17"/>
              </w:rPr>
              <w:t xml:space="preserve">0.64</w:t>
            </w:r>
          </w:p>
        </w:tc>
        <w:tc>
          <w:tcPr>
            <w:tcW w:type="dxa" w:w="1584"/>
            <w:shd w:fill="FFFFFF" w:val="clear"/>
            <w:tcMar>
              <w:top w:type="dxa" w:w="60"/>
              <w:left w:type="dxa" w:w="100"/>
              <w:bottom w:type="dxa" w:w="60"/>
              <w:right w:type="dxa" w:w="100"/>
            </w:tcMar>
          </w:tcPr>
          <w:p>
            <w:r>
              <w:rPr>
                <w:b/>
                <w:bCs/>
                <w:color w:val="2E7D32"/>
                <w:sz w:val="17"/>
                <w:szCs w:val="17"/>
              </w:rPr>
              <w:t xml:space="preserve">-6.53%</w:t>
            </w:r>
          </w:p>
        </w:tc>
        <w:tc>
          <w:tcPr>
            <w:tcW w:type="dxa" w:w="1584"/>
            <w:shd w:fill="FFFFFF" w:val="clear"/>
            <w:tcMar>
              <w:top w:type="dxa" w:w="60"/>
              <w:left w:type="dxa" w:w="100"/>
              <w:bottom w:type="dxa" w:w="60"/>
              <w:right w:type="dxa" w:w="100"/>
            </w:tcMar>
          </w:tcPr>
          <w:p>
            <w:r>
              <w:rPr>
                <w:b w:val="false"/>
                <w:bCs w:val="false"/>
                <w:color w:val="1A1A1A"/>
                <w:sz w:val="17"/>
                <w:szCs w:val="17"/>
              </w:rPr>
              <w:t xml:space="preserve">53.3%</w:t>
            </w:r>
          </w:p>
        </w:tc>
      </w:tr>
      <w:tr>
        <w:tc>
          <w:tcPr>
            <w:tcW w:type="dxa" w:w="2736"/>
            <w:shd w:fill="F5F6F8" w:val="clear"/>
            <w:tcMar>
              <w:top w:type="dxa" w:w="60"/>
              <w:left w:type="dxa" w:w="100"/>
              <w:bottom w:type="dxa" w:w="60"/>
              <w:right w:type="dxa" w:w="100"/>
            </w:tcMar>
          </w:tcPr>
          <w:p>
            <w:r>
              <w:rPr>
                <w:color w:val="6C757D"/>
                <w:sz w:val="17"/>
                <w:szCs w:val="17"/>
              </w:rPr>
              <w:t xml:space="preserve">Benchmark (buy &amp; hold)</w:t>
            </w:r>
          </w:p>
        </w:tc>
        <w:tc>
          <w:tcPr>
            <w:tcW w:type="dxa" w:w="1440"/>
            <w:shd w:fill="F5F6F8" w:val="clear"/>
            <w:tcMar>
              <w:top w:type="dxa" w:w="60"/>
              <w:left w:type="dxa" w:w="100"/>
              <w:bottom w:type="dxa" w:w="60"/>
              <w:right w:type="dxa" w:w="100"/>
            </w:tcMar>
          </w:tcPr>
          <w:p>
            <w:r>
              <w:rPr>
                <w:color w:val="6C757D"/>
                <w:sz w:val="17"/>
                <w:szCs w:val="17"/>
              </w:rPr>
              <w:t xml:space="preserve">3.28%</w:t>
            </w:r>
          </w:p>
        </w:tc>
        <w:tc>
          <w:tcPr>
            <w:tcW w:type="dxa" w:w="1440"/>
            <w:shd w:fill="F5F6F8" w:val="clear"/>
            <w:tcMar>
              <w:top w:type="dxa" w:w="60"/>
              <w:left w:type="dxa" w:w="100"/>
              <w:bottom w:type="dxa" w:w="60"/>
              <w:right w:type="dxa" w:w="100"/>
            </w:tcMar>
          </w:tcPr>
          <w:p>
            <w:r>
              <w:rPr>
                <w:color w:val="6C757D"/>
                <w:sz w:val="17"/>
                <w:szCs w:val="17"/>
              </w:rPr>
              <w:t xml:space="preserve">7.25%</w:t>
            </w:r>
          </w:p>
        </w:tc>
        <w:tc>
          <w:tcPr>
            <w:tcW w:type="dxa" w:w="1296"/>
            <w:shd w:fill="F5F6F8" w:val="clear"/>
            <w:tcMar>
              <w:top w:type="dxa" w:w="60"/>
              <w:left w:type="dxa" w:w="100"/>
              <w:bottom w:type="dxa" w:w="60"/>
              <w:right w:type="dxa" w:w="100"/>
            </w:tcMar>
          </w:tcPr>
          <w:p>
            <w:r>
              <w:rPr>
                <w:color w:val="6C757D"/>
                <w:sz w:val="17"/>
                <w:szCs w:val="17"/>
              </w:rPr>
              <w:t xml:space="preserve">0.48</w:t>
            </w:r>
          </w:p>
        </w:tc>
        <w:tc>
          <w:tcPr>
            <w:tcW w:type="dxa" w:w="1584"/>
            <w:shd w:fill="F5F6F8" w:val="clear"/>
            <w:tcMar>
              <w:top w:type="dxa" w:w="60"/>
              <w:left w:type="dxa" w:w="100"/>
              <w:bottom w:type="dxa" w:w="60"/>
              <w:right w:type="dxa" w:w="100"/>
            </w:tcMar>
          </w:tcPr>
          <w:p>
            <w:r>
              <w:rPr>
                <w:color w:val="C8102E"/>
                <w:sz w:val="17"/>
                <w:szCs w:val="17"/>
              </w:rPr>
              <w:t xml:space="preserve">-21.13%</w:t>
            </w:r>
          </w:p>
        </w:tc>
        <w:tc>
          <w:tcPr>
            <w:tcW w:type="dxa" w:w="1584"/>
            <w:shd w:fill="F5F6F8" w:val="clear"/>
            <w:tcMar>
              <w:top w:type="dxa" w:w="60"/>
              <w:left w:type="dxa" w:w="100"/>
              <w:bottom w:type="dxa" w:w="60"/>
              <w:right w:type="dxa" w:w="100"/>
            </w:tcMar>
          </w:tcPr>
          <w:p>
            <w:r>
              <w:rPr>
                <w:color w:val="6C757D"/>
                <w:sz w:val="17"/>
                <w:szCs w:val="17"/>
              </w:rPr>
              <w:t xml:space="preserve">100%</w:t>
            </w:r>
          </w:p>
        </w:tc>
      </w:tr>
    </w:tbl>
    <w:p>
      <w:pPr>
        <w:spacing w:after="120"/>
      </w:pPr>
    </w:p>
    <w:p>
      <w:pPr>
        <w:spacing w:after="80"/>
        <w:jc w:val="center"/>
      </w:pPr>
      <w:r>
        <w:drawing>
          <wp:inline distT="0" distB="0" distL="0" distR="0">
            <wp:extent cx="59436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248025"/>
                    </a:xfrm>
                    <a:prstGeom prst="rect">
                      <a:avLst/>
                    </a:prstGeom>
                  </pic:spPr>
                </pic:pic>
              </a:graphicData>
            </a:graphic>
          </wp:inline>
        </w:drawing>
      </w:r>
    </w:p>
    <w:p>
      <w:pPr>
        <w:spacing w:after="200"/>
        <w:jc w:val="left"/>
      </w:pPr>
      <w:r>
        <w:rPr>
          <w:i/>
          <w:iCs/>
          <w:color w:val="6C757D"/>
          <w:sz w:val="18"/>
          <w:szCs w:val="18"/>
        </w:rPr>
        <w:t xml:space="preserve">Figure 3. K-timed Treasury allocation vs. buy-and-hold, N=92 quarters (2003–2025). Shaded bands mark quarters the strategy held cash.</w:t>
      </w:r>
    </w:p>
    <w:p>
      <w:pPr>
        <w:spacing w:after="80"/>
        <w:jc w:val="center"/>
      </w:pPr>
      <w:r>
        <w:drawing>
          <wp:inline distT="0" distB="0" distL="0" distR="0">
            <wp:extent cx="59436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181225"/>
                    </a:xfrm>
                    <a:prstGeom prst="rect">
                      <a:avLst/>
                    </a:prstGeom>
                  </pic:spPr>
                </pic:pic>
              </a:graphicData>
            </a:graphic>
          </wp:inline>
        </w:drawing>
      </w:r>
    </w:p>
    <w:p>
      <w:pPr>
        <w:spacing w:after="200"/>
        <w:jc w:val="left"/>
      </w:pPr>
      <w:r>
        <w:rPr>
          <w:i/>
          <w:iCs/>
          <w:color w:val="6C757D"/>
          <w:sz w:val="18"/>
          <w:szCs w:val="18"/>
        </w:rPr>
        <w:t xml:space="preserve">Figure 4. BEDI-timed and rotation-signal-timed Treasury allocation vs. buy-and-hold.</w:t>
      </w:r>
    </w:p>
    <w:p>
      <w:pPr>
        <w:pStyle w:val="Heading3"/>
        <w:spacing w:after="80" w:before="160"/>
      </w:pPr>
      <w:r>
        <w:rPr>
          <w:b/>
          <w:bCs/>
          <w:color w:val="1A1A1A"/>
          <w:sz w:val="21"/>
          <w:szCs w:val="21"/>
        </w:rPr>
        <w:t xml:space="preserve">Stress tests, before trusting any of this</w:t>
      </w:r>
    </w:p>
    <w:p>
      <w:pPr>
        <w:pStyle w:val="ListParagraph"/>
        <w:numPr>
          <w:ilvl w:val="0"/>
          <w:numId w:val="2"/>
        </w:numPr>
        <w:spacing w:after="60" w:line="264"/>
      </w:pPr>
      <w:r>
        <w:rPr>
          <w:color w:val="1A1A1A"/>
          <w:sz w:val="21"/>
          <w:szCs w:val="21"/>
        </w:rPr>
        <w:t xml:space="preserve">Inverting each signal (long only when the signal was negative) produces dead-money-to-negative results — confirming the direction reflects real information, not a generic “cash reduces volatility” artifact.</w:t>
      </w:r>
    </w:p>
    <w:p>
      <w:pPr>
        <w:pStyle w:val="ListParagraph"/>
        <w:numPr>
          <w:ilvl w:val="0"/>
          <w:numId w:val="2"/>
        </w:numPr>
        <w:spacing w:after="60" w:line="264"/>
      </w:pPr>
      <w:r>
        <w:rPr>
          <w:color w:val="1A1A1A"/>
          <w:sz w:val="21"/>
          <w:szCs w:val="21"/>
        </w:rPr>
        <w:t xml:space="preserve">The rotation-signal-timed and K-timed strategies each sit out 4 of the 5 worst Treasury quarters in-sample.</w:t>
      </w:r>
    </w:p>
    <w:p>
      <w:pPr>
        <w:pStyle w:val="ListParagraph"/>
        <w:numPr>
          <w:ilvl w:val="0"/>
          <w:numId w:val="2"/>
        </w:numPr>
        <w:spacing w:after="60" w:line="264"/>
      </w:pPr>
      <w:r>
        <w:rPr>
          <w:color w:val="1A1A1A"/>
          <w:sz w:val="21"/>
          <w:szCs w:val="21"/>
        </w:rPr>
        <w:t xml:space="preserve">Turnover is low for all three (6–12 position switches over 92 quarters), so none would be materially eroded by transaction costs.</w:t>
      </w:r>
    </w:p>
    <w:p>
      <w:pPr>
        <w:pStyle w:val="Heading2"/>
        <w:spacing w:after="100" w:before="200"/>
      </w:pPr>
      <w:r>
        <w:rPr>
          <w:b/>
          <w:bCs/>
          <w:color w:val="0B1F3A"/>
          <w:sz w:val="24"/>
          <w:szCs w:val="24"/>
        </w:rPr>
        <w:t xml:space="preserve">The strategy that was actually built — and lost money</w:t>
      </w:r>
    </w:p>
    <w:p>
      <w:pPr>
        <w:spacing w:after="120" w:line="276"/>
      </w:pPr>
      <w:r>
        <w:rPr>
          <w:color w:val="1A1A1A"/>
          <w:sz w:val="21"/>
          <w:szCs w:val="21"/>
        </w:rPr>
        <w:t xml:space="preserve">The sponsor’s original Pillar 2 thesis proposed a long/short ETF strategy: long defensive sectors (healthcare, utilities, staples, high-dividend), short growth sectors (technology, discretionary, small-cap growth). Backtested over 1999–2025, this loses money and shows no relationship to any of the signals that do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12"/>
        <w:gridCol w:w="1584"/>
        <w:gridCol w:w="1440"/>
        <w:gridCol w:w="1728"/>
        <w:gridCol w:w="1584"/>
      </w:tblGrid>
      <w:tr>
        <w:trPr>
          <w:tblHeader/>
        </w:trPr>
        <w:tc>
          <w:tcPr>
            <w:tcW w:type="dxa" w:w="3312"/>
            <w:shd w:fill="0B1F3A" w:val="clear"/>
            <w:tcMar>
              <w:top w:type="dxa" w:w="80"/>
              <w:left w:type="dxa" w:w="100"/>
              <w:bottom w:type="dxa" w:w="80"/>
              <w:right w:type="dxa" w:w="100"/>
            </w:tcMar>
          </w:tcPr>
          <w:p>
            <w:r>
              <w:rPr>
                <w:b/>
                <w:bCs/>
                <w:color w:val="FFFFFF"/>
                <w:sz w:val="18"/>
                <w:szCs w:val="18"/>
              </w:rPr>
              <w:t xml:space="preserve"/>
            </w:r>
          </w:p>
        </w:tc>
        <w:tc>
          <w:tcPr>
            <w:tcW w:type="dxa" w:w="1584"/>
            <w:shd w:fill="0B1F3A" w:val="clear"/>
            <w:tcMar>
              <w:top w:type="dxa" w:w="80"/>
              <w:left w:type="dxa" w:w="100"/>
              <w:bottom w:type="dxa" w:w="80"/>
              <w:right w:type="dxa" w:w="100"/>
            </w:tcMar>
          </w:tcPr>
          <w:p>
            <w:r>
              <w:rPr>
                <w:b/>
                <w:bCs/>
                <w:color w:val="FFFFFF"/>
                <w:sz w:val="18"/>
                <w:szCs w:val="18"/>
              </w:rPr>
              <w:t xml:space="preserve">CAGR</w:t>
            </w:r>
          </w:p>
        </w:tc>
        <w:tc>
          <w:tcPr>
            <w:tcW w:type="dxa" w:w="1440"/>
            <w:shd w:fill="0B1F3A" w:val="clear"/>
            <w:tcMar>
              <w:top w:type="dxa" w:w="80"/>
              <w:left w:type="dxa" w:w="100"/>
              <w:bottom w:type="dxa" w:w="80"/>
              <w:right w:type="dxa" w:w="100"/>
            </w:tcMar>
          </w:tcPr>
          <w:p>
            <w:r>
              <w:rPr>
                <w:b/>
                <w:bCs/>
                <w:color w:val="FFFFFF"/>
                <w:sz w:val="18"/>
                <w:szCs w:val="18"/>
              </w:rPr>
              <w:t xml:space="preserve">Sharpe</w:t>
            </w:r>
          </w:p>
        </w:tc>
        <w:tc>
          <w:tcPr>
            <w:tcW w:type="dxa" w:w="1728"/>
            <w:shd w:fill="0B1F3A" w:val="clear"/>
            <w:tcMar>
              <w:top w:type="dxa" w:w="80"/>
              <w:left w:type="dxa" w:w="100"/>
              <w:bottom w:type="dxa" w:w="80"/>
              <w:right w:type="dxa" w:w="100"/>
            </w:tcMar>
          </w:tcPr>
          <w:p>
            <w:r>
              <w:rPr>
                <w:b/>
                <w:bCs/>
                <w:color w:val="FFFFFF"/>
                <w:sz w:val="18"/>
                <w:szCs w:val="18"/>
              </w:rPr>
              <w:t xml:space="preserve">Max DD</w:t>
            </w:r>
          </w:p>
        </w:tc>
        <w:tc>
          <w:tcPr>
            <w:tcW w:type="dxa" w:w="1584"/>
            <w:shd w:fill="0B1F3A" w:val="clear"/>
            <w:tcMar>
              <w:top w:type="dxa" w:w="80"/>
              <w:left w:type="dxa" w:w="100"/>
              <w:bottom w:type="dxa" w:w="80"/>
              <w:right w:type="dxa" w:w="100"/>
            </w:tcMar>
          </w:tcPr>
          <w:p>
            <w:r>
              <w:rPr>
                <w:b/>
                <w:bCs/>
                <w:color w:val="FFFFFF"/>
                <w:sz w:val="18"/>
                <w:szCs w:val="18"/>
              </w:rPr>
              <w:t xml:space="preserve">Hit Rate</w:t>
            </w:r>
          </w:p>
        </w:tc>
      </w:tr>
      <w:tr>
        <w:tc>
          <w:tcPr>
            <w:tcW w:type="dxa" w:w="3312"/>
            <w:shd w:fill="FFFFFF" w:val="clear"/>
            <w:tcMar>
              <w:top w:type="dxa" w:w="60"/>
              <w:left w:type="dxa" w:w="100"/>
              <w:bottom w:type="dxa" w:w="60"/>
              <w:right w:type="dxa" w:w="100"/>
            </w:tcMar>
          </w:tcPr>
          <w:p>
            <w:r>
              <w:rPr>
                <w:b w:val="false"/>
                <w:bCs w:val="false"/>
                <w:color w:val="1A1A1A"/>
                <w:sz w:val="17"/>
                <w:szCs w:val="17"/>
              </w:rPr>
              <w:t xml:space="preserve">Long leg (defensives)</w:t>
            </w:r>
          </w:p>
        </w:tc>
        <w:tc>
          <w:tcPr>
            <w:tcW w:type="dxa" w:w="1584"/>
            <w:shd w:fill="FFFFFF" w:val="clear"/>
            <w:tcMar>
              <w:top w:type="dxa" w:w="60"/>
              <w:left w:type="dxa" w:w="100"/>
              <w:bottom w:type="dxa" w:w="60"/>
              <w:right w:type="dxa" w:w="100"/>
            </w:tcMar>
          </w:tcPr>
          <w:p>
            <w:r>
              <w:rPr>
                <w:b/>
                <w:bCs/>
                <w:color w:val="2E7D32"/>
                <w:sz w:val="17"/>
                <w:szCs w:val="17"/>
              </w:rPr>
              <w:t xml:space="preserve">+7.8%</w:t>
            </w:r>
          </w:p>
        </w:tc>
        <w:tc>
          <w:tcPr>
            <w:tcW w:type="dxa" w:w="1440"/>
            <w:shd w:fill="FFFFFF" w:val="clear"/>
            <w:tcMar>
              <w:top w:type="dxa" w:w="60"/>
              <w:left w:type="dxa" w:w="100"/>
              <w:bottom w:type="dxa" w:w="60"/>
              <w:right w:type="dxa" w:w="100"/>
            </w:tcMar>
          </w:tcPr>
          <w:p>
            <w:r>
              <w:rPr>
                <w:b/>
                <w:bCs/>
                <w:color w:val="2E7D32"/>
                <w:sz w:val="17"/>
                <w:szCs w:val="17"/>
              </w:rPr>
              <w:t xml:space="preserve">0.71</w:t>
            </w:r>
          </w:p>
        </w:tc>
        <w:tc>
          <w:tcPr>
            <w:tcW w:type="dxa" w:w="1728"/>
            <w:shd w:fill="FFFFFF" w:val="clear"/>
            <w:tcMar>
              <w:top w:type="dxa" w:w="60"/>
              <w:left w:type="dxa" w:w="100"/>
              <w:bottom w:type="dxa" w:w="60"/>
              <w:right w:type="dxa" w:w="100"/>
            </w:tcMar>
          </w:tcPr>
          <w:p>
            <w:r>
              <w:rPr>
                <w:b w:val="false"/>
                <w:bCs w:val="false"/>
                <w:color w:val="1A1A1A"/>
                <w:sz w:val="17"/>
                <w:szCs w:val="17"/>
              </w:rPr>
              <w:t xml:space="preserve">-38.0%</w:t>
            </w:r>
          </w:p>
        </w:tc>
        <w:tc>
          <w:tcPr>
            <w:tcW w:type="dxa" w:w="1584"/>
            <w:shd w:fill="FFFFFF" w:val="clear"/>
            <w:tcMar>
              <w:top w:type="dxa" w:w="60"/>
              <w:left w:type="dxa" w:w="100"/>
              <w:bottom w:type="dxa" w:w="60"/>
              <w:right w:type="dxa" w:w="100"/>
            </w:tcMar>
          </w:tcPr>
          <w:p>
            <w:r>
              <w:rPr>
                <w:b w:val="false"/>
                <w:bCs w:val="false"/>
                <w:color w:val="1A1A1A"/>
                <w:sz w:val="17"/>
                <w:szCs w:val="17"/>
              </w:rPr>
              <w:t xml:space="preserve">+61.6%</w:t>
            </w:r>
          </w:p>
        </w:tc>
      </w:tr>
      <w:tr>
        <w:tc>
          <w:tcPr>
            <w:tcW w:type="dxa" w:w="3312"/>
            <w:shd w:fill="F5F6F8" w:val="clear"/>
            <w:tcMar>
              <w:top w:type="dxa" w:w="60"/>
              <w:left w:type="dxa" w:w="100"/>
              <w:bottom w:type="dxa" w:w="60"/>
              <w:right w:type="dxa" w:w="100"/>
            </w:tcMar>
          </w:tcPr>
          <w:p>
            <w:r>
              <w:rPr>
                <w:b w:val="false"/>
                <w:bCs w:val="false"/>
                <w:color w:val="1A1A1A"/>
                <w:sz w:val="17"/>
                <w:szCs w:val="17"/>
              </w:rPr>
              <w:t xml:space="preserve">Short leg (growth)</w:t>
            </w:r>
          </w:p>
        </w:tc>
        <w:tc>
          <w:tcPr>
            <w:tcW w:type="dxa" w:w="1584"/>
            <w:shd w:fill="F5F6F8" w:val="clear"/>
            <w:tcMar>
              <w:top w:type="dxa" w:w="60"/>
              <w:left w:type="dxa" w:w="100"/>
              <w:bottom w:type="dxa" w:w="60"/>
              <w:right w:type="dxa" w:w="100"/>
            </w:tcMar>
          </w:tcPr>
          <w:p>
            <w:r>
              <w:rPr>
                <w:b/>
                <w:bCs/>
                <w:color w:val="2E7D32"/>
                <w:sz w:val="17"/>
                <w:szCs w:val="17"/>
              </w:rPr>
              <w:t xml:space="preserve">+8.8%</w:t>
            </w:r>
          </w:p>
        </w:tc>
        <w:tc>
          <w:tcPr>
            <w:tcW w:type="dxa" w:w="1440"/>
            <w:shd w:fill="F5F6F8" w:val="clear"/>
            <w:tcMar>
              <w:top w:type="dxa" w:w="60"/>
              <w:left w:type="dxa" w:w="100"/>
              <w:bottom w:type="dxa" w:w="60"/>
              <w:right w:type="dxa" w:w="100"/>
            </w:tcMar>
          </w:tcPr>
          <w:p>
            <w:r>
              <w:rPr>
                <w:b/>
                <w:bCs/>
                <w:color w:val="2E7D32"/>
                <w:sz w:val="17"/>
                <w:szCs w:val="17"/>
              </w:rPr>
              <w:t xml:space="preserve">0.53</w:t>
            </w:r>
          </w:p>
        </w:tc>
        <w:tc>
          <w:tcPr>
            <w:tcW w:type="dxa" w:w="1728"/>
            <w:shd w:fill="F5F6F8" w:val="clear"/>
            <w:tcMar>
              <w:top w:type="dxa" w:w="60"/>
              <w:left w:type="dxa" w:w="100"/>
              <w:bottom w:type="dxa" w:w="60"/>
              <w:right w:type="dxa" w:w="100"/>
            </w:tcMar>
          </w:tcPr>
          <w:p>
            <w:r>
              <w:rPr>
                <w:b w:val="false"/>
                <w:bCs w:val="false"/>
                <w:color w:val="1A1A1A"/>
                <w:sz w:val="17"/>
                <w:szCs w:val="17"/>
              </w:rPr>
              <w:t xml:space="preserve">-58.1%</w:t>
            </w:r>
          </w:p>
        </w:tc>
        <w:tc>
          <w:tcPr>
            <w:tcW w:type="dxa" w:w="1584"/>
            <w:shd w:fill="F5F6F8" w:val="clear"/>
            <w:tcMar>
              <w:top w:type="dxa" w:w="60"/>
              <w:left w:type="dxa" w:w="100"/>
              <w:bottom w:type="dxa" w:w="60"/>
              <w:right w:type="dxa" w:w="100"/>
            </w:tcMar>
          </w:tcPr>
          <w:p>
            <w:r>
              <w:rPr>
                <w:b w:val="false"/>
                <w:bCs w:val="false"/>
                <w:color w:val="1A1A1A"/>
                <w:sz w:val="17"/>
                <w:szCs w:val="17"/>
              </w:rPr>
              <w:t xml:space="preserve">+60.4%</w:t>
            </w:r>
          </w:p>
        </w:tc>
      </w:tr>
      <w:tr>
        <w:tc>
          <w:tcPr>
            <w:tcW w:type="dxa" w:w="3312"/>
            <w:shd w:fill="FFFFFF" w:val="clear"/>
            <w:tcMar>
              <w:top w:type="dxa" w:w="60"/>
              <w:left w:type="dxa" w:w="100"/>
              <w:bottom w:type="dxa" w:w="60"/>
              <w:right w:type="dxa" w:w="100"/>
            </w:tcMar>
          </w:tcPr>
          <w:p>
            <w:r>
              <w:rPr>
                <w:b/>
                <w:bCs/>
                <w:color w:val="1A1A1A"/>
                <w:sz w:val="17"/>
                <w:szCs w:val="17"/>
              </w:rPr>
              <w:t xml:space="preserve">Long / short (the strategy)</w:t>
            </w:r>
          </w:p>
        </w:tc>
        <w:tc>
          <w:tcPr>
            <w:tcW w:type="dxa" w:w="1584"/>
            <w:shd w:fill="FFFFFF" w:val="clear"/>
            <w:tcMar>
              <w:top w:type="dxa" w:w="60"/>
              <w:left w:type="dxa" w:w="100"/>
              <w:bottom w:type="dxa" w:w="60"/>
              <w:right w:type="dxa" w:w="100"/>
            </w:tcMar>
          </w:tcPr>
          <w:p>
            <w:r>
              <w:rPr>
                <w:b/>
                <w:bCs/>
                <w:color w:val="C8102E"/>
                <w:sz w:val="17"/>
                <w:szCs w:val="17"/>
              </w:rPr>
              <w:t xml:space="preserve">-3.3%</w:t>
            </w:r>
          </w:p>
        </w:tc>
        <w:tc>
          <w:tcPr>
            <w:tcW w:type="dxa" w:w="1440"/>
            <w:shd w:fill="FFFFFF" w:val="clear"/>
            <w:tcMar>
              <w:top w:type="dxa" w:w="60"/>
              <w:left w:type="dxa" w:w="100"/>
              <w:bottom w:type="dxa" w:w="60"/>
              <w:right w:type="dxa" w:w="100"/>
            </w:tcMar>
          </w:tcPr>
          <w:p>
            <w:r>
              <w:rPr>
                <w:b/>
                <w:bCs/>
                <w:color w:val="C8102E"/>
                <w:sz w:val="17"/>
                <w:szCs w:val="17"/>
              </w:rPr>
              <w:t xml:space="preserve">-0.15</w:t>
            </w:r>
          </w:p>
        </w:tc>
        <w:tc>
          <w:tcPr>
            <w:tcW w:type="dxa" w:w="1728"/>
            <w:shd w:fill="FFFFFF" w:val="clear"/>
            <w:tcMar>
              <w:top w:type="dxa" w:w="60"/>
              <w:left w:type="dxa" w:w="100"/>
              <w:bottom w:type="dxa" w:w="60"/>
              <w:right w:type="dxa" w:w="100"/>
            </w:tcMar>
          </w:tcPr>
          <w:p>
            <w:r>
              <w:rPr>
                <w:b w:val="false"/>
                <w:bCs w:val="false"/>
                <w:color w:val="1A1A1A"/>
                <w:sz w:val="17"/>
                <w:szCs w:val="17"/>
              </w:rPr>
              <w:t xml:space="preserve">-67.9%</w:t>
            </w:r>
          </w:p>
        </w:tc>
        <w:tc>
          <w:tcPr>
            <w:tcW w:type="dxa" w:w="1584"/>
            <w:shd w:fill="FFFFFF" w:val="clear"/>
            <w:tcMar>
              <w:top w:type="dxa" w:w="60"/>
              <w:left w:type="dxa" w:w="100"/>
              <w:bottom w:type="dxa" w:w="60"/>
              <w:right w:type="dxa" w:w="100"/>
            </w:tcMar>
          </w:tcPr>
          <w:p>
            <w:r>
              <w:rPr>
                <w:b w:val="false"/>
                <w:bCs w:val="false"/>
                <w:color w:val="1A1A1A"/>
                <w:sz w:val="17"/>
                <w:szCs w:val="17"/>
              </w:rPr>
              <w:t xml:space="preserve">+48.0%</w:t>
            </w:r>
          </w:p>
        </w:tc>
      </w:tr>
      <w:tr>
        <w:tc>
          <w:tcPr>
            <w:tcW w:type="dxa" w:w="3312"/>
            <w:shd w:fill="F5F6F8" w:val="clear"/>
            <w:tcMar>
              <w:top w:type="dxa" w:w="60"/>
              <w:left w:type="dxa" w:w="100"/>
              <w:bottom w:type="dxa" w:w="60"/>
              <w:right w:type="dxa" w:w="100"/>
            </w:tcMar>
          </w:tcPr>
          <w:p>
            <w:r>
              <w:rPr>
                <w:b w:val="false"/>
                <w:bCs w:val="false"/>
                <w:color w:val="1A1A1A"/>
                <w:sz w:val="17"/>
                <w:szCs w:val="17"/>
              </w:rPr>
              <w:t xml:space="preserve">Benchmark (SPY)</w:t>
            </w:r>
          </w:p>
        </w:tc>
        <w:tc>
          <w:tcPr>
            <w:tcW w:type="dxa" w:w="1584"/>
            <w:shd w:fill="F5F6F8" w:val="clear"/>
            <w:tcMar>
              <w:top w:type="dxa" w:w="60"/>
              <w:left w:type="dxa" w:w="100"/>
              <w:bottom w:type="dxa" w:w="60"/>
              <w:right w:type="dxa" w:w="100"/>
            </w:tcMar>
          </w:tcPr>
          <w:p>
            <w:r>
              <w:rPr>
                <w:b/>
                <w:bCs/>
                <w:color w:val="2E7D32"/>
                <w:sz w:val="17"/>
                <w:szCs w:val="17"/>
              </w:rPr>
              <w:t xml:space="preserve">+8.3%</w:t>
            </w:r>
          </w:p>
        </w:tc>
        <w:tc>
          <w:tcPr>
            <w:tcW w:type="dxa" w:w="1440"/>
            <w:shd w:fill="F5F6F8" w:val="clear"/>
            <w:tcMar>
              <w:top w:type="dxa" w:w="60"/>
              <w:left w:type="dxa" w:w="100"/>
              <w:bottom w:type="dxa" w:w="60"/>
              <w:right w:type="dxa" w:w="100"/>
            </w:tcMar>
          </w:tcPr>
          <w:p>
            <w:r>
              <w:rPr>
                <w:b/>
                <w:bCs/>
                <w:color w:val="2E7D32"/>
                <w:sz w:val="17"/>
                <w:szCs w:val="17"/>
              </w:rPr>
              <w:t xml:space="preserve">0.61</w:t>
            </w:r>
          </w:p>
        </w:tc>
        <w:tc>
          <w:tcPr>
            <w:tcW w:type="dxa" w:w="1728"/>
            <w:shd w:fill="F5F6F8" w:val="clear"/>
            <w:tcMar>
              <w:top w:type="dxa" w:w="60"/>
              <w:left w:type="dxa" w:w="100"/>
              <w:bottom w:type="dxa" w:w="60"/>
              <w:right w:type="dxa" w:w="100"/>
            </w:tcMar>
          </w:tcPr>
          <w:p>
            <w:r>
              <w:rPr>
                <w:b w:val="false"/>
                <w:bCs w:val="false"/>
                <w:color w:val="1A1A1A"/>
                <w:sz w:val="17"/>
                <w:szCs w:val="17"/>
              </w:rPr>
              <w:t xml:space="preserve">-50.8%</w:t>
            </w:r>
          </w:p>
        </w:tc>
        <w:tc>
          <w:tcPr>
            <w:tcW w:type="dxa" w:w="1584"/>
            <w:shd w:fill="F5F6F8" w:val="clear"/>
            <w:tcMar>
              <w:top w:type="dxa" w:w="60"/>
              <w:left w:type="dxa" w:w="100"/>
              <w:bottom w:type="dxa" w:w="60"/>
              <w:right w:type="dxa" w:w="100"/>
            </w:tcMar>
          </w:tcPr>
          <w:p>
            <w:r>
              <w:rPr>
                <w:b w:val="false"/>
                <w:bCs w:val="false"/>
                <w:color w:val="1A1A1A"/>
                <w:sz w:val="17"/>
                <w:szCs w:val="17"/>
              </w:rPr>
              <w:t xml:space="preserve">+63.8%</w:t>
            </w:r>
          </w:p>
        </w:tc>
      </w:tr>
    </w:tbl>
    <w:p>
      <w:pPr>
        <w:spacing w:after="120"/>
      </w:pPr>
    </w:p>
    <w:p>
      <w:pPr>
        <w:spacing w:after="120" w:line="276"/>
      </w:pPr>
      <w:r>
        <w:rPr>
          <w:color w:val="1A1A1A"/>
          <w:sz w:val="21"/>
          <w:szCs w:val="21"/>
        </w:rPr>
        <w:t xml:space="preserve">Its own returns were separately regressed against the rotation signal, K-Index, and real-estate rotation — all three come back as clean statistical nulls. The takeaway: the real signal in this project lives specifically in rate-sensitive fixed income, not in broad long/short equity sector rotation — the vehicle the original thesis proposed was the wrong one.</w:t>
      </w:r>
    </w:p>
    <w:p>
      <w:pPr>
        <w:pStyle w:val="Heading1"/>
        <w:spacing w:after="120" w:before="240"/>
      </w:pPr>
      <w:r>
        <w:rPr>
          <w:b/>
          <w:bCs/>
          <w:color w:val="0B1F3A"/>
          <w:sz w:val="30"/>
          <w:szCs w:val="30"/>
        </w:rPr>
        <w:t xml:space="preserve">IX. Findings — Are We Heading Into Uncharted Territory?</w:t>
      </w:r>
    </w:p>
    <w:p>
      <w:pPr>
        <w:spacing w:after="120" w:line="276"/>
      </w:pPr>
      <w:r>
        <w:rPr>
          <w:color w:val="1A1A1A"/>
          <w:sz w:val="21"/>
          <w:szCs w:val="21"/>
        </w:rPr>
        <w:t xml:space="preserve">Using the Fed’s DFA data, each generation’s wealth-concentration ratio (wealth share ÷ household share) was tracked across its own late-career-through-retirement arc, and compared to the prior dominant generation’s own arc (Figure 2).</w:t>
      </w:r>
    </w:p>
    <w:p>
      <w:pPr>
        <w:pStyle w:val="ListParagraph"/>
        <w:numPr>
          <w:ilvl w:val="0"/>
          <w:numId w:val="2"/>
        </w:numPr>
        <w:spacing w:after="60" w:line="264"/>
      </w:pPr>
      <w:r>
        <w:rPr>
          <w:color w:val="1A1A1A"/>
          <w:sz w:val="21"/>
          <w:szCs w:val="21"/>
        </w:rPr>
        <w:t xml:space="preserve">Boomers’ current concentration ratio (2026): 1.73×.</w:t>
      </w:r>
    </w:p>
    <w:p>
      <w:pPr>
        <w:pStyle w:val="ListParagraph"/>
        <w:numPr>
          <w:ilvl w:val="0"/>
          <w:numId w:val="2"/>
        </w:numPr>
        <w:spacing w:after="60" w:line="264"/>
      </w:pPr>
      <w:r>
        <w:rPr>
          <w:color w:val="1A1A1A"/>
          <w:sz w:val="21"/>
          <w:szCs w:val="21"/>
        </w:rPr>
        <w:t xml:space="preserve">The Silent Generation’s full-cycle historical peak: 1.66×.</w:t>
      </w:r>
    </w:p>
    <w:p>
      <w:pPr>
        <w:pStyle w:val="ListParagraph"/>
        <w:numPr>
          <w:ilvl w:val="0"/>
          <w:numId w:val="2"/>
        </w:numPr>
        <w:spacing w:after="60" w:line="264"/>
      </w:pPr>
      <w:r>
        <w:rPr>
          <w:color w:val="1A1A1A"/>
          <w:sz w:val="21"/>
          <w:szCs w:val="21"/>
        </w:rPr>
        <w:t xml:space="preserve">Boomers have already exceeded that historical peak — and the youngest Boomers will not turn 65 until 2029, meaning this reading captures only an early-to-mid stage of their retirement transition, not its full arc.</w:t>
      </w:r>
    </w:p>
    <w:p>
      <w:pPr>
        <w:pStyle w:val="ListParagraph"/>
        <w:numPr>
          <w:ilvl w:val="0"/>
          <w:numId w:val="2"/>
        </w:numPr>
        <w:spacing w:after="60" w:line="264"/>
      </w:pPr>
      <w:r>
        <w:rPr>
          <w:color w:val="1A1A1A"/>
          <w:sz w:val="21"/>
          <w:szCs w:val="21"/>
        </w:rPr>
        <w:t xml:space="preserve">Cross-checked on a generation-agnostic “age 70+” cut of the same data (independent of generational boundaries): the same pattern 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6F8" w:val="clear"/>
            <w:tcMar>
              <w:top w:type="dxa" w:w="160"/>
              <w:left w:type="dxa" w:w="200"/>
              <w:bottom w:type="dxa" w:w="160"/>
              <w:right w:type="dxa" w:w="200"/>
            </w:tcMar>
          </w:tcPr>
          <w:p>
            <w:r>
              <w:rPr>
                <w:b/>
                <w:bCs/>
                <w:i/>
                <w:iCs/>
                <w:color w:val="0B1F3A"/>
                <w:sz w:val="20"/>
                <w:szCs w:val="20"/>
              </w:rPr>
              <w:t xml:space="preserve">Answer: yes, by this measure. Boomer wealth concentration has already surpassed the prior generation’s full historical precedent, before Boomers have finished retiring.</w:t>
            </w:r>
          </w:p>
        </w:tc>
      </w:tr>
    </w:tbl>
    <w:p>
      <w:pPr>
        <w:pStyle w:val="Heading1"/>
        <w:spacing w:after="120" w:before="240"/>
      </w:pPr>
      <w:r>
        <w:rPr>
          <w:b/>
          <w:bCs/>
          <w:color w:val="0B1F3A"/>
          <w:sz w:val="30"/>
          <w:szCs w:val="30"/>
        </w:rPr>
        <w:t xml:space="preserve">X. Discussion — Answering the Four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2304"/>
        <w:gridCol w:w="4896"/>
      </w:tblGrid>
      <w:tr>
        <w:trPr>
          <w:tblHeader/>
        </w:trPr>
        <w:tc>
          <w:tcPr>
            <w:tcW w:type="dxa" w:w="2880"/>
            <w:shd w:fill="0B1F3A" w:val="clear"/>
            <w:tcMar>
              <w:top w:type="dxa" w:w="80"/>
              <w:left w:type="dxa" w:w="100"/>
              <w:bottom w:type="dxa" w:w="80"/>
              <w:right w:type="dxa" w:w="100"/>
            </w:tcMar>
          </w:tcPr>
          <w:p>
            <w:r>
              <w:rPr>
                <w:b/>
                <w:bCs/>
                <w:color w:val="FFFFFF"/>
                <w:sz w:val="18"/>
                <w:szCs w:val="18"/>
              </w:rPr>
              <w:t xml:space="preserve">Question</w:t>
            </w:r>
          </w:p>
        </w:tc>
        <w:tc>
          <w:tcPr>
            <w:tcW w:type="dxa" w:w="2304"/>
            <w:shd w:fill="0B1F3A" w:val="clear"/>
            <w:tcMar>
              <w:top w:type="dxa" w:w="80"/>
              <w:left w:type="dxa" w:w="100"/>
              <w:bottom w:type="dxa" w:w="80"/>
              <w:right w:type="dxa" w:w="100"/>
            </w:tcMar>
          </w:tcPr>
          <w:p>
            <w:r>
              <w:rPr>
                <w:b/>
                <w:bCs/>
                <w:color w:val="FFFFFF"/>
                <w:sz w:val="18"/>
                <w:szCs w:val="18"/>
              </w:rPr>
              <w:t xml:space="preserve">Answer</w:t>
            </w:r>
          </w:p>
        </w:tc>
        <w:tc>
          <w:tcPr>
            <w:tcW w:type="dxa" w:w="4896"/>
            <w:shd w:fill="0B1F3A" w:val="clear"/>
            <w:tcMar>
              <w:top w:type="dxa" w:w="80"/>
              <w:left w:type="dxa" w:w="100"/>
              <w:bottom w:type="dxa" w:w="80"/>
              <w:right w:type="dxa" w:w="100"/>
            </w:tcMar>
          </w:tcPr>
          <w:p>
            <w:r>
              <w:rPr>
                <w:b/>
                <w:bCs/>
                <w:color w:val="FFFFFF"/>
                <w:sz w:val="18"/>
                <w:szCs w:val="18"/>
              </w:rPr>
              <w:t xml:space="preserve">Key evidence</w:t>
            </w:r>
          </w:p>
        </w:tc>
      </w:tr>
      <w:tr>
        <w:tc>
          <w:tcPr>
            <w:tcW w:type="dxa" w:w="2880"/>
            <w:shd w:fill="FFFFFF" w:val="clear"/>
            <w:tcMar>
              <w:top w:type="dxa" w:w="60"/>
              <w:left w:type="dxa" w:w="100"/>
              <w:bottom w:type="dxa" w:w="60"/>
              <w:right w:type="dxa" w:w="100"/>
            </w:tcMar>
          </w:tcPr>
          <w:p>
            <w:r>
              <w:rPr>
                <w:b w:val="false"/>
                <w:bCs w:val="false"/>
                <w:color w:val="1A1A1A"/>
                <w:sz w:val="17"/>
                <w:szCs w:val="17"/>
              </w:rPr>
              <w:t xml:space="preserve">Does K/BEDI explain asset prices?</w:t>
            </w:r>
          </w:p>
        </w:tc>
        <w:tc>
          <w:tcPr>
            <w:tcW w:type="dxa" w:w="2304"/>
            <w:shd w:fill="FFFFFF" w:val="clear"/>
            <w:tcMar>
              <w:top w:type="dxa" w:w="60"/>
              <w:left w:type="dxa" w:w="100"/>
              <w:bottom w:type="dxa" w:w="60"/>
              <w:right w:type="dxa" w:w="100"/>
            </w:tcMar>
          </w:tcPr>
          <w:p>
            <w:r>
              <w:rPr>
                <w:b w:val="false"/>
                <w:bCs w:val="false"/>
                <w:color w:val="1A1A1A"/>
                <w:sz w:val="17"/>
                <w:szCs w:val="17"/>
              </w:rPr>
              <w:t xml:space="preserve">Only fixed income.</w:t>
            </w:r>
          </w:p>
        </w:tc>
        <w:tc>
          <w:tcPr>
            <w:tcW w:type="dxa" w:w="4896"/>
            <w:shd w:fill="FFFFFF" w:val="clear"/>
            <w:tcMar>
              <w:top w:type="dxa" w:w="60"/>
              <w:left w:type="dxa" w:w="100"/>
              <w:bottom w:type="dxa" w:w="60"/>
              <w:right w:type="dxa" w:w="100"/>
            </w:tcMar>
          </w:tcPr>
          <w:p>
            <w:r>
              <w:rPr>
                <w:b w:val="false"/>
                <w:bCs w:val="false"/>
                <w:color w:val="1A1A1A"/>
                <w:sz w:val="17"/>
                <w:szCs w:val="17"/>
              </w:rPr>
              <w:t xml:space="preserve">K, BEDI, and the rotation signal each independently predict 10Y Treasury returns one quarter out. No broad effect on equities, FX, gold, or REITs.</w:t>
            </w:r>
          </w:p>
        </w:tc>
      </w:tr>
      <w:tr>
        <w:tc>
          <w:tcPr>
            <w:tcW w:type="dxa" w:w="2880"/>
            <w:shd w:fill="F5F6F8" w:val="clear"/>
            <w:tcMar>
              <w:top w:type="dxa" w:w="60"/>
              <w:left w:type="dxa" w:w="100"/>
              <w:bottom w:type="dxa" w:w="60"/>
              <w:right w:type="dxa" w:w="100"/>
            </w:tcMar>
          </w:tcPr>
          <w:p>
            <w:r>
              <w:rPr>
                <w:b w:val="false"/>
                <w:bCs w:val="false"/>
                <w:color w:val="1A1A1A"/>
                <w:sz w:val="17"/>
                <w:szCs w:val="17"/>
              </w:rPr>
              <w:t xml:space="preserve">Does it explain economic growth?</w:t>
            </w:r>
          </w:p>
        </w:tc>
        <w:tc>
          <w:tcPr>
            <w:tcW w:type="dxa" w:w="2304"/>
            <w:shd w:fill="F5F6F8" w:val="clear"/>
            <w:tcMar>
              <w:top w:type="dxa" w:w="60"/>
              <w:left w:type="dxa" w:w="100"/>
              <w:bottom w:type="dxa" w:w="60"/>
              <w:right w:type="dxa" w:w="100"/>
            </w:tcMar>
          </w:tcPr>
          <w:p>
            <w:r>
              <w:rPr>
                <w:b w:val="false"/>
                <w:bCs w:val="false"/>
                <w:color w:val="1A1A1A"/>
                <w:sz w:val="17"/>
                <w:szCs w:val="17"/>
              </w:rPr>
              <w:t xml:space="preserve">No — one caveat.</w:t>
            </w:r>
          </w:p>
        </w:tc>
        <w:tc>
          <w:tcPr>
            <w:tcW w:type="dxa" w:w="4896"/>
            <w:shd w:fill="F5F6F8" w:val="clear"/>
            <w:tcMar>
              <w:top w:type="dxa" w:w="60"/>
              <w:left w:type="dxa" w:w="100"/>
              <w:bottom w:type="dxa" w:w="60"/>
              <w:right w:type="dxa" w:w="100"/>
            </w:tcMar>
          </w:tcPr>
          <w:p>
            <w:r>
              <w:rPr>
                <w:b w:val="false"/>
                <w:bCs w:val="false"/>
                <w:color w:val="1A1A1A"/>
                <w:sz w:val="17"/>
                <w:szCs w:val="17"/>
              </w:rPr>
              <w:t xml:space="preserve">Unemployment and GDP are clean nulls; industrial production is borderline (p=0.057).</w:t>
            </w:r>
          </w:p>
        </w:tc>
      </w:tr>
      <w:tr>
        <w:tc>
          <w:tcPr>
            <w:tcW w:type="dxa" w:w="2880"/>
            <w:shd w:fill="FFFFFF" w:val="clear"/>
            <w:tcMar>
              <w:top w:type="dxa" w:w="60"/>
              <w:left w:type="dxa" w:w="100"/>
              <w:bottom w:type="dxa" w:w="60"/>
              <w:right w:type="dxa" w:w="100"/>
            </w:tcMar>
          </w:tcPr>
          <w:p>
            <w:r>
              <w:rPr>
                <w:b w:val="false"/>
                <w:bCs w:val="false"/>
                <w:color w:val="1A1A1A"/>
                <w:sz w:val="17"/>
                <w:szCs w:val="17"/>
              </w:rPr>
              <w:t xml:space="preserve">Are we in uncharted territory?</w:t>
            </w:r>
          </w:p>
        </w:tc>
        <w:tc>
          <w:tcPr>
            <w:tcW w:type="dxa" w:w="2304"/>
            <w:shd w:fill="FFFFFF" w:val="clear"/>
            <w:tcMar>
              <w:top w:type="dxa" w:w="60"/>
              <w:left w:type="dxa" w:w="100"/>
              <w:bottom w:type="dxa" w:w="60"/>
              <w:right w:type="dxa" w:w="100"/>
            </w:tcMar>
          </w:tcPr>
          <w:p>
            <w:r>
              <w:rPr>
                <w:b w:val="false"/>
                <w:bCs w:val="false"/>
                <w:color w:val="1A1A1A"/>
                <w:sz w:val="17"/>
                <w:szCs w:val="17"/>
              </w:rPr>
              <w:t xml:space="preserve">Yes, by this measure.</w:t>
            </w:r>
          </w:p>
        </w:tc>
        <w:tc>
          <w:tcPr>
            <w:tcW w:type="dxa" w:w="4896"/>
            <w:shd w:fill="FFFFFF" w:val="clear"/>
            <w:tcMar>
              <w:top w:type="dxa" w:w="60"/>
              <w:left w:type="dxa" w:w="100"/>
              <w:bottom w:type="dxa" w:w="60"/>
              <w:right w:type="dxa" w:w="100"/>
            </w:tcMar>
          </w:tcPr>
          <w:p>
            <w:r>
              <w:rPr>
                <w:b w:val="false"/>
                <w:bCs w:val="false"/>
                <w:color w:val="1A1A1A"/>
                <w:sz w:val="17"/>
                <w:szCs w:val="17"/>
              </w:rPr>
              <w:t xml:space="preserve">Boomer concentration (1.73×) already exceeds the Silent Generation’s full historical peak (1.66×), before Boomers have finished retiring.</w:t>
            </w:r>
          </w:p>
        </w:tc>
      </w:tr>
      <w:tr>
        <w:tc>
          <w:tcPr>
            <w:tcW w:type="dxa" w:w="2880"/>
            <w:shd w:fill="F5F6F8" w:val="clear"/>
            <w:tcMar>
              <w:top w:type="dxa" w:w="60"/>
              <w:left w:type="dxa" w:w="100"/>
              <w:bottom w:type="dxa" w:w="60"/>
              <w:right w:type="dxa" w:w="100"/>
            </w:tcMar>
          </w:tcPr>
          <w:p>
            <w:r>
              <w:rPr>
                <w:b w:val="false"/>
                <w:bCs w:val="false"/>
                <w:color w:val="1A1A1A"/>
                <w:sz w:val="17"/>
                <w:szCs w:val="17"/>
              </w:rPr>
              <w:t xml:space="preserve">Is there an alpha opportunity?</w:t>
            </w:r>
          </w:p>
        </w:tc>
        <w:tc>
          <w:tcPr>
            <w:tcW w:type="dxa" w:w="2304"/>
            <w:shd w:fill="F5F6F8" w:val="clear"/>
            <w:tcMar>
              <w:top w:type="dxa" w:w="60"/>
              <w:left w:type="dxa" w:w="100"/>
              <w:bottom w:type="dxa" w:w="60"/>
              <w:right w:type="dxa" w:w="100"/>
            </w:tcMar>
          </w:tcPr>
          <w:p>
            <w:r>
              <w:rPr>
                <w:b w:val="false"/>
                <w:bCs w:val="false"/>
                <w:color w:val="1A1A1A"/>
                <w:sz w:val="17"/>
                <w:szCs w:val="17"/>
              </w:rPr>
              <w:t xml:space="preserve">Yes — in bonds, not stocks.</w:t>
            </w:r>
          </w:p>
        </w:tc>
        <w:tc>
          <w:tcPr>
            <w:tcW w:type="dxa" w:w="4896"/>
            <w:shd w:fill="F5F6F8" w:val="clear"/>
            <w:tcMar>
              <w:top w:type="dxa" w:w="60"/>
              <w:left w:type="dxa" w:w="100"/>
              <w:bottom w:type="dxa" w:w="60"/>
              <w:right w:type="dxa" w:w="100"/>
            </w:tcMar>
          </w:tcPr>
          <w:p>
            <w:r>
              <w:rPr>
                <w:b w:val="false"/>
                <w:bCs w:val="false"/>
                <w:color w:val="1A1A1A"/>
                <w:sz w:val="17"/>
                <w:szCs w:val="17"/>
              </w:rPr>
              <w:t xml:space="preserve">Three independently-built signals, each backtested into a Treasury-timing strategy, each cut drawdown by roughly two-thirds vs. buy-and-hold. The originally-proposed long/short equity strategy lost money and correlates with none of them.</w:t>
            </w:r>
          </w:p>
        </w:tc>
      </w:tr>
    </w:tbl>
    <w:p>
      <w:pPr>
        <w:pStyle w:val="Heading1"/>
        <w:spacing w:after="120" w:before="240"/>
      </w:pPr>
      <w:r>
        <w:rPr>
          <w:b/>
          <w:bCs/>
          <w:color w:val="0B1F3A"/>
          <w:sz w:val="30"/>
          <w:szCs w:val="30"/>
        </w:rPr>
        <w:t xml:space="preserve">XI. Limitations &amp; Future Work</w:t>
      </w:r>
    </w:p>
    <w:p>
      <w:pPr>
        <w:pStyle w:val="ListParagraph"/>
        <w:numPr>
          <w:ilvl w:val="0"/>
          <w:numId w:val="2"/>
        </w:numPr>
        <w:spacing w:after="60" w:line="264"/>
      </w:pPr>
      <w:r>
        <w:rPr>
          <w:color w:val="1A1A1A"/>
          <w:sz w:val="21"/>
          <w:szCs w:val="21"/>
        </w:rPr>
        <w:t xml:space="preserve">Sample sizes range from roughly 90 to 140 quarters depending on the series — real but moderate for the specificity of some claims.</w:t>
      </w:r>
    </w:p>
    <w:p>
      <w:pPr>
        <w:pStyle w:val="ListParagraph"/>
        <w:numPr>
          <w:ilvl w:val="0"/>
          <w:numId w:val="2"/>
        </w:numPr>
        <w:spacing w:after="60" w:line="264"/>
      </w:pPr>
      <w:r>
        <w:rPr>
          <w:color w:val="1A1A1A"/>
          <w:sz w:val="21"/>
          <w:szCs w:val="21"/>
        </w:rPr>
        <w:t xml:space="preserve">Backtest thresholds (signal &gt; 0) are the simplest possible rule, not optimized or tuned — a deliberate choice to avoid overfitting, but untested against alternative thresholds or continuous position-sizing.</w:t>
      </w:r>
    </w:p>
    <w:p>
      <w:pPr>
        <w:pStyle w:val="ListParagraph"/>
        <w:numPr>
          <w:ilvl w:val="0"/>
          <w:numId w:val="2"/>
        </w:numPr>
        <w:spacing w:after="60" w:line="264"/>
      </w:pPr>
      <w:r>
        <w:rPr>
          <w:color w:val="1A1A1A"/>
          <w:sz w:val="21"/>
          <w:szCs w:val="21"/>
        </w:rPr>
        <w:t xml:space="preserve">Cash returns are approximated at 0% in every backtest rather than a real risk-free rate, consistent with how missing risk-free data was handled elsewhere in this project.</w:t>
      </w:r>
    </w:p>
    <w:p>
      <w:pPr>
        <w:pStyle w:val="ListParagraph"/>
        <w:numPr>
          <w:ilvl w:val="0"/>
          <w:numId w:val="2"/>
        </w:numPr>
        <w:spacing w:after="60" w:line="264"/>
      </w:pPr>
      <w:r>
        <w:rPr>
          <w:color w:val="1A1A1A"/>
          <w:sz w:val="21"/>
          <w:szCs w:val="21"/>
        </w:rPr>
        <w:t xml:space="preserve">No out-of-sample validation has been performed — every result reported here is in-sample.</w:t>
      </w:r>
    </w:p>
    <w:p>
      <w:pPr>
        <w:pStyle w:val="ListParagraph"/>
        <w:numPr>
          <w:ilvl w:val="0"/>
          <w:numId w:val="2"/>
        </w:numPr>
        <w:spacing w:after="60" w:line="264"/>
      </w:pPr>
      <w:r>
        <w:rPr>
          <w:color w:val="1A1A1A"/>
          <w:sz w:val="21"/>
          <w:szCs w:val="21"/>
        </w:rPr>
        <w:t xml:space="preserve">The K-Index itself is only available as a full-sample z-score for its regression uses (a mild look-ahead caveat); the backtests use a stricter point-in-time version built specifically to avoid this.</w:t>
      </w:r>
    </w:p>
    <w:p>
      <w:pPr>
        <w:pStyle w:val="ListParagraph"/>
        <w:numPr>
          <w:ilvl w:val="0"/>
          <w:numId w:val="2"/>
        </w:numPr>
        <w:spacing w:after="60" w:line="264"/>
      </w:pPr>
      <w:r>
        <w:rPr>
          <w:color w:val="1A1A1A"/>
          <w:sz w:val="21"/>
          <w:szCs w:val="21"/>
        </w:rPr>
        <w:t xml:space="preserve">Real-world tradability of the K/BEDI signals depends on how quickly the underlying Fed DFA, wage-growth, and sentiment data are actually published after each quarter closes — a publication-lag question not yet resolved in this project.</w:t>
      </w:r>
    </w:p>
    <w:p>
      <w:pPr>
        <w:pStyle w:val="ListParagraph"/>
        <w:numPr>
          <w:ilvl w:val="0"/>
          <w:numId w:val="2"/>
        </w:numPr>
        <w:spacing w:after="60" w:line="264"/>
      </w:pPr>
      <w:r>
        <w:rPr>
          <w:color w:val="1A1A1A"/>
          <w:sz w:val="21"/>
          <w:szCs w:val="21"/>
        </w:rPr>
        <w:t xml:space="preserve">The REIT basket dataset’s exact source/composition has not been independently confirmed beyond its filename.</w:t>
      </w:r>
    </w:p>
    <w:p>
      <w:pPr>
        <w:pStyle w:val="ListParagraph"/>
        <w:numPr>
          <w:ilvl w:val="0"/>
          <w:numId w:val="2"/>
        </w:numPr>
        <w:spacing w:after="60" w:line="264"/>
      </w:pPr>
      <w:r>
        <w:rPr>
          <w:color w:val="1A1A1A"/>
          <w:sz w:val="21"/>
          <w:szCs w:val="21"/>
        </w:rPr>
        <w:t xml:space="preserve">Fama-French factor data remains unavailable in this project’s research environment, leaving the Pillar 2 long/short strategy’s risk-factor-adjusted alpha regression incomplete.</w:t>
      </w:r>
    </w:p>
    <w:p>
      <w:pPr>
        <w:pStyle w:val="ListParagraph"/>
        <w:numPr>
          <w:ilvl w:val="0"/>
          <w:numId w:val="2"/>
        </w:numPr>
        <w:spacing w:after="60" w:line="264"/>
      </w:pPr>
      <w:r>
        <w:rPr>
          <w:color w:val="1A1A1A"/>
          <w:sz w:val="21"/>
          <w:szCs w:val="21"/>
        </w:rPr>
        <w:t xml:space="preserve">Industrial production’s borderline reading (p=0.057) is not resolved either way and would benefit from a longer sample or an alternate specification.</w:t>
      </w:r>
    </w:p>
    <w:p>
      <w:pPr>
        <w:pStyle w:val="Heading1"/>
        <w:spacing w:after="120" w:before="240"/>
      </w:pPr>
      <w:r>
        <w:rPr>
          <w:b/>
          <w:bCs/>
          <w:color w:val="0B1F3A"/>
          <w:sz w:val="30"/>
          <w:szCs w:val="30"/>
        </w:rPr>
        <w:t xml:space="preserve">XII. Conclusion</w:t>
      </w:r>
    </w:p>
    <w:p>
      <w:pPr>
        <w:spacing w:after="120" w:line="276"/>
      </w:pPr>
      <w:r>
        <w:rPr>
          <w:color w:val="1A1A1A"/>
          <w:sz w:val="21"/>
          <w:szCs w:val="21"/>
        </w:rPr>
        <w:t xml:space="preserve">The K-shaped economy narrative is real and measurable in Fed data — Baby Boomers dominate U.S. household wealth and real estate to a degree with no precedent in the available historical record. That dominance, and its early unwind, shows up statistically in exactly one place with any robustness: interest-rate-sensitive fixed income. Three independently-constructed signals converge on the same result, and each survives being turned into an actual backtested strategy with materially reduced risk versus buy-and-hold. The strategy the sponsor’s original thesis proposed — a broad long/short equity sector rotation — does not work and is not explained by any of these signals. The practical implication for Artisan Partners: if there is an investable idea in the K-shaped economy thesis, the evidence points toward duration and rate-sensitive fixed income, not a broad equity sector tilt.</w:t>
      </w:r>
    </w:p>
    <w:p>
      <w:pPr>
        <w:pStyle w:val="Heading1"/>
        <w:spacing w:after="120" w:before="240"/>
      </w:pPr>
      <w:r>
        <w:rPr>
          <w:b/>
          <w:bCs/>
          <w:color w:val="0B1F3A"/>
          <w:sz w:val="30"/>
          <w:szCs w:val="30"/>
        </w:rPr>
        <w:t xml:space="preserve">XIII. Data Sources &amp; Repository</w:t>
      </w:r>
    </w:p>
    <w:p>
      <w:pPr>
        <w:pStyle w:val="ListParagraph"/>
        <w:numPr>
          <w:ilvl w:val="0"/>
          <w:numId w:val="2"/>
        </w:numPr>
        <w:spacing w:after="60" w:line="264"/>
      </w:pPr>
      <w:r>
        <w:rPr>
          <w:color w:val="1A1A1A"/>
          <w:sz w:val="21"/>
          <w:szCs w:val="21"/>
        </w:rPr>
        <w:t xml:space="preserve">Federal Reserve Board, Distributional Financial Accounts (DFA) — generation, age, income, and wealth-percentile cuts.</w:t>
      </w:r>
    </w:p>
    <w:p>
      <w:pPr>
        <w:pStyle w:val="ListParagraph"/>
        <w:numPr>
          <w:ilvl w:val="0"/>
          <w:numId w:val="2"/>
        </w:numPr>
        <w:spacing w:after="60" w:line="264"/>
      </w:pPr>
      <w:r>
        <w:rPr>
          <w:color w:val="1A1A1A"/>
          <w:sz w:val="21"/>
          <w:szCs w:val="21"/>
        </w:rPr>
        <w:t xml:space="preserve">Federal Reserve Bank of Atlanta, Wage Growth Tracker.</w:t>
      </w:r>
    </w:p>
    <w:p>
      <w:pPr>
        <w:pStyle w:val="ListParagraph"/>
        <w:numPr>
          <w:ilvl w:val="0"/>
          <w:numId w:val="2"/>
        </w:numPr>
        <w:spacing w:after="60" w:line="264"/>
      </w:pPr>
      <w:r>
        <w:rPr>
          <w:color w:val="1A1A1A"/>
          <w:sz w:val="21"/>
          <w:szCs w:val="21"/>
        </w:rPr>
        <w:t xml:space="preserve">University of Michigan, Surveys of Consumers.</w:t>
      </w:r>
    </w:p>
    <w:p>
      <w:pPr>
        <w:pStyle w:val="ListParagraph"/>
        <w:numPr>
          <w:ilvl w:val="0"/>
          <w:numId w:val="2"/>
        </w:numPr>
        <w:spacing w:after="60" w:line="264"/>
      </w:pPr>
      <w:r>
        <w:rPr>
          <w:color w:val="1A1A1A"/>
          <w:sz w:val="21"/>
          <w:szCs w:val="21"/>
        </w:rPr>
        <w:t xml:space="preserve">CRSP / Wharton Research Data Services (WRDS) — daily ETF total returns.</w:t>
      </w:r>
    </w:p>
    <w:p>
      <w:pPr>
        <w:pStyle w:val="ListParagraph"/>
        <w:numPr>
          <w:ilvl w:val="0"/>
          <w:numId w:val="2"/>
        </w:numPr>
        <w:spacing w:after="60" w:line="264"/>
      </w:pPr>
      <w:r>
        <w:rPr>
          <w:color w:val="1A1A1A"/>
          <w:sz w:val="21"/>
          <w:szCs w:val="21"/>
        </w:rPr>
        <w:t xml:space="preserve">Federal Reserve Economic Data (FRED) — GDPC1, UNRATE, INDPRO.</w:t>
      </w:r>
    </w:p>
    <w:p>
      <w:pPr>
        <w:pStyle w:val="ListParagraph"/>
        <w:numPr>
          <w:ilvl w:val="0"/>
          <w:numId w:val="2"/>
        </w:numPr>
        <w:spacing w:after="60" w:line="264"/>
      </w:pPr>
      <w:r>
        <w:rPr>
          <w:color w:val="1A1A1A"/>
          <w:sz w:val="21"/>
          <w:szCs w:val="21"/>
        </w:rPr>
        <w:t xml:space="preserve">Team-supplied REIT basket quarterly return series.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6F8" w:val="clear"/>
            <w:tcMar>
              <w:top w:type="dxa" w:w="160"/>
              <w:left w:type="dxa" w:w="200"/>
              <w:bottom w:type="dxa" w:w="160"/>
              <w:right w:type="dxa" w:w="200"/>
            </w:tcMar>
          </w:tcPr>
          <w:p>
            <w:r>
              <w:rPr>
                <w:b/>
                <w:bCs/>
                <w:i/>
                <w:iCs/>
                <w:color w:val="0B1F3A"/>
                <w:sz w:val="20"/>
                <w:szCs w:val="20"/>
              </w:rPr>
              <w:t xml:space="preserve">Full code, data, methodology notes, and output for every test in this outline: github.com/dbicknell22/Capstone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723c20fbfdc2f1415946ccbe66c74d12646e87b.png"/><Relationship Id="rId8" Type="http://schemas.openxmlformats.org/officeDocument/2006/relationships/image" Target="media/7ebe1ee9e97b6c789bebaccb78d3aa764d463cc6.png"/><Relationship Id="rId9" Type="http://schemas.openxmlformats.org/officeDocument/2006/relationships/image" Target="media/0bb52e8bef3f5ba74a8f5e020d6c30cb3d4b002c.png"/><Relationship Id="rId10" Type="http://schemas.openxmlformats.org/officeDocument/2006/relationships/image" Target="media/e5707171facb44030124f43621ee9c956985e1b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2026-08-11T22:51:23.704Z</dcterms:created>
  <dcterms:modified xsi:type="dcterms:W3CDTF">2026-08-11T22:51:23.704Z</dcterms:modified>
</cp:coreProperties>
</file>

<file path=docProps/custom.xml><?xml version="1.0" encoding="utf-8"?>
<Properties xmlns="http://schemas.openxmlformats.org/officeDocument/2006/custom-properties" xmlns:vt="http://schemas.openxmlformats.org/officeDocument/2006/docPropsVTypes"/>
</file>