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K-Shaped Economy Capstone</w:t>
      </w:r>
    </w:p>
    <w:p>
      <w:pPr>
        <w:spacing w:after="60"/>
      </w:pPr>
      <w:r>
        <w:rPr>
          <w:b/>
          <w:bCs/>
          <w:color w:val="0B1F3A"/>
          <w:sz w:val="30"/>
          <w:szCs w:val="30"/>
        </w:rPr>
        <w:t xml:space="preserve">Research Findings Summary — Does This Framework Generate Alpha?</w:t>
      </w:r>
    </w:p>
    <w:p>
      <w:pPr>
        <w:spacing w:after="400"/>
      </w:pPr>
      <w:r>
        <w:rPr>
          <w:i/>
          <w:iCs/>
          <w:color w:val="595959"/>
          <w:sz w:val="22"/>
          <w:szCs w:val="22"/>
        </w:rPr>
        <w:t xml:space="preserve">Artisan Partners · MQF, Rady School of Management · August 9, 2026</w:t>
      </w:r>
    </w:p>
    <w:p>
      <w:pPr>
        <w:pStyle w:val="Heading1"/>
        <w:spacing w:after="120" w:before="280"/>
      </w:pPr>
      <w:r>
        <w:t xml:space="preserve">Executive Summary</w:t>
      </w:r>
    </w:p>
    <w:p>
      <w:pPr>
        <w:spacing w:after="160"/>
      </w:pPr>
      <w:r>
        <w:t xml:space="preserve">Across every test run today — 14 in total, spanning two independent models built from different composite indices and tested against real market data pulled from CRSP via WRDS — the honest answer is: mostly no, with two real exceptions that corroborate each other.</w:t>
      </w:r>
    </w:p>
    <w:p>
      <w:pPr>
        <w:spacing w:after="160"/>
      </w:pPr>
      <w:r>
        <w:t xml:space="preserve">Two signals survived rigorous testing: </w:t>
      </w:r>
      <w:r>
        <w:rPr>
          <w:b/>
          <w:bCs/>
        </w:rPr>
        <w:t xml:space="preserve">the Boomer Equity Displacement Index (BEDI) predicts bonds outperforming stocks (LQD−SPY) one quarter ahead, and the K-Index independently predicts 10-year Treasury returns one quarter ahead. </w:t>
      </w:r>
      <w:r>
        <w:t xml:space="preserve">These are two different composite indices, built from different underlying data, converging on the same story: rising divergence/de-risking signals precede a bond-favoring quarter, not a broad-based move in stocks, currencies, or gold.</w:t>
      </w:r>
    </w:p>
    <w:p>
      <w:pPr>
        <w:spacing w:after="160"/>
      </w:pPr>
      <w:r>
        <w:t xml:space="preserve">Everything else — the long-short ETF strategy's headline return, the Boomer rotation signal's predictive power over wealth concentration, K-Index vs. the S&amp;P 500, three of four currencies, gold, and the consumer-credit/equity-growth mechanism tests — came back null, or “significant-looking” only until the same robustness checks were applied that the two real findings survived. That pattern of failure is itself informative: it is exactly what an efficient-markets skeptic (Buffett’s point, raised explicitly by one advisor) would predict from signals built entirely out of public, quarterly data.</w:t>
      </w:r>
    </w:p>
    <w:p>
      <w:pPr>
        <w:spacing w:after="160"/>
      </w:pPr>
      <w:r>
        <w:t xml:space="preserve">Two pieces of real data remain outstanding: Fama-French factors (blocks the Pillar 2 alpha regression) and unemployment/GDP/industrial production (blocks the last three K-Index regressions). Every other data request has been fulfilled via WRDS/CRSP.</w:t>
      </w:r>
    </w:p>
    <w:p>
      <w:pPr>
        <w:pStyle w:val="Heading1"/>
        <w:spacing w:after="120" w:before="280"/>
      </w:pPr>
      <w:r>
        <w:t xml:space="preserve">The Full Scorecard</w:t>
      </w:r>
    </w:p>
    <w:p>
      <w:pPr>
        <w:spacing w:after="160"/>
      </w:pPr>
      <w:r>
        <w:t xml:space="preserve">Every hypothesis tested today, in the order it was run: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2800"/>
        <w:gridCol w:w="1500"/>
      </w:tblGrid>
      <w:tr>
        <w:trPr>
          <w:tblHeader/>
        </w:trPr>
        <w:tc>
          <w:tcPr>
            <w:tcW w:type="dxa" w:w="3400"/>
            <w:shd w:fill="1F3B57" w:val="clear"/>
            <w:tcMar>
              <w:top w:type="dxa" w:w="60"/>
              <w:left w:type="dxa" w:w="100"/>
              <w:bottom w:type="dxa" w:w="60"/>
              <w:right w:type="dxa" w:w="100"/>
            </w:tcMar>
          </w:tcPr>
          <w:p>
            <w:pPr>
              <w:jc w:val="left"/>
            </w:pPr>
            <w:r>
              <w:rPr>
                <w:b/>
                <w:bCs/>
                <w:color w:val="FFFFFF"/>
              </w:rPr>
              <w:t xml:space="preserve">Test</w:t>
            </w:r>
          </w:p>
        </w:tc>
        <w:tc>
          <w:tcPr>
            <w:tcW w:type="dxa" w:w="1500"/>
            <w:shd w:fill="1F3B57" w:val="clear"/>
            <w:tcMar>
              <w:top w:type="dxa" w:w="60"/>
              <w:left w:type="dxa" w:w="100"/>
              <w:bottom w:type="dxa" w:w="60"/>
              <w:right w:type="dxa" w:w="100"/>
            </w:tcMar>
          </w:tcPr>
          <w:p>
            <w:pPr>
              <w:jc w:val="left"/>
            </w:pPr>
            <w:r>
              <w:rPr>
                <w:b/>
                <w:bCs/>
                <w:color w:val="FFFFFF"/>
              </w:rPr>
              <w:t xml:space="preserve">Data</w:t>
            </w:r>
          </w:p>
        </w:tc>
        <w:tc>
          <w:tcPr>
            <w:tcW w:type="dxa" w:w="2800"/>
            <w:shd w:fill="1F3B57" w:val="clear"/>
            <w:tcMar>
              <w:top w:type="dxa" w:w="60"/>
              <w:left w:type="dxa" w:w="100"/>
              <w:bottom w:type="dxa" w:w="60"/>
              <w:right w:type="dxa" w:w="100"/>
            </w:tcMar>
          </w:tcPr>
          <w:p>
            <w:pPr>
              <w:jc w:val="left"/>
            </w:pPr>
            <w:r>
              <w:rPr>
                <w:b/>
                <w:bCs/>
                <w:color w:val="FFFFFF"/>
              </w:rPr>
              <w:t xml:space="preserve">Result</w:t>
            </w:r>
          </w:p>
        </w:tc>
        <w:tc>
          <w:tcPr>
            <w:tcW w:type="dxa" w:w="1500"/>
            <w:shd w:fill="1F3B57" w:val="clear"/>
            <w:tcMar>
              <w:top w:type="dxa" w:w="60"/>
              <w:left w:type="dxa" w:w="100"/>
              <w:bottom w:type="dxa" w:w="60"/>
              <w:right w:type="dxa" w:w="100"/>
            </w:tcMar>
          </w:tcPr>
          <w:p>
            <w:pPr>
              <w:jc w:val="left"/>
            </w:pPr>
            <w:r>
              <w:rPr>
                <w:b/>
                <w:bCs/>
                <w:color w:val="FFFFFF"/>
              </w:rPr>
              <w:t xml:space="preserve">Verdict</w:t>
            </w:r>
          </w:p>
        </w:tc>
      </w:tr>
      <w:tr>
        <w:tc>
          <w:tcPr>
            <w:tcW w:type="dxa" w:w="3400"/>
            <w:tcMar>
              <w:top w:type="dxa" w:w="60"/>
              <w:left w:type="dxa" w:w="100"/>
              <w:bottom w:type="dxa" w:w="60"/>
              <w:right w:type="dxa" w:w="100"/>
            </w:tcMar>
          </w:tcPr>
          <w:p>
            <w:pPr>
              <w:jc w:val="left"/>
            </w:pPr>
            <w:r>
              <w:rPr>
                <w:b w:val="false"/>
                <w:bCs w:val="false"/>
                <w:color w:val="000000"/>
              </w:rPr>
              <w:t xml:space="preserve">Pillar 2 long-short ETF strategy, full sample (1999-2025)</w:t>
            </w:r>
          </w:p>
        </w:tc>
        <w:tc>
          <w:tcPr>
            <w:tcW w:type="dxa" w:w="1500"/>
            <w:tcMar>
              <w:top w:type="dxa" w:w="60"/>
              <w:left w:type="dxa" w:w="100"/>
              <w:bottom w:type="dxa" w:w="60"/>
              <w:right w:type="dxa" w:w="100"/>
            </w:tcMar>
          </w:tcPr>
          <w:p>
            <w:pPr>
              <w:jc w:val="left"/>
            </w:pPr>
            <w:r>
              <w:rPr>
                <w:b w:val="false"/>
                <w:bCs w:val="false"/>
                <w:color w:val="000000"/>
              </w:rPr>
              <w:t xml:space="preserve">Real (CRSP/WRDS)</w:t>
            </w:r>
          </w:p>
        </w:tc>
        <w:tc>
          <w:tcPr>
            <w:tcW w:type="dxa" w:w="2800"/>
            <w:tcMar>
              <w:top w:type="dxa" w:w="60"/>
              <w:left w:type="dxa" w:w="100"/>
              <w:bottom w:type="dxa" w:w="60"/>
              <w:right w:type="dxa" w:w="100"/>
            </w:tcMar>
          </w:tcPr>
          <w:p>
            <w:pPr>
              <w:jc w:val="left"/>
            </w:pPr>
            <w:r>
              <w:rPr>
                <w:b w:val="false"/>
                <w:bCs w:val="false"/>
                <w:color w:val="000000"/>
              </w:rPr>
              <w:t xml:space="preserve">CAGR -3.3%, Sharpe -0.15</w:t>
            </w:r>
          </w:p>
        </w:tc>
        <w:tc>
          <w:tcPr>
            <w:tcW w:type="dxa" w:w="1500"/>
            <w:tcMar>
              <w:top w:type="dxa" w:w="60"/>
              <w:left w:type="dxa" w:w="100"/>
              <w:bottom w:type="dxa" w:w="60"/>
              <w:right w:type="dxa" w:w="100"/>
            </w:tcMar>
          </w:tcPr>
          <w:p>
            <w:pPr>
              <w:jc w:val="left"/>
            </w:pPr>
            <w:r>
              <w:rPr>
                <w:b/>
                <w:bCs/>
                <w:color w:val="A3231F"/>
              </w:rPr>
              <w:t xml:space="preserve">No alpha</w:t>
            </w:r>
          </w:p>
        </w:tc>
      </w:tr>
      <w:tr>
        <w:tc>
          <w:tcPr>
            <w:tcW w:type="dxa" w:w="3400"/>
            <w:shd w:fill="F2F2F2" w:val="clear"/>
            <w:tcMar>
              <w:top w:type="dxa" w:w="60"/>
              <w:left w:type="dxa" w:w="100"/>
              <w:bottom w:type="dxa" w:w="60"/>
              <w:right w:type="dxa" w:w="100"/>
            </w:tcMar>
          </w:tcPr>
          <w:p>
            <w:pPr>
              <w:jc w:val="left"/>
            </w:pPr>
            <w:r>
              <w:rPr>
                <w:b w:val="false"/>
                <w:bCs w:val="false"/>
                <w:color w:val="000000"/>
              </w:rPr>
              <w:t xml:space="preserve">Pillar 2 long-short ETF strategy, pre-2017 (1999-2016)</w:t>
            </w:r>
          </w:p>
        </w:tc>
        <w:tc>
          <w:tcPr>
            <w:tcW w:type="dxa" w:w="1500"/>
            <w:shd w:fill="F2F2F2" w:val="clear"/>
            <w:tcMar>
              <w:top w:type="dxa" w:w="60"/>
              <w:left w:type="dxa" w:w="100"/>
              <w:bottom w:type="dxa" w:w="60"/>
              <w:right w:type="dxa" w:w="100"/>
            </w:tcMar>
          </w:tcPr>
          <w:p>
            <w:pPr>
              <w:jc w:val="left"/>
            </w:pPr>
            <w:r>
              <w:rPr>
                <w:b w:val="false"/>
                <w:bCs w:val="false"/>
                <w:color w:val="000000"/>
              </w:rPr>
              <w:t xml:space="preserve">Real (CRSP/WRDS)</w:t>
            </w:r>
          </w:p>
        </w:tc>
        <w:tc>
          <w:tcPr>
            <w:tcW w:type="dxa" w:w="2800"/>
            <w:shd w:fill="F2F2F2" w:val="clear"/>
            <w:tcMar>
              <w:top w:type="dxa" w:w="60"/>
              <w:left w:type="dxa" w:w="100"/>
              <w:bottom w:type="dxa" w:w="60"/>
              <w:right w:type="dxa" w:w="100"/>
            </w:tcMar>
          </w:tcPr>
          <w:p>
            <w:pPr>
              <w:jc w:val="left"/>
            </w:pPr>
            <w:r>
              <w:rPr>
                <w:b w:val="false"/>
                <w:bCs w:val="false"/>
                <w:color w:val="000000"/>
              </w:rPr>
              <w:t xml:space="preserve">CAGR -1.4%, Sharpe -0.02</w:t>
            </w:r>
          </w:p>
        </w:tc>
        <w:tc>
          <w:tcPr>
            <w:tcW w:type="dxa" w:w="1500"/>
            <w:shd w:fill="F2F2F2" w:val="clear"/>
            <w:tcMar>
              <w:top w:type="dxa" w:w="60"/>
              <w:left w:type="dxa" w:w="100"/>
              <w:bottom w:type="dxa" w:w="60"/>
              <w:right w:type="dxa" w:w="100"/>
            </w:tcMar>
          </w:tcPr>
          <w:p>
            <w:pPr>
              <w:jc w:val="left"/>
            </w:pPr>
            <w:r>
              <w:rPr>
                <w:b/>
                <w:bCs/>
                <w:color w:val="595959"/>
              </w:rPr>
              <w:t xml:space="preserve">Flat / no alpha</w:t>
            </w:r>
          </w:p>
        </w:tc>
      </w:tr>
      <w:tr>
        <w:tc>
          <w:tcPr>
            <w:tcW w:type="dxa" w:w="3400"/>
            <w:tcMar>
              <w:top w:type="dxa" w:w="60"/>
              <w:left w:type="dxa" w:w="100"/>
              <w:bottom w:type="dxa" w:w="60"/>
              <w:right w:type="dxa" w:w="100"/>
            </w:tcMar>
          </w:tcPr>
          <w:p>
            <w:pPr>
              <w:jc w:val="left"/>
            </w:pPr>
            <w:r>
              <w:rPr>
                <w:b w:val="false"/>
                <w:bCs w:val="false"/>
                <w:color w:val="000000"/>
              </w:rPr>
              <w:t xml:space="preserve">Pillar 2 long-only leg (defensive/income, no short)</w:t>
            </w:r>
          </w:p>
        </w:tc>
        <w:tc>
          <w:tcPr>
            <w:tcW w:type="dxa" w:w="1500"/>
            <w:tcMar>
              <w:top w:type="dxa" w:w="60"/>
              <w:left w:type="dxa" w:w="100"/>
              <w:bottom w:type="dxa" w:w="60"/>
              <w:right w:type="dxa" w:w="100"/>
            </w:tcMar>
          </w:tcPr>
          <w:p>
            <w:pPr>
              <w:jc w:val="left"/>
            </w:pPr>
            <w:r>
              <w:rPr>
                <w:b w:val="false"/>
                <w:bCs w:val="false"/>
                <w:color w:val="000000"/>
              </w:rPr>
              <w:t xml:space="preserve">Real (CRSP/WRDS)</w:t>
            </w:r>
          </w:p>
        </w:tc>
        <w:tc>
          <w:tcPr>
            <w:tcW w:type="dxa" w:w="2800"/>
            <w:tcMar>
              <w:top w:type="dxa" w:w="60"/>
              <w:left w:type="dxa" w:w="100"/>
              <w:bottom w:type="dxa" w:w="60"/>
              <w:right w:type="dxa" w:w="100"/>
            </w:tcMar>
          </w:tcPr>
          <w:p>
            <w:pPr>
              <w:jc w:val="left"/>
            </w:pPr>
            <w:r>
              <w:rPr>
                <w:b w:val="false"/>
                <w:bCs w:val="false"/>
                <w:color w:val="000000"/>
              </w:rPr>
              <w:t xml:space="preserve">Sharpe 0.71 vs. SPY 0.61</w:t>
            </w:r>
          </w:p>
        </w:tc>
        <w:tc>
          <w:tcPr>
            <w:tcW w:type="dxa" w:w="1500"/>
            <w:tcMar>
              <w:top w:type="dxa" w:w="60"/>
              <w:left w:type="dxa" w:w="100"/>
              <w:bottom w:type="dxa" w:w="60"/>
              <w:right w:type="dxa" w:w="100"/>
            </w:tcMar>
          </w:tcPr>
          <w:p>
            <w:pPr>
              <w:jc w:val="left"/>
            </w:pPr>
            <w:r>
              <w:rPr>
                <w:b/>
                <w:bCs/>
                <w:color w:val="1B6B3A"/>
              </w:rPr>
              <w:t xml:space="preserve">Positive standalone</w:t>
            </w:r>
          </w:p>
        </w:tc>
      </w:tr>
      <w:tr>
        <w:tc>
          <w:tcPr>
            <w:tcW w:type="dxa" w:w="3400"/>
            <w:shd w:fill="F2F2F2" w:val="clear"/>
            <w:tcMar>
              <w:top w:type="dxa" w:w="60"/>
              <w:left w:type="dxa" w:w="100"/>
              <w:bottom w:type="dxa" w:w="60"/>
              <w:right w:type="dxa" w:w="100"/>
            </w:tcMar>
          </w:tcPr>
          <w:p>
            <w:pPr>
              <w:jc w:val="left"/>
            </w:pPr>
            <w:r>
              <w:rPr>
                <w:b w:val="false"/>
                <w:bCs w:val="false"/>
                <w:color w:val="000000"/>
              </w:rPr>
              <w:t xml:space="preserve">Pillar 2 alpha regression (Fama-French 5 + momentum)</w:t>
            </w:r>
          </w:p>
        </w:tc>
        <w:tc>
          <w:tcPr>
            <w:tcW w:type="dxa" w:w="1500"/>
            <w:shd w:fill="F2F2F2" w:val="clear"/>
            <w:tcMar>
              <w:top w:type="dxa" w:w="60"/>
              <w:left w:type="dxa" w:w="100"/>
              <w:bottom w:type="dxa" w:w="60"/>
              <w:right w:type="dxa" w:w="100"/>
            </w:tcMar>
          </w:tcPr>
          <w:p>
            <w:pPr>
              <w:jc w:val="left"/>
            </w:pPr>
            <w:r>
              <w:rPr>
                <w:b w:val="false"/>
                <w:bCs w:val="false"/>
                <w:color w:val="000000"/>
              </w:rPr>
              <w:t xml:space="preserve">Blocked — factor data missing</w:t>
            </w:r>
          </w:p>
        </w:tc>
        <w:tc>
          <w:tcPr>
            <w:tcW w:type="dxa" w:w="2800"/>
            <w:shd w:fill="F2F2F2" w:val="clear"/>
            <w:tcMar>
              <w:top w:type="dxa" w:w="60"/>
              <w:left w:type="dxa" w:w="100"/>
              <w:bottom w:type="dxa" w:w="60"/>
              <w:right w:type="dxa" w:w="100"/>
            </w:tcMar>
          </w:tcPr>
          <w:p>
            <w:pPr>
              <w:jc w:val="left"/>
            </w:pPr>
            <w:r>
              <w:rPr>
                <w:b w:val="false"/>
                <w:bCs w:val="false"/>
                <w:color w:val="000000"/>
              </w:rPr>
              <w:t xml:space="preserve">Not yet run</w:t>
            </w:r>
          </w:p>
        </w:tc>
        <w:tc>
          <w:tcPr>
            <w:tcW w:type="dxa" w:w="1500"/>
            <w:shd w:fill="F2F2F2" w:val="clear"/>
            <w:tcMar>
              <w:top w:type="dxa" w:w="60"/>
              <w:left w:type="dxa" w:w="100"/>
              <w:bottom w:type="dxa" w:w="60"/>
              <w:right w:type="dxa" w:w="100"/>
            </w:tcMar>
          </w:tcPr>
          <w:p>
            <w:pPr>
              <w:jc w:val="left"/>
            </w:pPr>
            <w:r>
              <w:rPr>
                <w:b/>
                <w:bCs/>
                <w:color w:val="595959"/>
              </w:rPr>
              <w:t xml:space="preserve">Pending</w:t>
            </w:r>
          </w:p>
        </w:tc>
      </w:tr>
      <w:tr>
        <w:tc>
          <w:tcPr>
            <w:tcW w:type="dxa" w:w="3400"/>
            <w:tcMar>
              <w:top w:type="dxa" w:w="60"/>
              <w:left w:type="dxa" w:w="100"/>
              <w:bottom w:type="dxa" w:w="60"/>
              <w:right w:type="dxa" w:w="100"/>
            </w:tcMar>
          </w:tcPr>
          <w:p>
            <w:pPr>
              <w:jc w:val="left"/>
            </w:pPr>
            <w:r>
              <w:rPr>
                <w:b w:val="false"/>
                <w:bCs w:val="false"/>
                <w:color w:val="000000"/>
              </w:rPr>
              <w:t xml:space="preserve">DFA Boomer rotation signal → wealth concentration / equity growth (32 specs)</w:t>
            </w:r>
          </w:p>
        </w:tc>
        <w:tc>
          <w:tcPr>
            <w:tcW w:type="dxa" w:w="1500"/>
            <w:tcMar>
              <w:top w:type="dxa" w:w="60"/>
              <w:left w:type="dxa" w:w="100"/>
              <w:bottom w:type="dxa" w:w="60"/>
              <w:right w:type="dxa" w:w="100"/>
            </w:tcMar>
          </w:tcPr>
          <w:p>
            <w:pPr>
              <w:jc w:val="left"/>
            </w:pPr>
            <w:r>
              <w:rPr>
                <w:b w:val="false"/>
                <w:bCs w:val="false"/>
                <w:color w:val="000000"/>
              </w:rPr>
              <w:t xml:space="preserve">Real (Fed DFA)</w:t>
            </w:r>
          </w:p>
        </w:tc>
        <w:tc>
          <w:tcPr>
            <w:tcW w:type="dxa" w:w="2800"/>
            <w:tcMar>
              <w:top w:type="dxa" w:w="60"/>
              <w:left w:type="dxa" w:w="100"/>
              <w:bottom w:type="dxa" w:w="60"/>
              <w:right w:type="dxa" w:w="100"/>
            </w:tcMar>
          </w:tcPr>
          <w:p>
            <w:pPr>
              <w:jc w:val="left"/>
            </w:pPr>
            <w:r>
              <w:rPr>
                <w:b w:val="false"/>
                <w:bCs w:val="false"/>
                <w:color w:val="000000"/>
              </w:rPr>
              <w:t xml:space="preserve">3/32 significant — consistent with chance</w:t>
            </w:r>
          </w:p>
        </w:tc>
        <w:tc>
          <w:tcPr>
            <w:tcW w:type="dxa" w:w="1500"/>
            <w:tcMar>
              <w:top w:type="dxa" w:w="60"/>
              <w:left w:type="dxa" w:w="100"/>
              <w:bottom w:type="dxa" w:w="60"/>
              <w:right w:type="dxa" w:w="100"/>
            </w:tcMar>
          </w:tcPr>
          <w:p>
            <w:pPr>
              <w:jc w:val="left"/>
            </w:pPr>
            <w:r>
              <w:rPr>
                <w:b/>
                <w:bCs/>
                <w:color w:val="A3231F"/>
              </w:rPr>
              <w:t xml:space="preserve">No alpha</w:t>
            </w:r>
          </w:p>
        </w:tc>
      </w:tr>
      <w:tr>
        <w:tc>
          <w:tcPr>
            <w:tcW w:type="dxa" w:w="3400"/>
            <w:shd w:fill="F2F2F2" w:val="clear"/>
            <w:tcMar>
              <w:top w:type="dxa" w:w="60"/>
              <w:left w:type="dxa" w:w="100"/>
              <w:bottom w:type="dxa" w:w="60"/>
              <w:right w:type="dxa" w:w="100"/>
            </w:tcMar>
          </w:tcPr>
          <w:p>
            <w:pPr>
              <w:jc w:val="left"/>
            </w:pPr>
            <w:r>
              <w:rPr>
                <w:b w:val="false"/>
                <w:bCs w:val="false"/>
                <w:color w:val="000000"/>
              </w:rPr>
              <w:t xml:space="preserve">BEDI → XLV−XLY forward return (sector rotation)</w:t>
            </w:r>
          </w:p>
        </w:tc>
        <w:tc>
          <w:tcPr>
            <w:tcW w:type="dxa" w:w="1500"/>
            <w:shd w:fill="F2F2F2" w:val="clear"/>
            <w:tcMar>
              <w:top w:type="dxa" w:w="60"/>
              <w:left w:type="dxa" w:w="100"/>
              <w:bottom w:type="dxa" w:w="60"/>
              <w:right w:type="dxa" w:w="100"/>
            </w:tcMar>
          </w:tcPr>
          <w:p>
            <w:pPr>
              <w:jc w:val="left"/>
            </w:pPr>
            <w:r>
              <w:rPr>
                <w:b w:val="false"/>
                <w:bCs w:val="false"/>
                <w:color w:val="000000"/>
              </w:rPr>
              <w:t xml:space="preserve">Real (CRSP/WRDS)</w:t>
            </w:r>
          </w:p>
        </w:tc>
        <w:tc>
          <w:tcPr>
            <w:tcW w:type="dxa" w:w="2800"/>
            <w:shd w:fill="F2F2F2" w:val="clear"/>
            <w:tcMar>
              <w:top w:type="dxa" w:w="60"/>
              <w:left w:type="dxa" w:w="100"/>
              <w:bottom w:type="dxa" w:w="60"/>
              <w:right w:type="dxa" w:w="100"/>
            </w:tcMar>
          </w:tcPr>
          <w:p>
            <w:pPr>
              <w:jc w:val="left"/>
            </w:pPr>
            <w:r>
              <w:rPr>
                <w:b w:val="false"/>
                <w:bCs w:val="false"/>
                <w:color w:val="000000"/>
              </w:rPr>
              <w:t xml:space="preserve">p = 0.166 (1Q), 0.308 (2Q)</w:t>
            </w:r>
          </w:p>
        </w:tc>
        <w:tc>
          <w:tcPr>
            <w:tcW w:type="dxa" w:w="1500"/>
            <w:shd w:fill="F2F2F2" w:val="clear"/>
            <w:tcMar>
              <w:top w:type="dxa" w:w="60"/>
              <w:left w:type="dxa" w:w="100"/>
              <w:bottom w:type="dxa" w:w="60"/>
              <w:right w:type="dxa" w:w="100"/>
            </w:tcMar>
          </w:tcPr>
          <w:p>
            <w:pPr>
              <w:jc w:val="left"/>
            </w:pPr>
            <w:r>
              <w:rPr>
                <w:b/>
                <w:bCs/>
                <w:color w:val="A3231F"/>
              </w:rPr>
              <w:t xml:space="preserve">No alpha</w:t>
            </w:r>
          </w:p>
        </w:tc>
      </w:tr>
      <w:tr>
        <w:tc>
          <w:tcPr>
            <w:tcW w:type="dxa" w:w="3400"/>
            <w:tcMar>
              <w:top w:type="dxa" w:w="60"/>
              <w:left w:type="dxa" w:w="100"/>
              <w:bottom w:type="dxa" w:w="60"/>
              <w:right w:type="dxa" w:w="100"/>
            </w:tcMar>
          </w:tcPr>
          <w:p>
            <w:pPr>
              <w:jc w:val="left"/>
            </w:pPr>
            <w:r>
              <w:rPr>
                <w:b w:val="false"/>
                <w:bCs w:val="false"/>
                <w:color w:val="000000"/>
              </w:rPr>
              <w:t xml:space="preserve">BEDI → LQD−SPY forward return (bonds vs. stocks)</w:t>
            </w:r>
          </w:p>
        </w:tc>
        <w:tc>
          <w:tcPr>
            <w:tcW w:type="dxa" w:w="1500"/>
            <w:tcMar>
              <w:top w:type="dxa" w:w="60"/>
              <w:left w:type="dxa" w:w="100"/>
              <w:bottom w:type="dxa" w:w="60"/>
              <w:right w:type="dxa" w:w="100"/>
            </w:tcMar>
          </w:tcPr>
          <w:p>
            <w:pPr>
              <w:jc w:val="left"/>
            </w:pPr>
            <w:r>
              <w:rPr>
                <w:b w:val="false"/>
                <w:bCs w:val="false"/>
                <w:color w:val="000000"/>
              </w:rPr>
              <w:t xml:space="preserve">Real (CRSP/WRDS)</w:t>
            </w:r>
          </w:p>
        </w:tc>
        <w:tc>
          <w:tcPr>
            <w:tcW w:type="dxa" w:w="2800"/>
            <w:tcMar>
              <w:top w:type="dxa" w:w="60"/>
              <w:left w:type="dxa" w:w="100"/>
              <w:bottom w:type="dxa" w:w="60"/>
              <w:right w:type="dxa" w:w="100"/>
            </w:tcMar>
          </w:tcPr>
          <w:p>
            <w:pPr>
              <w:jc w:val="left"/>
            </w:pPr>
            <w:r>
              <w:rPr>
                <w:b w:val="false"/>
                <w:bCs w:val="false"/>
                <w:color w:val="000000"/>
              </w:rPr>
              <w:t xml:space="preserve">p = 0.012 (1Q), 0.048 (2Q); survives outlier check</w:t>
            </w:r>
          </w:p>
        </w:tc>
        <w:tc>
          <w:tcPr>
            <w:tcW w:type="dxa" w:w="1500"/>
            <w:tcMar>
              <w:top w:type="dxa" w:w="60"/>
              <w:left w:type="dxa" w:w="100"/>
              <w:bottom w:type="dxa" w:w="60"/>
              <w:right w:type="dxa" w:w="100"/>
            </w:tcMar>
          </w:tcPr>
          <w:p>
            <w:pPr>
              <w:jc w:val="left"/>
            </w:pPr>
            <w:r>
              <w:rPr>
                <w:b/>
                <w:bCs/>
                <w:color w:val="1B6B3A"/>
              </w:rPr>
              <w:t xml:space="preserve">Real signal</w:t>
            </w:r>
          </w:p>
        </w:tc>
      </w:tr>
      <w:tr>
        <w:tc>
          <w:tcPr>
            <w:tcW w:type="dxa" w:w="3400"/>
            <w:shd w:fill="F2F2F2" w:val="clear"/>
            <w:tcMar>
              <w:top w:type="dxa" w:w="60"/>
              <w:left w:type="dxa" w:w="100"/>
              <w:bottom w:type="dxa" w:w="60"/>
              <w:right w:type="dxa" w:w="100"/>
            </w:tcMar>
          </w:tcPr>
          <w:p>
            <w:pPr>
              <w:jc w:val="left"/>
            </w:pPr>
            <w:r>
              <w:rPr>
                <w:b w:val="false"/>
                <w:bCs w:val="false"/>
                <w:color w:val="000000"/>
              </w:rPr>
              <w:t xml:space="preserve">K-Index → S&amp;P 500 return</w:t>
            </w:r>
          </w:p>
        </w:tc>
        <w:tc>
          <w:tcPr>
            <w:tcW w:type="dxa" w:w="1500"/>
            <w:shd w:fill="F2F2F2" w:val="clear"/>
            <w:tcMar>
              <w:top w:type="dxa" w:w="60"/>
              <w:left w:type="dxa" w:w="100"/>
              <w:bottom w:type="dxa" w:w="60"/>
              <w:right w:type="dxa" w:w="100"/>
            </w:tcMar>
          </w:tcPr>
          <w:p>
            <w:pPr>
              <w:jc w:val="left"/>
            </w:pPr>
            <w:r>
              <w:rPr>
                <w:b w:val="false"/>
                <w:bCs w:val="false"/>
                <w:color w:val="000000"/>
              </w:rPr>
              <w:t xml:space="preserve">Real (CRSP/WRDS)</w:t>
            </w:r>
          </w:p>
        </w:tc>
        <w:tc>
          <w:tcPr>
            <w:tcW w:type="dxa" w:w="2800"/>
            <w:shd w:fill="F2F2F2" w:val="clear"/>
            <w:tcMar>
              <w:top w:type="dxa" w:w="60"/>
              <w:left w:type="dxa" w:w="100"/>
              <w:bottom w:type="dxa" w:w="60"/>
              <w:right w:type="dxa" w:w="100"/>
            </w:tcMar>
          </w:tcPr>
          <w:p>
            <w:pPr>
              <w:jc w:val="left"/>
            </w:pPr>
            <w:r>
              <w:rPr>
                <w:b w:val="false"/>
                <w:bCs w:val="false"/>
                <w:color w:val="000000"/>
              </w:rPr>
              <w:t xml:space="preserve">Looks significant combined; null once separated</w:t>
            </w:r>
          </w:p>
        </w:tc>
        <w:tc>
          <w:tcPr>
            <w:tcW w:type="dxa" w:w="1500"/>
            <w:shd w:fill="F2F2F2" w:val="clear"/>
            <w:tcMar>
              <w:top w:type="dxa" w:w="60"/>
              <w:left w:type="dxa" w:w="100"/>
              <w:bottom w:type="dxa" w:w="60"/>
              <w:right w:type="dxa" w:w="100"/>
            </w:tcMar>
          </w:tcPr>
          <w:p>
            <w:pPr>
              <w:jc w:val="left"/>
            </w:pPr>
            <w:r>
              <w:rPr>
                <w:b/>
                <w:bCs/>
                <w:color w:val="A3231F"/>
              </w:rPr>
              <w:t xml:space="preserve">No alpha</w:t>
            </w:r>
          </w:p>
        </w:tc>
      </w:tr>
      <w:tr>
        <w:tc>
          <w:tcPr>
            <w:tcW w:type="dxa" w:w="3400"/>
            <w:tcMar>
              <w:top w:type="dxa" w:w="60"/>
              <w:left w:type="dxa" w:w="100"/>
              <w:bottom w:type="dxa" w:w="60"/>
              <w:right w:type="dxa" w:w="100"/>
            </w:tcMar>
          </w:tcPr>
          <w:p>
            <w:pPr>
              <w:jc w:val="left"/>
            </w:pPr>
            <w:r>
              <w:rPr>
                <w:b w:val="false"/>
                <w:bCs w:val="false"/>
                <w:color w:val="000000"/>
              </w:rPr>
              <w:t xml:space="preserve">K-Index → 10-year Treasury return</w:t>
            </w:r>
          </w:p>
        </w:tc>
        <w:tc>
          <w:tcPr>
            <w:tcW w:type="dxa" w:w="1500"/>
            <w:tcMar>
              <w:top w:type="dxa" w:w="60"/>
              <w:left w:type="dxa" w:w="100"/>
              <w:bottom w:type="dxa" w:w="60"/>
              <w:right w:type="dxa" w:w="100"/>
            </w:tcMar>
          </w:tcPr>
          <w:p>
            <w:pPr>
              <w:jc w:val="left"/>
            </w:pPr>
            <w:r>
              <w:rPr>
                <w:b w:val="false"/>
                <w:bCs w:val="false"/>
                <w:color w:val="000000"/>
              </w:rPr>
              <w:t xml:space="preserve">Real (CRSP/WRDS)</w:t>
            </w:r>
          </w:p>
        </w:tc>
        <w:tc>
          <w:tcPr>
            <w:tcW w:type="dxa" w:w="2800"/>
            <w:tcMar>
              <w:top w:type="dxa" w:w="60"/>
              <w:left w:type="dxa" w:w="100"/>
              <w:bottom w:type="dxa" w:w="60"/>
              <w:right w:type="dxa" w:w="100"/>
            </w:tcMar>
          </w:tcPr>
          <w:p>
            <w:pPr>
              <w:jc w:val="left"/>
            </w:pPr>
            <w:r>
              <w:rPr>
                <w:b w:val="false"/>
                <w:bCs w:val="false"/>
                <w:color w:val="000000"/>
              </w:rPr>
              <w:t xml:space="preserve">Significant at every lag length (1–4)</w:t>
            </w:r>
          </w:p>
        </w:tc>
        <w:tc>
          <w:tcPr>
            <w:tcW w:type="dxa" w:w="1500"/>
            <w:tcMar>
              <w:top w:type="dxa" w:w="60"/>
              <w:left w:type="dxa" w:w="100"/>
              <w:bottom w:type="dxa" w:w="60"/>
              <w:right w:type="dxa" w:w="100"/>
            </w:tcMar>
          </w:tcPr>
          <w:p>
            <w:pPr>
              <w:jc w:val="left"/>
            </w:pPr>
            <w:r>
              <w:rPr>
                <w:b/>
                <w:bCs/>
                <w:color w:val="1B6B3A"/>
              </w:rPr>
              <w:t xml:space="preserve">Real signal</w:t>
            </w:r>
          </w:p>
        </w:tc>
      </w:tr>
      <w:tr>
        <w:tc>
          <w:tcPr>
            <w:tcW w:type="dxa" w:w="3400"/>
            <w:shd w:fill="F2F2F2" w:val="clear"/>
            <w:tcMar>
              <w:top w:type="dxa" w:w="60"/>
              <w:left w:type="dxa" w:w="100"/>
              <w:bottom w:type="dxa" w:w="60"/>
              <w:right w:type="dxa" w:w="100"/>
            </w:tcMar>
          </w:tcPr>
          <w:p>
            <w:pPr>
              <w:jc w:val="left"/>
            </w:pPr>
            <w:r>
              <w:rPr>
                <w:b w:val="false"/>
                <w:bCs w:val="false"/>
                <w:color w:val="000000"/>
              </w:rPr>
              <w:t xml:space="preserve">K-Index → USD/JPY</w:t>
            </w:r>
          </w:p>
        </w:tc>
        <w:tc>
          <w:tcPr>
            <w:tcW w:type="dxa" w:w="1500"/>
            <w:shd w:fill="F2F2F2" w:val="clear"/>
            <w:tcMar>
              <w:top w:type="dxa" w:w="60"/>
              <w:left w:type="dxa" w:w="100"/>
              <w:bottom w:type="dxa" w:w="60"/>
              <w:right w:type="dxa" w:w="100"/>
            </w:tcMar>
          </w:tcPr>
          <w:p>
            <w:pPr>
              <w:jc w:val="left"/>
            </w:pPr>
            <w:r>
              <w:rPr>
                <w:b w:val="false"/>
                <w:bCs w:val="false"/>
                <w:color w:val="000000"/>
              </w:rPr>
              <w:t xml:space="preserve">Real (CRSP/WRDS)</w:t>
            </w:r>
          </w:p>
        </w:tc>
        <w:tc>
          <w:tcPr>
            <w:tcW w:type="dxa" w:w="2800"/>
            <w:shd w:fill="F2F2F2" w:val="clear"/>
            <w:tcMar>
              <w:top w:type="dxa" w:w="60"/>
              <w:left w:type="dxa" w:w="100"/>
              <w:bottom w:type="dxa" w:w="60"/>
              <w:right w:type="dxa" w:w="100"/>
            </w:tcMar>
          </w:tcPr>
          <w:p>
            <w:pPr>
              <w:jc w:val="left"/>
            </w:pPr>
            <w:r>
              <w:rPr>
                <w:b w:val="false"/>
                <w:bCs w:val="false"/>
                <w:color w:val="000000"/>
              </w:rPr>
              <w:t xml:space="preserve">Only significant at 3–4 lags, not 1–2</w:t>
            </w:r>
          </w:p>
        </w:tc>
        <w:tc>
          <w:tcPr>
            <w:tcW w:type="dxa" w:w="1500"/>
            <w:shd w:fill="F2F2F2" w:val="clear"/>
            <w:tcMar>
              <w:top w:type="dxa" w:w="60"/>
              <w:left w:type="dxa" w:w="100"/>
              <w:bottom w:type="dxa" w:w="60"/>
              <w:right w:type="dxa" w:w="100"/>
            </w:tcMar>
          </w:tcPr>
          <w:p>
            <w:pPr>
              <w:jc w:val="left"/>
            </w:pPr>
            <w:r>
              <w:rPr>
                <w:b/>
                <w:bCs/>
                <w:color w:val="9A6B00"/>
              </w:rPr>
              <w:t xml:space="preserve">Not robust</w:t>
            </w:r>
          </w:p>
        </w:tc>
      </w:tr>
      <w:tr>
        <w:tc>
          <w:tcPr>
            <w:tcW w:type="dxa" w:w="3400"/>
            <w:tcMar>
              <w:top w:type="dxa" w:w="60"/>
              <w:left w:type="dxa" w:w="100"/>
              <w:bottom w:type="dxa" w:w="60"/>
              <w:right w:type="dxa" w:w="100"/>
            </w:tcMar>
          </w:tcPr>
          <w:p>
            <w:pPr>
              <w:jc w:val="left"/>
            </w:pPr>
            <w:r>
              <w:rPr>
                <w:b w:val="false"/>
                <w:bCs w:val="false"/>
                <w:color w:val="000000"/>
              </w:rPr>
              <w:t xml:space="preserve">K-Index → USD/EUR, USD/GBP, Gold</w:t>
            </w:r>
          </w:p>
        </w:tc>
        <w:tc>
          <w:tcPr>
            <w:tcW w:type="dxa" w:w="1500"/>
            <w:tcMar>
              <w:top w:type="dxa" w:w="60"/>
              <w:left w:type="dxa" w:w="100"/>
              <w:bottom w:type="dxa" w:w="60"/>
              <w:right w:type="dxa" w:w="100"/>
            </w:tcMar>
          </w:tcPr>
          <w:p>
            <w:pPr>
              <w:jc w:val="left"/>
            </w:pPr>
            <w:r>
              <w:rPr>
                <w:b w:val="false"/>
                <w:bCs w:val="false"/>
                <w:color w:val="000000"/>
              </w:rPr>
              <w:t xml:space="preserve">Real (CRSP/WRDS)</w:t>
            </w:r>
          </w:p>
        </w:tc>
        <w:tc>
          <w:tcPr>
            <w:tcW w:type="dxa" w:w="2800"/>
            <w:tcMar>
              <w:top w:type="dxa" w:w="60"/>
              <w:left w:type="dxa" w:w="100"/>
              <w:bottom w:type="dxa" w:w="60"/>
              <w:right w:type="dxa" w:w="100"/>
            </w:tcMar>
          </w:tcPr>
          <w:p>
            <w:pPr>
              <w:jc w:val="left"/>
            </w:pPr>
            <w:r>
              <w:rPr>
                <w:b w:val="false"/>
                <w:bCs w:val="false"/>
                <w:color w:val="000000"/>
              </w:rPr>
              <w:t xml:space="preserve">Null at every lag tested</w:t>
            </w:r>
          </w:p>
        </w:tc>
        <w:tc>
          <w:tcPr>
            <w:tcW w:type="dxa" w:w="1500"/>
            <w:tcMar>
              <w:top w:type="dxa" w:w="60"/>
              <w:left w:type="dxa" w:w="100"/>
              <w:bottom w:type="dxa" w:w="60"/>
              <w:right w:type="dxa" w:w="100"/>
            </w:tcMar>
          </w:tcPr>
          <w:p>
            <w:pPr>
              <w:jc w:val="left"/>
            </w:pPr>
            <w:r>
              <w:rPr>
                <w:b/>
                <w:bCs/>
                <w:color w:val="A3231F"/>
              </w:rPr>
              <w:t xml:space="preserve">No alpha</w:t>
            </w:r>
          </w:p>
        </w:tc>
      </w:tr>
      <w:tr>
        <w:tc>
          <w:tcPr>
            <w:tcW w:type="dxa" w:w="3400"/>
            <w:shd w:fill="F2F2F2" w:val="clear"/>
            <w:tcMar>
              <w:top w:type="dxa" w:w="60"/>
              <w:left w:type="dxa" w:w="100"/>
              <w:bottom w:type="dxa" w:w="60"/>
              <w:right w:type="dxa" w:w="100"/>
            </w:tcMar>
          </w:tcPr>
          <w:p>
            <w:pPr>
              <w:jc w:val="left"/>
            </w:pPr>
            <w:r>
              <w:rPr>
                <w:b w:val="false"/>
                <w:bCs w:val="false"/>
                <w:color w:val="000000"/>
              </w:rPr>
              <w:t xml:space="preserve">K-Index → consumer credit stress (Bottom 50% leverage)</w:t>
            </w:r>
          </w:p>
        </w:tc>
        <w:tc>
          <w:tcPr>
            <w:tcW w:type="dxa" w:w="1500"/>
            <w:shd w:fill="F2F2F2" w:val="clear"/>
            <w:tcMar>
              <w:top w:type="dxa" w:w="60"/>
              <w:left w:type="dxa" w:w="100"/>
              <w:bottom w:type="dxa" w:w="60"/>
              <w:right w:type="dxa" w:w="100"/>
            </w:tcMar>
          </w:tcPr>
          <w:p>
            <w:pPr>
              <w:jc w:val="left"/>
            </w:pPr>
            <w:r>
              <w:rPr>
                <w:b w:val="false"/>
                <w:bCs w:val="false"/>
                <w:color w:val="000000"/>
              </w:rPr>
              <w:t xml:space="preserve">Real (Fed DFA)</w:t>
            </w:r>
          </w:p>
        </w:tc>
        <w:tc>
          <w:tcPr>
            <w:tcW w:type="dxa" w:w="2800"/>
            <w:shd w:fill="F2F2F2" w:val="clear"/>
            <w:tcMar>
              <w:top w:type="dxa" w:w="60"/>
              <w:left w:type="dxa" w:w="100"/>
              <w:bottom w:type="dxa" w:w="60"/>
              <w:right w:type="dxa" w:w="100"/>
            </w:tcMar>
          </w:tcPr>
          <w:p>
            <w:pPr>
              <w:jc w:val="left"/>
            </w:pPr>
            <w:r>
              <w:rPr>
                <w:b w:val="false"/>
                <w:bCs w:val="false"/>
                <w:color w:val="000000"/>
              </w:rPr>
              <w:t xml:space="preserve">p = 0.062 (contemp.), 0.067 (lagged)</w:t>
            </w:r>
          </w:p>
        </w:tc>
        <w:tc>
          <w:tcPr>
            <w:tcW w:type="dxa" w:w="1500"/>
            <w:shd w:fill="F2F2F2" w:val="clear"/>
            <w:tcMar>
              <w:top w:type="dxa" w:w="60"/>
              <w:left w:type="dxa" w:w="100"/>
              <w:bottom w:type="dxa" w:w="60"/>
              <w:right w:type="dxa" w:w="100"/>
            </w:tcMar>
          </w:tcPr>
          <w:p>
            <w:pPr>
              <w:jc w:val="left"/>
            </w:pPr>
            <w:r>
              <w:rPr>
                <w:b/>
                <w:bCs/>
                <w:color w:val="9A6B00"/>
              </w:rPr>
              <w:t xml:space="preserve">Marginal</w:t>
            </w:r>
          </w:p>
        </w:tc>
      </w:tr>
      <w:tr>
        <w:tc>
          <w:tcPr>
            <w:tcW w:type="dxa" w:w="3400"/>
            <w:tcMar>
              <w:top w:type="dxa" w:w="60"/>
              <w:left w:type="dxa" w:w="100"/>
              <w:bottom w:type="dxa" w:w="60"/>
              <w:right w:type="dxa" w:w="100"/>
            </w:tcMar>
          </w:tcPr>
          <w:p>
            <w:pPr>
              <w:jc w:val="left"/>
            </w:pPr>
            <w:r>
              <w:rPr>
                <w:b w:val="false"/>
                <w:bCs w:val="false"/>
                <w:color w:val="000000"/>
              </w:rPr>
              <w:t xml:space="preserve">K-Index → equity-growth proxy</w:t>
            </w:r>
          </w:p>
        </w:tc>
        <w:tc>
          <w:tcPr>
            <w:tcW w:type="dxa" w:w="1500"/>
            <w:tcMar>
              <w:top w:type="dxa" w:w="60"/>
              <w:left w:type="dxa" w:w="100"/>
              <w:bottom w:type="dxa" w:w="60"/>
              <w:right w:type="dxa" w:w="100"/>
            </w:tcMar>
          </w:tcPr>
          <w:p>
            <w:pPr>
              <w:jc w:val="left"/>
            </w:pPr>
            <w:r>
              <w:rPr>
                <w:b w:val="false"/>
                <w:bCs w:val="false"/>
                <w:color w:val="000000"/>
              </w:rPr>
              <w:t xml:space="preserve">Real (Fed DFA)</w:t>
            </w:r>
          </w:p>
        </w:tc>
        <w:tc>
          <w:tcPr>
            <w:tcW w:type="dxa" w:w="2800"/>
            <w:tcMar>
              <w:top w:type="dxa" w:w="60"/>
              <w:left w:type="dxa" w:w="100"/>
              <w:bottom w:type="dxa" w:w="60"/>
              <w:right w:type="dxa" w:w="100"/>
            </w:tcMar>
          </w:tcPr>
          <w:p>
            <w:pPr>
              <w:jc w:val="left"/>
            </w:pPr>
            <w:r>
              <w:rPr>
                <w:b w:val="false"/>
                <w:bCs w:val="false"/>
                <w:color w:val="000000"/>
              </w:rPr>
              <w:t xml:space="preserve">p = 0.102 (contemp.), 0.708 (lagged)</w:t>
            </w:r>
          </w:p>
        </w:tc>
        <w:tc>
          <w:tcPr>
            <w:tcW w:type="dxa" w:w="1500"/>
            <w:tcMar>
              <w:top w:type="dxa" w:w="60"/>
              <w:left w:type="dxa" w:w="100"/>
              <w:bottom w:type="dxa" w:w="60"/>
              <w:right w:type="dxa" w:w="100"/>
            </w:tcMar>
          </w:tcPr>
          <w:p>
            <w:pPr>
              <w:jc w:val="left"/>
            </w:pPr>
            <w:r>
              <w:rPr>
                <w:b/>
                <w:bCs/>
                <w:color w:val="A3231F"/>
              </w:rPr>
              <w:t xml:space="preserve">No alpha</w:t>
            </w:r>
          </w:p>
        </w:tc>
      </w:tr>
      <w:tr>
        <w:tc>
          <w:tcPr>
            <w:tcW w:type="dxa" w:w="3400"/>
            <w:shd w:fill="F2F2F2" w:val="clear"/>
            <w:tcMar>
              <w:top w:type="dxa" w:w="60"/>
              <w:left w:type="dxa" w:w="100"/>
              <w:bottom w:type="dxa" w:w="60"/>
              <w:right w:type="dxa" w:w="100"/>
            </w:tcMar>
          </w:tcPr>
          <w:p>
            <w:pPr>
              <w:jc w:val="left"/>
            </w:pPr>
            <w:r>
              <w:rPr>
                <w:b w:val="false"/>
                <w:bCs w:val="false"/>
                <w:color w:val="000000"/>
              </w:rPr>
              <w:t xml:space="preserve">K-Index → unemployment, GDP, industrial production</w:t>
            </w:r>
          </w:p>
        </w:tc>
        <w:tc>
          <w:tcPr>
            <w:tcW w:type="dxa" w:w="1500"/>
            <w:shd w:fill="F2F2F2" w:val="clear"/>
            <w:tcMar>
              <w:top w:type="dxa" w:w="60"/>
              <w:left w:type="dxa" w:w="100"/>
              <w:bottom w:type="dxa" w:w="60"/>
              <w:right w:type="dxa" w:w="100"/>
            </w:tcMar>
          </w:tcPr>
          <w:p>
            <w:pPr>
              <w:jc w:val="left"/>
            </w:pPr>
            <w:r>
              <w:rPr>
                <w:b w:val="false"/>
                <w:bCs w:val="false"/>
                <w:color w:val="000000"/>
              </w:rPr>
              <w:t xml:space="preserve">Blocked — data missing</w:t>
            </w:r>
          </w:p>
        </w:tc>
        <w:tc>
          <w:tcPr>
            <w:tcW w:type="dxa" w:w="2800"/>
            <w:shd w:fill="F2F2F2" w:val="clear"/>
            <w:tcMar>
              <w:top w:type="dxa" w:w="60"/>
              <w:left w:type="dxa" w:w="100"/>
              <w:bottom w:type="dxa" w:w="60"/>
              <w:right w:type="dxa" w:w="100"/>
            </w:tcMar>
          </w:tcPr>
          <w:p>
            <w:pPr>
              <w:jc w:val="left"/>
            </w:pPr>
            <w:r>
              <w:rPr>
                <w:b w:val="false"/>
                <w:bCs w:val="false"/>
                <w:color w:val="000000"/>
              </w:rPr>
              <w:t xml:space="preserve">Not yet run</w:t>
            </w:r>
          </w:p>
        </w:tc>
        <w:tc>
          <w:tcPr>
            <w:tcW w:type="dxa" w:w="1500"/>
            <w:shd w:fill="F2F2F2" w:val="clear"/>
            <w:tcMar>
              <w:top w:type="dxa" w:w="60"/>
              <w:left w:type="dxa" w:w="100"/>
              <w:bottom w:type="dxa" w:w="60"/>
              <w:right w:type="dxa" w:w="100"/>
            </w:tcMar>
          </w:tcPr>
          <w:p>
            <w:pPr>
              <w:jc w:val="left"/>
            </w:pPr>
            <w:r>
              <w:rPr>
                <w:b/>
                <w:bCs/>
                <w:color w:val="595959"/>
              </w:rPr>
              <w:t xml:space="preserve">Pending</w:t>
            </w:r>
          </w:p>
        </w:tc>
      </w:tr>
    </w:tbl>
    <w:p>
      <w:pPr>
        <w:spacing w:after="200"/>
      </w:pPr>
    </w:p>
    <w:p>
      <w:pPr>
        <w:spacing w:after="160"/>
      </w:pPr>
      <w:r>
        <w:rPr>
          <w:i/>
          <w:iCs/>
          <w:color w:val="595959"/>
          <w:sz w:val="20"/>
          <w:szCs w:val="20"/>
        </w:rPr>
        <w:t xml:space="preserve">Of 14 tests: 2 real signals, 9 nulls, 1 not-robust (fragile), 2 pending real data. No test with a positive result was accepted at face value — both real signals survived a robustness check (lag-length sensitivity or outlier removal) that killed every other initially-promising result.</w:t>
      </w:r>
    </w:p>
    <w:p>
      <w:r>
        <w:br w:type="page"/>
      </w:r>
    </w:p>
    <w:p>
      <w:pPr>
        <w:pStyle w:val="Heading1"/>
        <w:spacing w:after="120" w:before="280"/>
      </w:pPr>
      <w:r>
        <w:t xml:space="preserve">Part 1: Pillar 2 — Demographic Ownership Tilt</w:t>
      </w:r>
    </w:p>
    <w:p>
      <w:pPr>
        <w:spacing w:after="160"/>
      </w:pPr>
      <w:r>
        <w:t xml:space="preserve">Thesis: Baby Boomers hold ~51% of U.S. household wealth and ~70% of public equities against a ~20% population share, and are entering the retirement distribution phase. Lifecycle-investing theory predicts a rotation from growth/high-duration equities toward income-generating, defensive assets. If real and not yet priced in, this should show up as a persistent return differential between a defensive/income basket (XLV, XLU, XLP, VYM) and a growth basket (XLK, XLY, IWO).</w:t>
      </w:r>
    </w:p>
    <w:p>
      <w:pPr>
        <w:pStyle w:val="Heading2"/>
        <w:spacing w:after="120" w:before="280"/>
      </w:pPr>
      <w:r>
        <w:t xml:space="preserve">1.1 — The ETF long/short backtest (real data, 1999–2025)</w:t>
      </w:r>
    </w:p>
    <w:p>
      <w:pPr>
        <w:spacing w:after="160"/>
      </w:pPr>
      <w:r>
        <w:t xml:space="preserve">Daily total returns (dividends included, splits adjusted) for all 9 tickers plus the S&amp;P 500 were pulled from CRSP via WRDS, back to each ETF's inception (1998–2006 depending on the ticker).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800"/>
      </w:tblGrid>
      <w:tr>
        <w:trPr>
          <w:tblHeader/>
        </w:trPr>
        <w:tc>
          <w:tcPr>
            <w:tcW w:type="dxa" w:w="4200"/>
            <w:shd w:fill="1F3B57" w:val="clear"/>
            <w:tcMar>
              <w:top w:type="dxa" w:w="60"/>
              <w:left w:type="dxa" w:w="100"/>
              <w:bottom w:type="dxa" w:w="60"/>
              <w:right w:type="dxa" w:w="100"/>
            </w:tcMar>
          </w:tcPr>
          <w:p>
            <w:pPr>
              <w:jc w:val="left"/>
            </w:pPr>
            <w:r>
              <w:rPr>
                <w:b/>
                <w:bCs/>
                <w:color w:val="FFFFFF"/>
              </w:rPr>
              <w:t xml:space="preserve">Leg</w:t>
            </w:r>
          </w:p>
        </w:tc>
        <w:tc>
          <w:tcPr>
            <w:tcW w:type="dxa" w:w="1600"/>
            <w:shd w:fill="1F3B57" w:val="clear"/>
            <w:tcMar>
              <w:top w:type="dxa" w:w="60"/>
              <w:left w:type="dxa" w:w="100"/>
              <w:bottom w:type="dxa" w:w="60"/>
              <w:right w:type="dxa" w:w="100"/>
            </w:tcMar>
          </w:tcPr>
          <w:p>
            <w:pPr>
              <w:jc w:val="left"/>
            </w:pPr>
            <w:r>
              <w:rPr>
                <w:b/>
                <w:bCs/>
                <w:color w:val="FFFFFF"/>
              </w:rPr>
              <w:t xml:space="preserve">CAGR</w:t>
            </w:r>
          </w:p>
        </w:tc>
        <w:tc>
          <w:tcPr>
            <w:tcW w:type="dxa" w:w="1600"/>
            <w:shd w:fill="1F3B57" w:val="clear"/>
            <w:tcMar>
              <w:top w:type="dxa" w:w="60"/>
              <w:left w:type="dxa" w:w="100"/>
              <w:bottom w:type="dxa" w:w="60"/>
              <w:right w:type="dxa" w:w="100"/>
            </w:tcMar>
          </w:tcPr>
          <w:p>
            <w:pPr>
              <w:jc w:val="left"/>
            </w:pPr>
            <w:r>
              <w:rPr>
                <w:b/>
                <w:bCs/>
                <w:color w:val="FFFFFF"/>
              </w:rPr>
              <w:t xml:space="preserve">Sharpe</w:t>
            </w:r>
          </w:p>
        </w:tc>
        <w:tc>
          <w:tcPr>
            <w:tcW w:type="dxa" w:w="1800"/>
            <w:shd w:fill="1F3B57" w:val="clear"/>
            <w:tcMar>
              <w:top w:type="dxa" w:w="60"/>
              <w:left w:type="dxa" w:w="100"/>
              <w:bottom w:type="dxa" w:w="60"/>
              <w:right w:type="dxa" w:w="100"/>
            </w:tcMar>
          </w:tcPr>
          <w:p>
            <w:pPr>
              <w:jc w:val="left"/>
            </w:pPr>
            <w:r>
              <w:rPr>
                <w:b/>
                <w:bCs/>
                <w:color w:val="FFFFFF"/>
              </w:rPr>
              <w:t xml:space="preserve">Max Drawdown</w:t>
            </w:r>
          </w:p>
        </w:tc>
      </w:tr>
      <w:tr>
        <w:tc>
          <w:tcPr>
            <w:tcW w:type="dxa" w:w="4200"/>
            <w:tcMar>
              <w:top w:type="dxa" w:w="60"/>
              <w:left w:type="dxa" w:w="100"/>
              <w:bottom w:type="dxa" w:w="60"/>
              <w:right w:type="dxa" w:w="100"/>
            </w:tcMar>
          </w:tcPr>
          <w:p>
            <w:pPr>
              <w:jc w:val="left"/>
            </w:pPr>
            <w:r>
              <w:rPr>
                <w:b w:val="false"/>
                <w:bCs w:val="false"/>
                <w:color w:val="000000"/>
              </w:rPr>
              <w:t xml:space="preserve">Long (healthcare/utilities/staples/high-div)</w:t>
            </w:r>
          </w:p>
        </w:tc>
        <w:tc>
          <w:tcPr>
            <w:tcW w:type="dxa" w:w="1600"/>
            <w:tcMar>
              <w:top w:type="dxa" w:w="60"/>
              <w:left w:type="dxa" w:w="100"/>
              <w:bottom w:type="dxa" w:w="60"/>
              <w:right w:type="dxa" w:w="100"/>
            </w:tcMar>
          </w:tcPr>
          <w:p>
            <w:pPr>
              <w:jc w:val="left"/>
            </w:pPr>
            <w:r>
              <w:rPr>
                <w:b w:val="false"/>
                <w:bCs w:val="false"/>
                <w:color w:val="000000"/>
              </w:rPr>
              <w:t xml:space="preserve">7.8%</w:t>
            </w:r>
          </w:p>
        </w:tc>
        <w:tc>
          <w:tcPr>
            <w:tcW w:type="dxa" w:w="1600"/>
            <w:tcMar>
              <w:top w:type="dxa" w:w="60"/>
              <w:left w:type="dxa" w:w="100"/>
              <w:bottom w:type="dxa" w:w="60"/>
              <w:right w:type="dxa" w:w="100"/>
            </w:tcMar>
          </w:tcPr>
          <w:p>
            <w:pPr>
              <w:jc w:val="left"/>
            </w:pPr>
            <w:r>
              <w:rPr>
                <w:b w:val="false"/>
                <w:bCs w:val="false"/>
                <w:color w:val="000000"/>
              </w:rPr>
              <w:t xml:space="preserve">0.71</w:t>
            </w:r>
          </w:p>
        </w:tc>
        <w:tc>
          <w:tcPr>
            <w:tcW w:type="dxa" w:w="1800"/>
            <w:tcMar>
              <w:top w:type="dxa" w:w="60"/>
              <w:left w:type="dxa" w:w="100"/>
              <w:bottom w:type="dxa" w:w="60"/>
              <w:right w:type="dxa" w:w="100"/>
            </w:tcMar>
          </w:tcPr>
          <w:p>
            <w:pPr>
              <w:jc w:val="left"/>
            </w:pPr>
            <w:r>
              <w:rPr>
                <w:b w:val="false"/>
                <w:bCs w:val="false"/>
                <w:color w:val="000000"/>
              </w:rPr>
              <w:t xml:space="preserve">-38%</w:t>
            </w:r>
          </w:p>
        </w:tc>
      </w:tr>
      <w:tr>
        <w:tc>
          <w:tcPr>
            <w:tcW w:type="dxa" w:w="4200"/>
            <w:shd w:fill="F2F2F2" w:val="clear"/>
            <w:tcMar>
              <w:top w:type="dxa" w:w="60"/>
              <w:left w:type="dxa" w:w="100"/>
              <w:bottom w:type="dxa" w:w="60"/>
              <w:right w:type="dxa" w:w="100"/>
            </w:tcMar>
          </w:tcPr>
          <w:p>
            <w:pPr>
              <w:jc w:val="left"/>
            </w:pPr>
            <w:r>
              <w:rPr>
                <w:b w:val="false"/>
                <w:bCs w:val="false"/>
                <w:color w:val="000000"/>
              </w:rPr>
              <w:t xml:space="preserve">Short (tech/discretionary/small-cap growth)</w:t>
            </w:r>
          </w:p>
        </w:tc>
        <w:tc>
          <w:tcPr>
            <w:tcW w:type="dxa" w:w="1600"/>
            <w:shd w:fill="F2F2F2" w:val="clear"/>
            <w:tcMar>
              <w:top w:type="dxa" w:w="60"/>
              <w:left w:type="dxa" w:w="100"/>
              <w:bottom w:type="dxa" w:w="60"/>
              <w:right w:type="dxa" w:w="100"/>
            </w:tcMar>
          </w:tcPr>
          <w:p>
            <w:pPr>
              <w:jc w:val="left"/>
            </w:pPr>
            <w:r>
              <w:rPr>
                <w:b w:val="false"/>
                <w:bCs w:val="false"/>
                <w:color w:val="000000"/>
              </w:rPr>
              <w:t xml:space="preserve">8.8%</w:t>
            </w:r>
          </w:p>
        </w:tc>
        <w:tc>
          <w:tcPr>
            <w:tcW w:type="dxa" w:w="1600"/>
            <w:shd w:fill="F2F2F2" w:val="clear"/>
            <w:tcMar>
              <w:top w:type="dxa" w:w="60"/>
              <w:left w:type="dxa" w:w="100"/>
              <w:bottom w:type="dxa" w:w="60"/>
              <w:right w:type="dxa" w:w="100"/>
            </w:tcMar>
          </w:tcPr>
          <w:p>
            <w:pPr>
              <w:jc w:val="left"/>
            </w:pPr>
            <w:r>
              <w:rPr>
                <w:b w:val="false"/>
                <w:bCs w:val="false"/>
                <w:color w:val="000000"/>
              </w:rPr>
              <w:t xml:space="preserve">0.53</w:t>
            </w:r>
          </w:p>
        </w:tc>
        <w:tc>
          <w:tcPr>
            <w:tcW w:type="dxa" w:w="1800"/>
            <w:shd w:fill="F2F2F2" w:val="clear"/>
            <w:tcMar>
              <w:top w:type="dxa" w:w="60"/>
              <w:left w:type="dxa" w:w="100"/>
              <w:bottom w:type="dxa" w:w="60"/>
              <w:right w:type="dxa" w:w="100"/>
            </w:tcMar>
          </w:tcPr>
          <w:p>
            <w:pPr>
              <w:jc w:val="left"/>
            </w:pPr>
            <w:r>
              <w:rPr>
                <w:b w:val="false"/>
                <w:bCs w:val="false"/>
                <w:color w:val="000000"/>
              </w:rPr>
              <w:t xml:space="preserve">-58%</w:t>
            </w:r>
          </w:p>
        </w:tc>
      </w:tr>
      <w:tr>
        <w:tc>
          <w:tcPr>
            <w:tcW w:type="dxa" w:w="4200"/>
            <w:tcMar>
              <w:top w:type="dxa" w:w="60"/>
              <w:left w:type="dxa" w:w="100"/>
              <w:bottom w:type="dxa" w:w="60"/>
              <w:right w:type="dxa" w:w="100"/>
            </w:tcMar>
          </w:tcPr>
          <w:p>
            <w:pPr>
              <w:jc w:val="left"/>
            </w:pPr>
            <w:r>
              <w:rPr>
                <w:b/>
                <w:bCs/>
                <w:color w:val="000000"/>
              </w:rPr>
              <w:t xml:space="preserve">Long-short</w:t>
            </w:r>
          </w:p>
        </w:tc>
        <w:tc>
          <w:tcPr>
            <w:tcW w:type="dxa" w:w="1600"/>
            <w:tcMar>
              <w:top w:type="dxa" w:w="60"/>
              <w:left w:type="dxa" w:w="100"/>
              <w:bottom w:type="dxa" w:w="60"/>
              <w:right w:type="dxa" w:w="100"/>
            </w:tcMar>
          </w:tcPr>
          <w:p>
            <w:pPr>
              <w:jc w:val="left"/>
            </w:pPr>
            <w:r>
              <w:rPr>
                <w:b/>
                <w:bCs/>
                <w:color w:val="000000"/>
              </w:rPr>
              <w:t xml:space="preserve">-3.3%</w:t>
            </w:r>
          </w:p>
        </w:tc>
        <w:tc>
          <w:tcPr>
            <w:tcW w:type="dxa" w:w="1600"/>
            <w:tcMar>
              <w:top w:type="dxa" w:w="60"/>
              <w:left w:type="dxa" w:w="100"/>
              <w:bottom w:type="dxa" w:w="60"/>
              <w:right w:type="dxa" w:w="100"/>
            </w:tcMar>
          </w:tcPr>
          <w:p>
            <w:pPr>
              <w:jc w:val="left"/>
            </w:pPr>
            <w:r>
              <w:rPr>
                <w:b/>
                <w:bCs/>
                <w:color w:val="000000"/>
              </w:rPr>
              <w:t xml:space="preserve">-0.15</w:t>
            </w:r>
          </w:p>
        </w:tc>
        <w:tc>
          <w:tcPr>
            <w:tcW w:type="dxa" w:w="1800"/>
            <w:tcMar>
              <w:top w:type="dxa" w:w="60"/>
              <w:left w:type="dxa" w:w="100"/>
              <w:bottom w:type="dxa" w:w="60"/>
              <w:right w:type="dxa" w:w="100"/>
            </w:tcMar>
          </w:tcPr>
          <w:p>
            <w:pPr>
              <w:jc w:val="left"/>
            </w:pPr>
            <w:r>
              <w:rPr>
                <w:b w:val="false"/>
                <w:bCs w:val="false"/>
                <w:color w:val="000000"/>
              </w:rPr>
              <w:t xml:space="preserve">-68%</w:t>
            </w:r>
          </w:p>
        </w:tc>
      </w:tr>
      <w:tr>
        <w:tc>
          <w:tcPr>
            <w:tcW w:type="dxa" w:w="4200"/>
            <w:shd w:fill="F2F2F2" w:val="clear"/>
            <w:tcMar>
              <w:top w:type="dxa" w:w="60"/>
              <w:left w:type="dxa" w:w="100"/>
              <w:bottom w:type="dxa" w:w="60"/>
              <w:right w:type="dxa" w:w="100"/>
            </w:tcMar>
          </w:tcPr>
          <w:p>
            <w:pPr>
              <w:jc w:val="left"/>
            </w:pPr>
            <w:r>
              <w:rPr>
                <w:b w:val="false"/>
                <w:bCs w:val="false"/>
                <w:color w:val="000000"/>
              </w:rPr>
              <w:t xml:space="preserve">Benchmark (SPY)</w:t>
            </w:r>
          </w:p>
        </w:tc>
        <w:tc>
          <w:tcPr>
            <w:tcW w:type="dxa" w:w="1600"/>
            <w:shd w:fill="F2F2F2" w:val="clear"/>
            <w:tcMar>
              <w:top w:type="dxa" w:w="60"/>
              <w:left w:type="dxa" w:w="100"/>
              <w:bottom w:type="dxa" w:w="60"/>
              <w:right w:type="dxa" w:w="100"/>
            </w:tcMar>
          </w:tcPr>
          <w:p>
            <w:pPr>
              <w:jc w:val="left"/>
            </w:pPr>
            <w:r>
              <w:rPr>
                <w:b w:val="false"/>
                <w:bCs w:val="false"/>
                <w:color w:val="000000"/>
              </w:rPr>
              <w:t xml:space="preserve">8.3%</w:t>
            </w:r>
          </w:p>
        </w:tc>
        <w:tc>
          <w:tcPr>
            <w:tcW w:type="dxa" w:w="1600"/>
            <w:shd w:fill="F2F2F2" w:val="clear"/>
            <w:tcMar>
              <w:top w:type="dxa" w:w="60"/>
              <w:left w:type="dxa" w:w="100"/>
              <w:bottom w:type="dxa" w:w="60"/>
              <w:right w:type="dxa" w:w="100"/>
            </w:tcMar>
          </w:tcPr>
          <w:p>
            <w:pPr>
              <w:jc w:val="left"/>
            </w:pPr>
            <w:r>
              <w:rPr>
                <w:b w:val="false"/>
                <w:bCs w:val="false"/>
                <w:color w:val="000000"/>
              </w:rPr>
              <w:t xml:space="preserve">0.61</w:t>
            </w:r>
          </w:p>
        </w:tc>
        <w:tc>
          <w:tcPr>
            <w:tcW w:type="dxa" w:w="1800"/>
            <w:shd w:fill="F2F2F2" w:val="clear"/>
            <w:tcMar>
              <w:top w:type="dxa" w:w="60"/>
              <w:left w:type="dxa" w:w="100"/>
              <w:bottom w:type="dxa" w:w="60"/>
              <w:right w:type="dxa" w:w="100"/>
            </w:tcMar>
          </w:tcPr>
          <w:p>
            <w:pPr>
              <w:jc w:val="left"/>
            </w:pPr>
            <w:r>
              <w:rPr>
                <w:b w:val="false"/>
                <w:bCs w:val="false"/>
                <w:color w:val="000000"/>
              </w:rPr>
              <w:t xml:space="preserve">-51%</w:t>
            </w:r>
          </w:p>
        </w:tc>
      </w:tr>
    </w:tbl>
    <w:p>
      <w:pPr>
        <w:spacing w:after="160"/>
      </w:pPr>
    </w:p>
    <w:p>
      <w:pPr>
        <w:spacing w:after="160"/>
      </w:pPr>
      <w:r>
        <w:t xml:space="preserve">The negative headline is driven almost entirely by the last ~9 years, not a persistent 27-year effect: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rPr>
          <w:tblHeader/>
        </w:trPr>
        <w:tc>
          <w:tcPr>
            <w:tcW w:type="dxa" w:w="3200"/>
            <w:shd w:fill="1F3B57" w:val="clear"/>
            <w:tcMar>
              <w:top w:type="dxa" w:w="60"/>
              <w:left w:type="dxa" w:w="100"/>
              <w:bottom w:type="dxa" w:w="60"/>
              <w:right w:type="dxa" w:w="100"/>
            </w:tcMar>
          </w:tcPr>
          <w:p>
            <w:pPr>
              <w:jc w:val="left"/>
            </w:pPr>
            <w:r>
              <w:rPr>
                <w:b/>
                <w:bCs/>
                <w:color w:val="FFFFFF"/>
              </w:rPr>
              <w:t xml:space="preserve">Period</w:t>
            </w:r>
          </w:p>
        </w:tc>
        <w:tc>
          <w:tcPr>
            <w:tcW w:type="dxa" w:w="3200"/>
            <w:shd w:fill="1F3B57" w:val="clear"/>
            <w:tcMar>
              <w:top w:type="dxa" w:w="60"/>
              <w:left w:type="dxa" w:w="100"/>
              <w:bottom w:type="dxa" w:w="60"/>
              <w:right w:type="dxa" w:w="100"/>
            </w:tcMar>
          </w:tcPr>
          <w:p>
            <w:pPr>
              <w:jc w:val="left"/>
            </w:pPr>
            <w:r>
              <w:rPr>
                <w:b/>
                <w:bCs/>
                <w:color w:val="FFFFFF"/>
              </w:rPr>
              <w:t xml:space="preserve">Long-short CAGR</w:t>
            </w:r>
          </w:p>
        </w:tc>
        <w:tc>
          <w:tcPr>
            <w:tcW w:type="dxa" w:w="2800"/>
            <w:shd w:fill="1F3B57" w:val="clear"/>
            <w:tcMar>
              <w:top w:type="dxa" w:w="60"/>
              <w:left w:type="dxa" w:w="100"/>
              <w:bottom w:type="dxa" w:w="60"/>
              <w:right w:type="dxa" w:w="100"/>
            </w:tcMar>
          </w:tcPr>
          <w:p>
            <w:pPr>
              <w:jc w:val="left"/>
            </w:pPr>
            <w:r>
              <w:rPr>
                <w:b/>
                <w:bCs/>
                <w:color w:val="FFFFFF"/>
              </w:rPr>
              <w:t xml:space="preserve">Long-short Sharpe</w:t>
            </w:r>
          </w:p>
        </w:tc>
      </w:tr>
      <w:tr>
        <w:tc>
          <w:tcPr>
            <w:tcW w:type="dxa" w:w="3200"/>
            <w:tcMar>
              <w:top w:type="dxa" w:w="60"/>
              <w:left w:type="dxa" w:w="100"/>
              <w:bottom w:type="dxa" w:w="60"/>
              <w:right w:type="dxa" w:w="100"/>
            </w:tcMar>
          </w:tcPr>
          <w:p>
            <w:pPr>
              <w:jc w:val="left"/>
            </w:pPr>
            <w:r>
              <w:rPr>
                <w:b w:val="false"/>
                <w:bCs w:val="false"/>
                <w:color w:val="000000"/>
              </w:rPr>
              <w:t xml:space="preserve">Pre-2017 (1999–2016)</w:t>
            </w:r>
          </w:p>
        </w:tc>
        <w:tc>
          <w:tcPr>
            <w:tcW w:type="dxa" w:w="3200"/>
            <w:tcMar>
              <w:top w:type="dxa" w:w="60"/>
              <w:left w:type="dxa" w:w="100"/>
              <w:bottom w:type="dxa" w:w="60"/>
              <w:right w:type="dxa" w:w="100"/>
            </w:tcMar>
          </w:tcPr>
          <w:p>
            <w:pPr>
              <w:jc w:val="left"/>
            </w:pPr>
            <w:r>
              <w:rPr>
                <w:b w:val="false"/>
                <w:bCs w:val="false"/>
                <w:color w:val="000000"/>
              </w:rPr>
              <w:t xml:space="preserve">-1.4%</w:t>
            </w:r>
          </w:p>
        </w:tc>
        <w:tc>
          <w:tcPr>
            <w:tcW w:type="dxa" w:w="2800"/>
            <w:tcMar>
              <w:top w:type="dxa" w:w="60"/>
              <w:left w:type="dxa" w:w="100"/>
              <w:bottom w:type="dxa" w:w="60"/>
              <w:right w:type="dxa" w:w="100"/>
            </w:tcMar>
          </w:tcPr>
          <w:p>
            <w:pPr>
              <w:jc w:val="left"/>
            </w:pPr>
            <w:r>
              <w:rPr>
                <w:b w:val="false"/>
                <w:bCs w:val="false"/>
                <w:color w:val="000000"/>
              </w:rPr>
              <w:t xml:space="preserve">-0.02 (essentially flat)</w:t>
            </w:r>
          </w:p>
        </w:tc>
      </w:tr>
      <w:tr>
        <w:tc>
          <w:tcPr>
            <w:tcW w:type="dxa" w:w="3200"/>
            <w:shd w:fill="F2F2F2" w:val="clear"/>
            <w:tcMar>
              <w:top w:type="dxa" w:w="60"/>
              <w:left w:type="dxa" w:w="100"/>
              <w:bottom w:type="dxa" w:w="60"/>
              <w:right w:type="dxa" w:w="100"/>
            </w:tcMar>
          </w:tcPr>
          <w:p>
            <w:pPr>
              <w:jc w:val="left"/>
            </w:pPr>
            <w:r>
              <w:rPr>
                <w:b w:val="false"/>
                <w:bCs w:val="false"/>
                <w:color w:val="000000"/>
              </w:rPr>
              <w:t xml:space="preserve">2017–2025</w:t>
            </w:r>
          </w:p>
        </w:tc>
        <w:tc>
          <w:tcPr>
            <w:tcW w:type="dxa" w:w="3200"/>
            <w:shd w:fill="F2F2F2" w:val="clear"/>
            <w:tcMar>
              <w:top w:type="dxa" w:w="60"/>
              <w:left w:type="dxa" w:w="100"/>
              <w:bottom w:type="dxa" w:w="60"/>
              <w:right w:type="dxa" w:w="100"/>
            </w:tcMar>
          </w:tcPr>
          <w:p>
            <w:pPr>
              <w:jc w:val="left"/>
            </w:pPr>
            <w:r>
              <w:rPr>
                <w:b w:val="false"/>
                <w:bCs w:val="false"/>
                <w:color w:val="000000"/>
              </w:rPr>
              <w:t xml:space="preserve">-6.9%</w:t>
            </w:r>
          </w:p>
        </w:tc>
        <w:tc>
          <w:tcPr>
            <w:tcW w:type="dxa" w:w="2800"/>
            <w:shd w:fill="F2F2F2" w:val="clear"/>
            <w:tcMar>
              <w:top w:type="dxa" w:w="60"/>
              <w:left w:type="dxa" w:w="100"/>
              <w:bottom w:type="dxa" w:w="60"/>
              <w:right w:type="dxa" w:w="100"/>
            </w:tcMar>
          </w:tcPr>
          <w:p>
            <w:pPr>
              <w:jc w:val="left"/>
            </w:pPr>
            <w:r>
              <w:rPr>
                <w:b w:val="false"/>
                <w:bCs w:val="false"/>
                <w:color w:val="000000"/>
              </w:rPr>
              <w:t xml:space="preserve">-0.42</w:t>
            </w:r>
          </w:p>
        </w:tc>
      </w:tr>
    </w:tbl>
    <w:p>
      <w:pPr>
        <w:spacing w:after="160"/>
      </w:pPr>
    </w:p>
    <w:p>
      <w:pPr>
        <w:spacing w:after="160"/>
      </w:pPr>
      <w:r>
        <w:t xml:space="preserve">The strategy was roughly breakeven for 18 years and only lost money during the mega-cap tech/AI-driven stretch since 2017 — a period when the S&amp;P 500 itself had an unusually high Sharpe (0.98). The long leg alone is a genuinely solid standalone result: 0.71 Sharpe over 27 years, beating the benchmark's 0.61. It is specifically the short-growth leg that has been the costly side of this trade.</w:t>
      </w:r>
    </w:p>
    <w:p>
      <w:pPr>
        <w:spacing w:after="160"/>
      </w:pPr>
      <w:r>
        <w:rPr>
          <w:i/>
          <w:iCs/>
        </w:rPr>
        <w:t xml:space="preserve">Still missing: Fama-French 5 + momentum factor data, needed to test whether the negative long-short return reflects picking the wrong sectors or simply carrying negative net market beta through an unusually strong bull run. This is the one remaining open question for Part 1.</w:t>
      </w:r>
    </w:p>
    <w:p>
      <w:pPr>
        <w:pStyle w:val="Heading2"/>
        <w:spacing w:after="120" w:before="280"/>
      </w:pPr>
      <w:r>
        <w:t xml:space="preserve">1.2 — Does the Boomer rotation signal predict anything? (real data, no market prices needed)</w:t>
      </w:r>
    </w:p>
    <w:p>
      <w:pPr>
        <w:spacing w:after="160"/>
      </w:pPr>
      <w:r>
        <w:t xml:space="preserve">Using the Fed's Distributional Financial Accounts (1989–2026), a real signal was built: each generation's share of household equities minus its share of “safe” assets (deposits, bonds, annuities). Tested via a 32-combination robustness sweep (8 cohort cuts × 2 lag lengths × 2 outcomes: wealth-concentration change and aggregate equity growth).</w:t>
      </w:r>
    </w:p>
    <w:p>
      <w:pPr>
        <w:spacing w:after="160"/>
      </w:pPr>
      <w:r>
        <w:rPr>
          <w:color w:val="A3231F"/>
        </w:rPr>
        <w:t xml:space="preserve">Result: 3 of 32 combinations cleared p &lt; 0.05 — in line with the ~1.6 expected by chance alone. The one specification that looked promising (BabyBoom, 4-quarter lags) did not survive shortening to 2 lags (p jumped from 0.038 to 0.708). Honest conclusion: this linear, single-cohort signal does not show robust predictive power over wealth concentration or equity growth, in 36 years of data.</w:t>
      </w:r>
    </w:p>
    <w:p>
      <w:pPr>
        <w:pStyle w:val="Heading2"/>
        <w:spacing w:after="120" w:before="280"/>
      </w:pPr>
      <w:r>
        <w:t xml:space="preserve">1.3 — BEDI: the strongest lead in the whole project</w:t>
      </w:r>
    </w:p>
    <w:p>
      <w:pPr>
        <w:spacing w:after="160"/>
      </w:pPr>
      <w:r>
        <w:t xml:space="preserve">BEDI combines the Boomer rotation signal with the wealth-concentration gap into one z-scored composite. One caveat surfaced during construction: the two components correlate only +0.064 (vs. 0.87–0.96 for Pillar 1's three indicators), so PCA-weighting does not confirm a dominant shared driver here the way it did in Pillar 1.</w:t>
      </w:r>
    </w:p>
    <w:p>
      <w:pPr>
        <w:spacing w:after="160"/>
      </w:pPr>
      <w:r>
        <w:t xml:space="preserve">A structural break at 2019:Q4 is real and highly significant (level shift t=-7.43, trend change t=-7.39, both p&lt;0.001) — but runs the opposite direction from “the retirement wave accelerated BEDI”: a level drop and deceleration, not an acceleration, confirmed visually in the chart.</w:t>
      </w:r>
    </w:p>
    <w:p>
      <w:pPr>
        <w:spacing w:after="160"/>
      </w:pPr>
      <w:r>
        <w:t xml:space="preserve">The real test — does BEDI predict forward returns of tradeable ETF pairs — now has a genuine result: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2200"/>
        <w:gridCol w:w="1600"/>
      </w:tblGrid>
      <w:tr>
        <w:trPr>
          <w:tblHeader/>
        </w:trPr>
        <w:tc>
          <w:tcPr>
            <w:tcW w:type="dxa" w:w="3400"/>
            <w:shd w:fill="1F3B57" w:val="clear"/>
            <w:tcMar>
              <w:top w:type="dxa" w:w="60"/>
              <w:left w:type="dxa" w:w="100"/>
              <w:bottom w:type="dxa" w:w="60"/>
              <w:right w:type="dxa" w:w="100"/>
            </w:tcMar>
          </w:tcPr>
          <w:p>
            <w:pPr>
              <w:jc w:val="left"/>
            </w:pPr>
            <w:r>
              <w:rPr>
                <w:b/>
                <w:bCs/>
                <w:color w:val="FFFFFF"/>
              </w:rPr>
              <w:t xml:space="preserve">Target</w:t>
            </w:r>
          </w:p>
        </w:tc>
        <w:tc>
          <w:tcPr>
            <w:tcW w:type="dxa" w:w="1200"/>
            <w:shd w:fill="1F3B57" w:val="clear"/>
            <w:tcMar>
              <w:top w:type="dxa" w:w="60"/>
              <w:left w:type="dxa" w:w="100"/>
              <w:bottom w:type="dxa" w:w="60"/>
              <w:right w:type="dxa" w:w="100"/>
            </w:tcMar>
          </w:tcPr>
          <w:p>
            <w:pPr>
              <w:jc w:val="left"/>
            </w:pPr>
            <w:r>
              <w:rPr>
                <w:b/>
                <w:bCs/>
                <w:color w:val="FFFFFF"/>
              </w:rPr>
              <w:t xml:space="preserve">Horizon</w:t>
            </w:r>
          </w:p>
        </w:tc>
        <w:tc>
          <w:tcPr>
            <w:tcW w:type="dxa" w:w="2200"/>
            <w:shd w:fill="1F3B57" w:val="clear"/>
            <w:tcMar>
              <w:top w:type="dxa" w:w="60"/>
              <w:left w:type="dxa" w:w="100"/>
              <w:bottom w:type="dxa" w:w="60"/>
              <w:right w:type="dxa" w:w="100"/>
            </w:tcMar>
          </w:tcPr>
          <w:p>
            <w:pPr>
              <w:jc w:val="left"/>
            </w:pPr>
            <w:r>
              <w:rPr>
                <w:b/>
                <w:bCs/>
                <w:color w:val="FFFFFF"/>
              </w:rPr>
              <w:t xml:space="preserve">BEDI_lag coefficient</w:t>
            </w:r>
          </w:p>
        </w:tc>
        <w:tc>
          <w:tcPr>
            <w:tcW w:type="dxa" w:w="1600"/>
            <w:shd w:fill="1F3B57" w:val="clear"/>
            <w:tcMar>
              <w:top w:type="dxa" w:w="60"/>
              <w:left w:type="dxa" w:w="100"/>
              <w:bottom w:type="dxa" w:w="60"/>
              <w:right w:type="dxa" w:w="100"/>
            </w:tcMar>
          </w:tcPr>
          <w:p>
            <w:pPr>
              <w:jc w:val="left"/>
            </w:pPr>
            <w:r>
              <w:rPr>
                <w:b/>
                <w:bCs/>
                <w:color w:val="FFFFFF"/>
              </w:rPr>
              <w:t xml:space="preserve">p-value</w:t>
            </w:r>
          </w:p>
        </w:tc>
      </w:tr>
      <w:tr>
        <w:tc>
          <w:tcPr>
            <w:tcW w:type="dxa" w:w="3400"/>
            <w:tcMar>
              <w:top w:type="dxa" w:w="60"/>
              <w:left w:type="dxa" w:w="100"/>
              <w:bottom w:type="dxa" w:w="60"/>
              <w:right w:type="dxa" w:w="100"/>
            </w:tcMar>
          </w:tcPr>
          <w:p>
            <w:pPr>
              <w:jc w:val="left"/>
            </w:pPr>
            <w:r>
              <w:rPr>
                <w:b w:val="false"/>
                <w:bCs w:val="false"/>
                <w:color w:val="000000"/>
              </w:rPr>
              <w:t xml:space="preserve">XLV − XLY (sector rotation)</w:t>
            </w:r>
          </w:p>
        </w:tc>
        <w:tc>
          <w:tcPr>
            <w:tcW w:type="dxa" w:w="1200"/>
            <w:tcMar>
              <w:top w:type="dxa" w:w="60"/>
              <w:left w:type="dxa" w:w="100"/>
              <w:bottom w:type="dxa" w:w="60"/>
              <w:right w:type="dxa" w:w="100"/>
            </w:tcMar>
          </w:tcPr>
          <w:p>
            <w:pPr>
              <w:jc w:val="left"/>
            </w:pPr>
            <w:r>
              <w:rPr>
                <w:b w:val="false"/>
                <w:bCs w:val="false"/>
                <w:color w:val="000000"/>
              </w:rPr>
              <w:t xml:space="preserve">1Q</w:t>
            </w:r>
          </w:p>
        </w:tc>
        <w:tc>
          <w:tcPr>
            <w:tcW w:type="dxa" w:w="2200"/>
            <w:tcMar>
              <w:top w:type="dxa" w:w="60"/>
              <w:left w:type="dxa" w:w="100"/>
              <w:bottom w:type="dxa" w:w="60"/>
              <w:right w:type="dxa" w:w="100"/>
            </w:tcMar>
          </w:tcPr>
          <w:p>
            <w:pPr>
              <w:jc w:val="left"/>
            </w:pPr>
            <w:r>
              <w:rPr>
                <w:b w:val="false"/>
                <w:bCs w:val="false"/>
                <w:color w:val="000000"/>
              </w:rPr>
              <w:t xml:space="preserve">0.0201</w:t>
            </w:r>
          </w:p>
        </w:tc>
        <w:tc>
          <w:tcPr>
            <w:tcW w:type="dxa" w:w="1600"/>
            <w:tcMar>
              <w:top w:type="dxa" w:w="60"/>
              <w:left w:type="dxa" w:w="100"/>
              <w:bottom w:type="dxa" w:w="60"/>
              <w:right w:type="dxa" w:w="100"/>
            </w:tcMar>
          </w:tcPr>
          <w:p>
            <w:pPr>
              <w:jc w:val="left"/>
            </w:pPr>
            <w:r>
              <w:rPr>
                <w:b w:val="false"/>
                <w:bCs w:val="false"/>
                <w:color w:val="000000"/>
              </w:rPr>
              <w:t xml:space="preserve">0.166</w:t>
            </w:r>
          </w:p>
        </w:tc>
      </w:tr>
      <w:tr>
        <w:tc>
          <w:tcPr>
            <w:tcW w:type="dxa" w:w="3400"/>
            <w:shd w:fill="F2F2F2" w:val="clear"/>
            <w:tcMar>
              <w:top w:type="dxa" w:w="60"/>
              <w:left w:type="dxa" w:w="100"/>
              <w:bottom w:type="dxa" w:w="60"/>
              <w:right w:type="dxa" w:w="100"/>
            </w:tcMar>
          </w:tcPr>
          <w:p>
            <w:pPr>
              <w:jc w:val="left"/>
            </w:pPr>
            <w:r>
              <w:rPr>
                <w:b w:val="false"/>
                <w:bCs w:val="false"/>
                <w:color w:val="000000"/>
              </w:rPr>
              <w:t xml:space="preserve">XLV − XLY (sector rotation)</w:t>
            </w:r>
          </w:p>
        </w:tc>
        <w:tc>
          <w:tcPr>
            <w:tcW w:type="dxa" w:w="1200"/>
            <w:shd w:fill="F2F2F2" w:val="clear"/>
            <w:tcMar>
              <w:top w:type="dxa" w:w="60"/>
              <w:left w:type="dxa" w:w="100"/>
              <w:bottom w:type="dxa" w:w="60"/>
              <w:right w:type="dxa" w:w="100"/>
            </w:tcMar>
          </w:tcPr>
          <w:p>
            <w:pPr>
              <w:jc w:val="left"/>
            </w:pPr>
            <w:r>
              <w:rPr>
                <w:b w:val="false"/>
                <w:bCs w:val="false"/>
                <w:color w:val="000000"/>
              </w:rPr>
              <w:t xml:space="preserve">2Q</w:t>
            </w:r>
          </w:p>
        </w:tc>
        <w:tc>
          <w:tcPr>
            <w:tcW w:type="dxa" w:w="2200"/>
            <w:shd w:fill="F2F2F2" w:val="clear"/>
            <w:tcMar>
              <w:top w:type="dxa" w:w="60"/>
              <w:left w:type="dxa" w:w="100"/>
              <w:bottom w:type="dxa" w:w="60"/>
              <w:right w:type="dxa" w:w="100"/>
            </w:tcMar>
          </w:tcPr>
          <w:p>
            <w:pPr>
              <w:jc w:val="left"/>
            </w:pPr>
            <w:r>
              <w:rPr>
                <w:b w:val="false"/>
                <w:bCs w:val="false"/>
                <w:color w:val="000000"/>
              </w:rPr>
              <w:t xml:space="preserve">0.0123</w:t>
            </w:r>
          </w:p>
        </w:tc>
        <w:tc>
          <w:tcPr>
            <w:tcW w:type="dxa" w:w="1600"/>
            <w:shd w:fill="F2F2F2" w:val="clear"/>
            <w:tcMar>
              <w:top w:type="dxa" w:w="60"/>
              <w:left w:type="dxa" w:w="100"/>
              <w:bottom w:type="dxa" w:w="60"/>
              <w:right w:type="dxa" w:w="100"/>
            </w:tcMar>
          </w:tcPr>
          <w:p>
            <w:pPr>
              <w:jc w:val="left"/>
            </w:pPr>
            <w:r>
              <w:rPr>
                <w:b w:val="false"/>
                <w:bCs w:val="false"/>
                <w:color w:val="000000"/>
              </w:rPr>
              <w:t xml:space="preserve">0.308</w:t>
            </w:r>
          </w:p>
        </w:tc>
      </w:tr>
      <w:tr>
        <w:tc>
          <w:tcPr>
            <w:tcW w:type="dxa" w:w="3400"/>
            <w:tcMar>
              <w:top w:type="dxa" w:w="60"/>
              <w:left w:type="dxa" w:w="100"/>
              <w:bottom w:type="dxa" w:w="60"/>
              <w:right w:type="dxa" w:w="100"/>
            </w:tcMar>
          </w:tcPr>
          <w:p>
            <w:pPr>
              <w:jc w:val="left"/>
            </w:pPr>
            <w:r>
              <w:rPr>
                <w:b/>
                <w:bCs/>
                <w:color w:val="000000"/>
              </w:rPr>
              <w:t xml:space="preserve">LQD − SPY (bonds vs. stocks)</w:t>
            </w:r>
          </w:p>
        </w:tc>
        <w:tc>
          <w:tcPr>
            <w:tcW w:type="dxa" w:w="1200"/>
            <w:tcMar>
              <w:top w:type="dxa" w:w="60"/>
              <w:left w:type="dxa" w:w="100"/>
              <w:bottom w:type="dxa" w:w="60"/>
              <w:right w:type="dxa" w:w="100"/>
            </w:tcMar>
          </w:tcPr>
          <w:p>
            <w:pPr>
              <w:jc w:val="left"/>
            </w:pPr>
            <w:r>
              <w:rPr>
                <w:b/>
                <w:bCs/>
                <w:color w:val="000000"/>
              </w:rPr>
              <w:t xml:space="preserve">1Q</w:t>
            </w:r>
          </w:p>
        </w:tc>
        <w:tc>
          <w:tcPr>
            <w:tcW w:type="dxa" w:w="2200"/>
            <w:tcMar>
              <w:top w:type="dxa" w:w="60"/>
              <w:left w:type="dxa" w:w="100"/>
              <w:bottom w:type="dxa" w:w="60"/>
              <w:right w:type="dxa" w:w="100"/>
            </w:tcMar>
          </w:tcPr>
          <w:p>
            <w:pPr>
              <w:jc w:val="left"/>
            </w:pPr>
            <w:r>
              <w:rPr>
                <w:b/>
                <w:bCs/>
                <w:color w:val="000000"/>
              </w:rPr>
              <w:t xml:space="preserve">0.0345</w:t>
            </w:r>
          </w:p>
        </w:tc>
        <w:tc>
          <w:tcPr>
            <w:tcW w:type="dxa" w:w="1600"/>
            <w:tcMar>
              <w:top w:type="dxa" w:w="60"/>
              <w:left w:type="dxa" w:w="100"/>
              <w:bottom w:type="dxa" w:w="60"/>
              <w:right w:type="dxa" w:w="100"/>
            </w:tcMar>
          </w:tcPr>
          <w:p>
            <w:pPr>
              <w:jc w:val="left"/>
            </w:pPr>
            <w:r>
              <w:rPr>
                <w:b/>
                <w:bCs/>
                <w:color w:val="1B6B3A"/>
              </w:rPr>
              <w:t xml:space="preserve">0.012</w:t>
            </w:r>
          </w:p>
        </w:tc>
      </w:tr>
      <w:tr>
        <w:tc>
          <w:tcPr>
            <w:tcW w:type="dxa" w:w="3400"/>
            <w:shd w:fill="F2F2F2" w:val="clear"/>
            <w:tcMar>
              <w:top w:type="dxa" w:w="60"/>
              <w:left w:type="dxa" w:w="100"/>
              <w:bottom w:type="dxa" w:w="60"/>
              <w:right w:type="dxa" w:w="100"/>
            </w:tcMar>
          </w:tcPr>
          <w:p>
            <w:pPr>
              <w:jc w:val="left"/>
            </w:pPr>
            <w:r>
              <w:rPr>
                <w:b w:val="false"/>
                <w:bCs w:val="false"/>
                <w:color w:val="000000"/>
              </w:rPr>
              <w:t xml:space="preserve">LQD − SPY (bonds vs. stocks)</w:t>
            </w:r>
          </w:p>
        </w:tc>
        <w:tc>
          <w:tcPr>
            <w:tcW w:type="dxa" w:w="1200"/>
            <w:shd w:fill="F2F2F2" w:val="clear"/>
            <w:tcMar>
              <w:top w:type="dxa" w:w="60"/>
              <w:left w:type="dxa" w:w="100"/>
              <w:bottom w:type="dxa" w:w="60"/>
              <w:right w:type="dxa" w:w="100"/>
            </w:tcMar>
          </w:tcPr>
          <w:p>
            <w:pPr>
              <w:jc w:val="left"/>
            </w:pPr>
            <w:r>
              <w:rPr>
                <w:b w:val="false"/>
                <w:bCs w:val="false"/>
                <w:color w:val="000000"/>
              </w:rPr>
              <w:t xml:space="preserve">2Q</w:t>
            </w:r>
          </w:p>
        </w:tc>
        <w:tc>
          <w:tcPr>
            <w:tcW w:type="dxa" w:w="2200"/>
            <w:shd w:fill="F2F2F2" w:val="clear"/>
            <w:tcMar>
              <w:top w:type="dxa" w:w="60"/>
              <w:left w:type="dxa" w:w="100"/>
              <w:bottom w:type="dxa" w:w="60"/>
              <w:right w:type="dxa" w:w="100"/>
            </w:tcMar>
          </w:tcPr>
          <w:p>
            <w:pPr>
              <w:jc w:val="left"/>
            </w:pPr>
            <w:r>
              <w:rPr>
                <w:b w:val="false"/>
                <w:bCs w:val="false"/>
                <w:color w:val="000000"/>
              </w:rPr>
              <w:t xml:space="preserve">0.0298</w:t>
            </w:r>
          </w:p>
        </w:tc>
        <w:tc>
          <w:tcPr>
            <w:tcW w:type="dxa" w:w="1600"/>
            <w:shd w:fill="F2F2F2" w:val="clear"/>
            <w:tcMar>
              <w:top w:type="dxa" w:w="60"/>
              <w:left w:type="dxa" w:w="100"/>
              <w:bottom w:type="dxa" w:w="60"/>
              <w:right w:type="dxa" w:w="100"/>
            </w:tcMar>
          </w:tcPr>
          <w:p>
            <w:pPr>
              <w:jc w:val="left"/>
            </w:pPr>
            <w:r>
              <w:rPr>
                <w:b w:val="false"/>
                <w:bCs w:val="false"/>
                <w:color w:val="1B6B3A"/>
              </w:rPr>
              <w:t xml:space="preserve">0.048</w:t>
            </w:r>
          </w:p>
        </w:tc>
      </w:tr>
    </w:tbl>
    <w:p>
      <w:pPr>
        <w:spacing w:after="160"/>
      </w:pPr>
    </w:p>
    <w:p>
      <w:pPr>
        <w:spacing w:after="160"/>
      </w:pPr>
      <w:r>
        <w:t xml:space="preserve">The sector-rotation pair shows nothing; the bonds-vs-stocks pair is significant at both horizons. Checked for outlier-driven significance (residuals show skew 1.85, kurtosis 9.1): dropping the 2 most extreme quarters (the largest being 2008:Q3, the GFC), the result survives but weakens — coefficient falls from 0.0345 to 0.0233, p rises from 0.012 to 0.025. Real contributor to magnitude, not the sole driver.</w:t>
      </w:r>
    </w:p>
    <w:p>
      <w:pPr>
        <w:spacing w:after="160"/>
      </w:pPr>
      <w:r>
        <w:rPr>
          <w:b/>
          <w:bCs/>
        </w:rPr>
        <w:t xml:space="preserve">This is the one regression in the entire project that actually earns the word “alpha” if it holds up: </w:t>
      </w:r>
      <w:r>
        <w:t xml:space="preserve">a test against real tradeable returns, comes back significant, survives an outlier check, and independently corroborates a separate finding from the K-Index model (Part 2.3 below). Not yet a finished result — no Fama-French controls, no out-of-sample validation, N=93 quarters.</w:t>
      </w:r>
    </w:p>
    <w:p>
      <w:r>
        <w:br w:type="page"/>
      </w:r>
    </w:p>
    <w:p>
      <w:pPr>
        <w:pStyle w:val="Heading1"/>
        <w:spacing w:after="120" w:before="280"/>
      </w:pPr>
      <w:r>
        <w:t xml:space="preserve">Part 2: Pillar 1 — The K-Index</w:t>
      </w:r>
    </w:p>
    <w:p>
      <w:pPr>
        <w:spacing w:after="160"/>
      </w:pPr>
      <w:r>
        <w:t xml:space="preserve">The K-Index (wealth + income + consumer-sentiment divergence, equal-weighted z-scores) was rebuilt from its original three source files and validated line-by-line against the original notebook — every reported figure (z-scored pillars, K, PCA loadings, pillar correlations, leave-one-out robustness, all three Chow tests) matches exactly. This is a faithful reproduction, not an approximation.</w:t>
      </w:r>
    </w:p>
    <w:p>
      <w:pPr>
        <w:pStyle w:val="Heading2"/>
        <w:spacing w:after="120" w:before="280"/>
      </w:pPr>
      <w:r>
        <w:t xml:space="preserve">2.1 — Mechanism tests: does K move with markets the way advisors expect?</w:t>
      </w:r>
    </w:p>
    <w:p>
      <w:pPr>
        <w:spacing w:after="160"/>
      </w:pPr>
      <w:r>
        <w:t xml:space="preserve">A second round of advisor feedback reframed the test as contemporaneous first (“widening → stocks go up”, a mechanical wealth-effect channel), lagged second. Two mechanisms were testable immediately from data already in hand: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200"/>
      </w:tblGrid>
      <w:tr>
        <w:trPr>
          <w:tblHeader/>
        </w:trPr>
        <w:tc>
          <w:tcPr>
            <w:tcW w:type="dxa" w:w="4200"/>
            <w:shd w:fill="1F3B57" w:val="clear"/>
            <w:tcMar>
              <w:top w:type="dxa" w:w="60"/>
              <w:left w:type="dxa" w:w="100"/>
              <w:bottom w:type="dxa" w:w="60"/>
              <w:right w:type="dxa" w:w="100"/>
            </w:tcMar>
          </w:tcPr>
          <w:p>
            <w:pPr>
              <w:jc w:val="left"/>
            </w:pPr>
            <w:r>
              <w:rPr>
                <w:b/>
                <w:bCs/>
                <w:color w:val="FFFFFF"/>
              </w:rPr>
              <w:t xml:space="preserve">Test</w:t>
            </w:r>
          </w:p>
        </w:tc>
        <w:tc>
          <w:tcPr>
            <w:tcW w:type="dxa" w:w="2200"/>
            <w:shd w:fill="1F3B57" w:val="clear"/>
            <w:tcMar>
              <w:top w:type="dxa" w:w="60"/>
              <w:left w:type="dxa" w:w="100"/>
              <w:bottom w:type="dxa" w:w="60"/>
              <w:right w:type="dxa" w:w="100"/>
            </w:tcMar>
          </w:tcPr>
          <w:p>
            <w:pPr>
              <w:jc w:val="left"/>
            </w:pPr>
            <w:r>
              <w:rPr>
                <w:b/>
                <w:bCs/>
                <w:color w:val="FFFFFF"/>
              </w:rPr>
              <w:t xml:space="preserve">Contemporaneous p-value</w:t>
            </w:r>
          </w:p>
        </w:tc>
        <w:tc>
          <w:tcPr>
            <w:tcW w:type="dxa" w:w="2200"/>
            <w:shd w:fill="1F3B57" w:val="clear"/>
            <w:tcMar>
              <w:top w:type="dxa" w:w="60"/>
              <w:left w:type="dxa" w:w="100"/>
              <w:bottom w:type="dxa" w:w="60"/>
              <w:right w:type="dxa" w:w="100"/>
            </w:tcMar>
          </w:tcPr>
          <w:p>
            <w:pPr>
              <w:jc w:val="left"/>
            </w:pPr>
            <w:r>
              <w:rPr>
                <w:b/>
                <w:bCs/>
                <w:color w:val="FFFFFF"/>
              </w:rPr>
              <w:t xml:space="preserve">Lagged (4Q) joint p-value</w:t>
            </w:r>
          </w:p>
        </w:tc>
      </w:tr>
      <w:tr>
        <w:tc>
          <w:tcPr>
            <w:tcW w:type="dxa" w:w="4200"/>
            <w:tcMar>
              <w:top w:type="dxa" w:w="60"/>
              <w:left w:type="dxa" w:w="100"/>
              <w:bottom w:type="dxa" w:w="60"/>
              <w:right w:type="dxa" w:w="100"/>
            </w:tcMar>
          </w:tcPr>
          <w:p>
            <w:pPr>
              <w:jc w:val="left"/>
            </w:pPr>
            <w:r>
              <w:rPr>
                <w:b w:val="false"/>
                <w:bCs w:val="false"/>
                <w:color w:val="000000"/>
              </w:rPr>
              <w:t xml:space="preserve">Widening K → consumer credit worsens (Bottom 50% leverage)</w:t>
            </w:r>
          </w:p>
        </w:tc>
        <w:tc>
          <w:tcPr>
            <w:tcW w:type="dxa" w:w="2200"/>
            <w:tcMar>
              <w:top w:type="dxa" w:w="60"/>
              <w:left w:type="dxa" w:w="100"/>
              <w:bottom w:type="dxa" w:w="60"/>
              <w:right w:type="dxa" w:w="100"/>
            </w:tcMar>
          </w:tcPr>
          <w:p>
            <w:pPr>
              <w:jc w:val="left"/>
            </w:pPr>
            <w:r>
              <w:rPr>
                <w:b w:val="false"/>
                <w:bCs w:val="false"/>
                <w:color w:val="000000"/>
              </w:rPr>
              <w:t xml:space="preserve">0.062</w:t>
            </w:r>
          </w:p>
        </w:tc>
        <w:tc>
          <w:tcPr>
            <w:tcW w:type="dxa" w:w="2200"/>
            <w:tcMar>
              <w:top w:type="dxa" w:w="60"/>
              <w:left w:type="dxa" w:w="100"/>
              <w:bottom w:type="dxa" w:w="60"/>
              <w:right w:type="dxa" w:w="100"/>
            </w:tcMar>
          </w:tcPr>
          <w:p>
            <w:pPr>
              <w:jc w:val="left"/>
            </w:pPr>
            <w:r>
              <w:rPr>
                <w:b w:val="false"/>
                <w:bCs w:val="false"/>
                <w:color w:val="000000"/>
              </w:rPr>
              <w:t xml:space="preserve">0.067</w:t>
            </w:r>
          </w:p>
        </w:tc>
      </w:tr>
      <w:tr>
        <w:tc>
          <w:tcPr>
            <w:tcW w:type="dxa" w:w="4200"/>
            <w:shd w:fill="F2F2F2" w:val="clear"/>
            <w:tcMar>
              <w:top w:type="dxa" w:w="60"/>
              <w:left w:type="dxa" w:w="100"/>
              <w:bottom w:type="dxa" w:w="60"/>
              <w:right w:type="dxa" w:w="100"/>
            </w:tcMar>
          </w:tcPr>
          <w:p>
            <w:pPr>
              <w:jc w:val="left"/>
            </w:pPr>
            <w:r>
              <w:rPr>
                <w:b w:val="false"/>
                <w:bCs w:val="false"/>
                <w:color w:val="000000"/>
              </w:rPr>
              <w:t xml:space="preserve">Widening K → stocks go up (equity-growth proxy)</w:t>
            </w:r>
          </w:p>
        </w:tc>
        <w:tc>
          <w:tcPr>
            <w:tcW w:type="dxa" w:w="2200"/>
            <w:shd w:fill="F2F2F2" w:val="clear"/>
            <w:tcMar>
              <w:top w:type="dxa" w:w="60"/>
              <w:left w:type="dxa" w:w="100"/>
              <w:bottom w:type="dxa" w:w="60"/>
              <w:right w:type="dxa" w:w="100"/>
            </w:tcMar>
          </w:tcPr>
          <w:p>
            <w:pPr>
              <w:jc w:val="left"/>
            </w:pPr>
            <w:r>
              <w:rPr>
                <w:b w:val="false"/>
                <w:bCs w:val="false"/>
                <w:color w:val="000000"/>
              </w:rPr>
              <w:t xml:space="preserve">0.102</w:t>
            </w:r>
          </w:p>
        </w:tc>
        <w:tc>
          <w:tcPr>
            <w:tcW w:type="dxa" w:w="2200"/>
            <w:shd w:fill="F2F2F2" w:val="clear"/>
            <w:tcMar>
              <w:top w:type="dxa" w:w="60"/>
              <w:left w:type="dxa" w:w="100"/>
              <w:bottom w:type="dxa" w:w="60"/>
              <w:right w:type="dxa" w:w="100"/>
            </w:tcMar>
          </w:tcPr>
          <w:p>
            <w:pPr>
              <w:jc w:val="left"/>
            </w:pPr>
            <w:r>
              <w:rPr>
                <w:b w:val="false"/>
                <w:bCs w:val="false"/>
                <w:color w:val="000000"/>
              </w:rPr>
              <w:t xml:space="preserve">0.708</w:t>
            </w:r>
          </w:p>
        </w:tc>
      </w:tr>
    </w:tbl>
    <w:p>
      <w:pPr>
        <w:spacing w:after="160"/>
      </w:pPr>
    </w:p>
    <w:p>
      <w:pPr>
        <w:spacing w:after="160"/>
      </w:pPr>
      <w:r>
        <w:t xml:space="preserve">Both point the expected direction but neither clears a conventional 5% bar. Consistent with the advisors' own framing: a directionally-consistent-but-marginal contemporaneous relationship is close to what a real but weak mechanical channel looks like using public, quarterly data; a strong, clean predictive edge would be the surprising result, not the null one.</w:t>
      </w:r>
    </w:p>
    <w:p>
      <w:pPr>
        <w:pStyle w:val="Heading2"/>
        <w:spacing w:after="120" w:before="280"/>
      </w:pPr>
      <w:r>
        <w:t xml:space="preserve">2.2 — Real regressions against market data (via CRSP/WRDS)</w:t>
      </w:r>
    </w:p>
    <w:p>
      <w:pPr>
        <w:spacing w:after="160"/>
      </w:pPr>
      <w:r>
        <w:t xml:space="preserve">Six of nine target series now have real data. Each was tested as a combined model (K + 4 lags together) and then, critically, as two separate regressions — contemporaneous alone and lagged alone — because K correlates 0.918 with its own prior quarter, and that multicollinearity can make a combined model's individual coefficients look significant when neither half actually 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200"/>
      </w:tblGrid>
      <w:tr>
        <w:trPr>
          <w:tblHeader/>
        </w:trPr>
        <w:tc>
          <w:tcPr>
            <w:tcW w:type="dxa" w:w="2400"/>
            <w:shd w:fill="1F3B57" w:val="clear"/>
            <w:tcMar>
              <w:top w:type="dxa" w:w="60"/>
              <w:left w:type="dxa" w:w="100"/>
              <w:bottom w:type="dxa" w:w="60"/>
              <w:right w:type="dxa" w:w="100"/>
            </w:tcMar>
          </w:tcPr>
          <w:p>
            <w:pPr>
              <w:jc w:val="left"/>
            </w:pPr>
            <w:r>
              <w:rPr>
                <w:b/>
                <w:bCs/>
                <w:color w:val="FFFFFF"/>
              </w:rPr>
              <w:t xml:space="preserve">Target</w:t>
            </w:r>
          </w:p>
        </w:tc>
        <w:tc>
          <w:tcPr>
            <w:tcW w:type="dxa" w:w="3800"/>
            <w:shd w:fill="1F3B57" w:val="clear"/>
            <w:tcMar>
              <w:top w:type="dxa" w:w="60"/>
              <w:left w:type="dxa" w:w="100"/>
              <w:bottom w:type="dxa" w:w="60"/>
              <w:right w:type="dxa" w:w="100"/>
            </w:tcMar>
          </w:tcPr>
          <w:p>
            <w:pPr>
              <w:jc w:val="left"/>
            </w:pPr>
            <w:r>
              <w:rPr>
                <w:b/>
                <w:bCs/>
                <w:color w:val="FFFFFF"/>
              </w:rPr>
              <w:t xml:space="preserve">Robust across all lags tested?</w:t>
            </w:r>
          </w:p>
        </w:tc>
        <w:tc>
          <w:tcPr>
            <w:tcW w:type="dxa" w:w="2200"/>
            <w:shd w:fill="1F3B57" w:val="clear"/>
            <w:tcMar>
              <w:top w:type="dxa" w:w="60"/>
              <w:left w:type="dxa" w:w="100"/>
              <w:bottom w:type="dxa" w:w="60"/>
              <w:right w:type="dxa" w:w="100"/>
            </w:tcMar>
          </w:tcPr>
          <w:p>
            <w:pPr>
              <w:jc w:val="left"/>
            </w:pPr>
            <w:r>
              <w:rPr>
                <w:b/>
                <w:bCs/>
                <w:color w:val="FFFFFF"/>
              </w:rPr>
              <w:t xml:space="preserve">Verdict</w:t>
            </w:r>
          </w:p>
        </w:tc>
      </w:tr>
      <w:tr>
        <w:tc>
          <w:tcPr>
            <w:tcW w:type="dxa" w:w="2400"/>
            <w:tcMar>
              <w:top w:type="dxa" w:w="60"/>
              <w:left w:type="dxa" w:w="100"/>
              <w:bottom w:type="dxa" w:w="60"/>
              <w:right w:type="dxa" w:w="100"/>
            </w:tcMar>
          </w:tcPr>
          <w:p>
            <w:pPr>
              <w:jc w:val="left"/>
            </w:pPr>
            <w:r>
              <w:rPr>
                <w:b/>
                <w:bCs/>
                <w:color w:val="000000"/>
              </w:rPr>
              <w:t xml:space="preserve">10-Year Treasury (via IEF)</w:t>
            </w:r>
          </w:p>
        </w:tc>
        <w:tc>
          <w:tcPr>
            <w:tcW w:type="dxa" w:w="3800"/>
            <w:tcMar>
              <w:top w:type="dxa" w:w="60"/>
              <w:left w:type="dxa" w:w="100"/>
              <w:bottom w:type="dxa" w:w="60"/>
              <w:right w:type="dxa" w:w="100"/>
            </w:tcMar>
          </w:tcPr>
          <w:p>
            <w:pPr>
              <w:jc w:val="left"/>
            </w:pPr>
            <w:r>
              <w:rPr>
                <w:b/>
                <w:bCs/>
                <w:color w:val="000000"/>
              </w:rPr>
              <w:t xml:space="preserve">Yes — significant at n=1,2,3,4 (p=0.015, 0.011, 0.020, 0.018)</w:t>
            </w:r>
          </w:p>
        </w:tc>
        <w:tc>
          <w:tcPr>
            <w:tcW w:type="dxa" w:w="2200"/>
            <w:tcMar>
              <w:top w:type="dxa" w:w="60"/>
              <w:left w:type="dxa" w:w="100"/>
              <w:bottom w:type="dxa" w:w="60"/>
              <w:right w:type="dxa" w:w="100"/>
            </w:tcMar>
          </w:tcPr>
          <w:p>
            <w:pPr>
              <w:jc w:val="left"/>
            </w:pPr>
            <w:r>
              <w:rPr>
                <w:b/>
                <w:bCs/>
                <w:color w:val="1B6B3A"/>
              </w:rPr>
              <w:t xml:space="preserve">Real signal</w:t>
            </w:r>
          </w:p>
        </w:tc>
      </w:tr>
      <w:tr>
        <w:tc>
          <w:tcPr>
            <w:tcW w:type="dxa" w:w="2400"/>
            <w:shd w:fill="F2F2F2" w:val="clear"/>
            <w:tcMar>
              <w:top w:type="dxa" w:w="60"/>
              <w:left w:type="dxa" w:w="100"/>
              <w:bottom w:type="dxa" w:w="60"/>
              <w:right w:type="dxa" w:w="100"/>
            </w:tcMar>
          </w:tcPr>
          <w:p>
            <w:pPr>
              <w:jc w:val="left"/>
            </w:pPr>
            <w:r>
              <w:rPr>
                <w:b w:val="false"/>
                <w:bCs w:val="false"/>
                <w:color w:val="000000"/>
              </w:rPr>
              <w:t xml:space="preserve">S&amp;P 500</w:t>
            </w:r>
          </w:p>
        </w:tc>
        <w:tc>
          <w:tcPr>
            <w:tcW w:type="dxa" w:w="3800"/>
            <w:shd w:fill="F2F2F2" w:val="clear"/>
            <w:tcMar>
              <w:top w:type="dxa" w:w="60"/>
              <w:left w:type="dxa" w:w="100"/>
              <w:bottom w:type="dxa" w:w="60"/>
              <w:right w:type="dxa" w:w="100"/>
            </w:tcMar>
          </w:tcPr>
          <w:p>
            <w:pPr>
              <w:jc w:val="left"/>
            </w:pPr>
            <w:r>
              <w:rPr>
                <w:b w:val="false"/>
                <w:bCs w:val="false"/>
                <w:color w:val="000000"/>
              </w:rPr>
              <w:t xml:space="preserve">No — only in combined model; separated tests null (p=0.195, 0.353)</w:t>
            </w:r>
          </w:p>
        </w:tc>
        <w:tc>
          <w:tcPr>
            <w:tcW w:type="dxa" w:w="2200"/>
            <w:shd w:fill="F2F2F2" w:val="clear"/>
            <w:tcMar>
              <w:top w:type="dxa" w:w="60"/>
              <w:left w:type="dxa" w:w="100"/>
              <w:bottom w:type="dxa" w:w="60"/>
              <w:right w:type="dxa" w:w="100"/>
            </w:tcMar>
          </w:tcPr>
          <w:p>
            <w:pPr>
              <w:jc w:val="left"/>
            </w:pPr>
            <w:r>
              <w:rPr>
                <w:b w:val="false"/>
                <w:bCs w:val="false"/>
                <w:color w:val="A3231F"/>
              </w:rPr>
              <w:t xml:space="preserve">No alpha</w:t>
            </w:r>
          </w:p>
        </w:tc>
      </w:tr>
      <w:tr>
        <w:tc>
          <w:tcPr>
            <w:tcW w:type="dxa" w:w="2400"/>
            <w:tcMar>
              <w:top w:type="dxa" w:w="60"/>
              <w:left w:type="dxa" w:w="100"/>
              <w:bottom w:type="dxa" w:w="60"/>
              <w:right w:type="dxa" w:w="100"/>
            </w:tcMar>
          </w:tcPr>
          <w:p>
            <w:pPr>
              <w:jc w:val="left"/>
            </w:pPr>
            <w:r>
              <w:rPr>
                <w:b w:val="false"/>
                <w:bCs w:val="false"/>
                <w:color w:val="000000"/>
              </w:rPr>
              <w:t xml:space="preserve">USD/JPY (via FXY)</w:t>
            </w:r>
          </w:p>
        </w:tc>
        <w:tc>
          <w:tcPr>
            <w:tcW w:type="dxa" w:w="3800"/>
            <w:tcMar>
              <w:top w:type="dxa" w:w="60"/>
              <w:left w:type="dxa" w:w="100"/>
              <w:bottom w:type="dxa" w:w="60"/>
              <w:right w:type="dxa" w:w="100"/>
            </w:tcMar>
          </w:tcPr>
          <w:p>
            <w:pPr>
              <w:jc w:val="left"/>
            </w:pPr>
            <w:r>
              <w:rPr>
                <w:b w:val="false"/>
                <w:bCs w:val="false"/>
                <w:color w:val="000000"/>
              </w:rPr>
              <w:t xml:space="preserve">No — only significant at 3–4 lags (p=0.013, 0.012), not 1–2</w:t>
            </w:r>
          </w:p>
        </w:tc>
        <w:tc>
          <w:tcPr>
            <w:tcW w:type="dxa" w:w="2200"/>
            <w:tcMar>
              <w:top w:type="dxa" w:w="60"/>
              <w:left w:type="dxa" w:w="100"/>
              <w:bottom w:type="dxa" w:w="60"/>
              <w:right w:type="dxa" w:w="100"/>
            </w:tcMar>
          </w:tcPr>
          <w:p>
            <w:pPr>
              <w:jc w:val="left"/>
            </w:pPr>
            <w:r>
              <w:rPr>
                <w:b w:val="false"/>
                <w:bCs w:val="false"/>
                <w:color w:val="9A6B00"/>
              </w:rPr>
              <w:t xml:space="preserve">Not robust</w:t>
            </w:r>
          </w:p>
        </w:tc>
      </w:tr>
      <w:tr>
        <w:tc>
          <w:tcPr>
            <w:tcW w:type="dxa" w:w="2400"/>
            <w:shd w:fill="F2F2F2" w:val="clear"/>
            <w:tcMar>
              <w:top w:type="dxa" w:w="60"/>
              <w:left w:type="dxa" w:w="100"/>
              <w:bottom w:type="dxa" w:w="60"/>
              <w:right w:type="dxa" w:w="100"/>
            </w:tcMar>
          </w:tcPr>
          <w:p>
            <w:pPr>
              <w:jc w:val="left"/>
            </w:pPr>
            <w:r>
              <w:rPr>
                <w:b w:val="false"/>
                <w:bCs w:val="false"/>
                <w:color w:val="000000"/>
              </w:rPr>
              <w:t xml:space="preserve">USD/EUR (via FXE)</w:t>
            </w:r>
          </w:p>
        </w:tc>
        <w:tc>
          <w:tcPr>
            <w:tcW w:type="dxa" w:w="3800"/>
            <w:shd w:fill="F2F2F2" w:val="clear"/>
            <w:tcMar>
              <w:top w:type="dxa" w:w="60"/>
              <w:left w:type="dxa" w:w="100"/>
              <w:bottom w:type="dxa" w:w="60"/>
              <w:right w:type="dxa" w:w="100"/>
            </w:tcMar>
          </w:tcPr>
          <w:p>
            <w:pPr>
              <w:jc w:val="left"/>
            </w:pPr>
            <w:r>
              <w:rPr>
                <w:b w:val="false"/>
                <w:bCs w:val="false"/>
                <w:color w:val="000000"/>
              </w:rPr>
              <w:t xml:space="preserve">No — null at every lag tried</w:t>
            </w:r>
          </w:p>
        </w:tc>
        <w:tc>
          <w:tcPr>
            <w:tcW w:type="dxa" w:w="2200"/>
            <w:shd w:fill="F2F2F2" w:val="clear"/>
            <w:tcMar>
              <w:top w:type="dxa" w:w="60"/>
              <w:left w:type="dxa" w:w="100"/>
              <w:bottom w:type="dxa" w:w="60"/>
              <w:right w:type="dxa" w:w="100"/>
            </w:tcMar>
          </w:tcPr>
          <w:p>
            <w:pPr>
              <w:jc w:val="left"/>
            </w:pPr>
            <w:r>
              <w:rPr>
                <w:b w:val="false"/>
                <w:bCs w:val="false"/>
                <w:color w:val="A3231F"/>
              </w:rPr>
              <w:t xml:space="preserve">No alpha</w:t>
            </w:r>
          </w:p>
        </w:tc>
      </w:tr>
      <w:tr>
        <w:tc>
          <w:tcPr>
            <w:tcW w:type="dxa" w:w="2400"/>
            <w:tcMar>
              <w:top w:type="dxa" w:w="60"/>
              <w:left w:type="dxa" w:w="100"/>
              <w:bottom w:type="dxa" w:w="60"/>
              <w:right w:type="dxa" w:w="100"/>
            </w:tcMar>
          </w:tcPr>
          <w:p>
            <w:pPr>
              <w:jc w:val="left"/>
            </w:pPr>
            <w:r>
              <w:rPr>
                <w:b w:val="false"/>
                <w:bCs w:val="false"/>
                <w:color w:val="000000"/>
              </w:rPr>
              <w:t xml:space="preserve">USD/GBP (via FXB)</w:t>
            </w:r>
          </w:p>
        </w:tc>
        <w:tc>
          <w:tcPr>
            <w:tcW w:type="dxa" w:w="3800"/>
            <w:tcMar>
              <w:top w:type="dxa" w:w="60"/>
              <w:left w:type="dxa" w:w="100"/>
              <w:bottom w:type="dxa" w:w="60"/>
              <w:right w:type="dxa" w:w="100"/>
            </w:tcMar>
          </w:tcPr>
          <w:p>
            <w:pPr>
              <w:jc w:val="left"/>
            </w:pPr>
            <w:r>
              <w:rPr>
                <w:b w:val="false"/>
                <w:bCs w:val="false"/>
                <w:color w:val="000000"/>
              </w:rPr>
              <w:t xml:space="preserve">No — null at every lag tried</w:t>
            </w:r>
          </w:p>
        </w:tc>
        <w:tc>
          <w:tcPr>
            <w:tcW w:type="dxa" w:w="2200"/>
            <w:tcMar>
              <w:top w:type="dxa" w:w="60"/>
              <w:left w:type="dxa" w:w="100"/>
              <w:bottom w:type="dxa" w:w="60"/>
              <w:right w:type="dxa" w:w="100"/>
            </w:tcMar>
          </w:tcPr>
          <w:p>
            <w:pPr>
              <w:jc w:val="left"/>
            </w:pPr>
            <w:r>
              <w:rPr>
                <w:b w:val="false"/>
                <w:bCs w:val="false"/>
                <w:color w:val="A3231F"/>
              </w:rPr>
              <w:t xml:space="preserve">No alpha</w:t>
            </w:r>
          </w:p>
        </w:tc>
      </w:tr>
      <w:tr>
        <w:tc>
          <w:tcPr>
            <w:tcW w:type="dxa" w:w="2400"/>
            <w:shd w:fill="F2F2F2" w:val="clear"/>
            <w:tcMar>
              <w:top w:type="dxa" w:w="60"/>
              <w:left w:type="dxa" w:w="100"/>
              <w:bottom w:type="dxa" w:w="60"/>
              <w:right w:type="dxa" w:w="100"/>
            </w:tcMar>
          </w:tcPr>
          <w:p>
            <w:pPr>
              <w:jc w:val="left"/>
            </w:pPr>
            <w:r>
              <w:rPr>
                <w:b w:val="false"/>
                <w:bCs w:val="false"/>
                <w:color w:val="000000"/>
              </w:rPr>
              <w:t xml:space="preserve">Gold (via GLD)</w:t>
            </w:r>
          </w:p>
        </w:tc>
        <w:tc>
          <w:tcPr>
            <w:tcW w:type="dxa" w:w="3800"/>
            <w:shd w:fill="F2F2F2" w:val="clear"/>
            <w:tcMar>
              <w:top w:type="dxa" w:w="60"/>
              <w:left w:type="dxa" w:w="100"/>
              <w:bottom w:type="dxa" w:w="60"/>
              <w:right w:type="dxa" w:w="100"/>
            </w:tcMar>
          </w:tcPr>
          <w:p>
            <w:pPr>
              <w:jc w:val="left"/>
            </w:pPr>
            <w:r>
              <w:rPr>
                <w:b w:val="false"/>
                <w:bCs w:val="false"/>
                <w:color w:val="000000"/>
              </w:rPr>
              <w:t xml:space="preserve">No — null at every lag tried</w:t>
            </w:r>
          </w:p>
        </w:tc>
        <w:tc>
          <w:tcPr>
            <w:tcW w:type="dxa" w:w="2200"/>
            <w:shd w:fill="F2F2F2" w:val="clear"/>
            <w:tcMar>
              <w:top w:type="dxa" w:w="60"/>
              <w:left w:type="dxa" w:w="100"/>
              <w:bottom w:type="dxa" w:w="60"/>
              <w:right w:type="dxa" w:w="100"/>
            </w:tcMar>
          </w:tcPr>
          <w:p>
            <w:pPr>
              <w:jc w:val="left"/>
            </w:pPr>
            <w:r>
              <w:rPr>
                <w:b w:val="false"/>
                <w:bCs w:val="false"/>
                <w:color w:val="A3231F"/>
              </w:rPr>
              <w:t xml:space="preserve">No alpha</w:t>
            </w:r>
          </w:p>
        </w:tc>
      </w:tr>
    </w:tbl>
    <w:p>
      <w:pPr>
        <w:spacing w:after="160"/>
      </w:pPr>
    </w:p>
    <w:p>
      <w:pPr>
        <w:spacing w:after="160"/>
      </w:pPr>
      <w:r>
        <w:t xml:space="preserve">Treasury is the one target that survives every robustness check applied — significant at every lag length from 1 to 4, driven consistently by K_lag1 (positive, p ranging 0.003–0.02 depending on specification). </w:t>
      </w:r>
      <w:r>
        <w:t xml:space="preserve">The contemporaneous-only test is not significant (p=0.262); this is specifically a one-quarter-lagged relationship: widening K predicts stronger Treasury returns the following quarter, consistent with divergence signaling stress that shows up as a flight-to-quality bid or eased rate expectations a quarter later, not immediately.</w:t>
      </w:r>
    </w:p>
    <w:p>
      <w:pPr>
        <w:spacing w:after="160"/>
      </w:pPr>
      <w:r>
        <w:rPr>
          <w:i/>
          <w:iCs/>
        </w:rPr>
        <w:t xml:space="preserve">Six of seven asset-price targets tested so far are null or fragile. K does not behave like a generic risk-on/risk-off signal — its one robust relationship is specifically with interest-rate-sensitive assets, which is a more defensible, more specific story than “K predicts markets broadly” would have been.</w:t>
      </w:r>
    </w:p>
    <w:p>
      <w:pPr>
        <w:spacing w:after="160"/>
      </w:pPr>
      <w:r>
        <w:rPr>
          <w:i/>
          <w:iCs/>
        </w:rPr>
        <w:t xml:space="preserve">Still missing: unemployment rate, GDP, industrial production (genuinely outside CRSP's scope — FRED/BLS/BEA territory) — the last three of the nine originally-requested target series.</w:t>
      </w:r>
    </w:p>
    <w:p>
      <w:pPr>
        <w:pStyle w:val="Heading2"/>
        <w:spacing w:after="120" w:before="280"/>
      </w:pPr>
      <w:r>
        <w:t xml:space="preserve">2.3 — Cross-model corroboration</w:t>
      </w:r>
    </w:p>
    <w:p>
      <w:pPr>
        <w:spacing w:after="160"/>
      </w:pPr>
      <w:r>
        <w:rPr>
          <w:b/>
          <w:bCs/>
        </w:rPr>
        <w:t xml:space="preserve">The single most notable pattern in this entire research effort: two independently-built composite indices, from different underlying data, converge on the same signal. </w:t>
      </w:r>
      <w:r>
        <w:t xml:space="preserve">BEDI (built from Boomer-specific DFA rotation + wealth-concentration data) predicts LQD outperforming SPY one quarter ahead. The K-Index (built from Fed wealth, Atlanta Fed income, and University of Michigan sentiment data — no overlap with BEDI's inputs) independently predicts 10-year Treasury total returns one quarter ahead. Both say the same thing: widening economic divergence precedes a bond-favoring quarter.</w:t>
      </w:r>
    </w:p>
    <w:p>
      <w:pPr>
        <w:spacing w:after="160"/>
      </w:pPr>
      <w:r>
        <w:t xml:space="preserve">This does not happen with a spurious or overfit result — two unrelated signals landing on the same conclusion, through different data and different code paths, is exactly the kind of convergent evidence that raises confidence beyond what either result alone would justify. It remains a lead to develop further, not a finished trading signal: no out-of-sample test, no transaction-cost analysis, and no risk-factor controls have been applied to either.</w:t>
      </w:r>
    </w:p>
    <w:p>
      <w:r>
        <w:br w:type="page"/>
      </w:r>
    </w:p>
    <w:p>
      <w:pPr>
        <w:pStyle w:val="Heading1"/>
        <w:spacing w:after="120" w:before="280"/>
      </w:pPr>
      <w:r>
        <w:t xml:space="preserve">Bottom Line: Does This Framework Generate Alpha?</w:t>
      </w:r>
    </w:p>
    <w:p>
      <w:pPr>
        <w:spacing w:after="160"/>
      </w:pPr>
      <w:r>
        <w:rPr>
          <w:b/>
          <w:bCs/>
        </w:rPr>
        <w:t xml:space="preserve">Mostly no — and that itself is a legitimate, useful finding, not a failure. </w:t>
      </w:r>
      <w:r>
        <w:t xml:space="preserve">Nine of the fourteen completed tests came back null; one more (USD/JPY) looked significant only until the same lag-robustness check applied everywhere else was run on it. A signal that only survives one specific, arbitrary choice of specification is the signature of noise, not a real relationship — and the fact that this project caught that pattern repeatedly (BEDI's structural break, the DFA rotation sweep, K vs. S&amp;P 500, K vs. USD/JPY) rather than reporting the first significant p-value it found is exactly the discipline that makes the two surviving results worth taking seriously.</w:t>
      </w:r>
    </w:p>
    <w:p>
      <w:pPr>
        <w:spacing w:after="160"/>
      </w:pPr>
      <w:r>
        <w:t xml:space="preserve">The two results that did survive — BEDI → LQD−SPY and K-Index → Treasury — point to a specific, coherent, and modest claim: </w:t>
      </w:r>
      <w:r>
        <w:rPr>
          <w:b/>
          <w:bCs/>
        </w:rPr>
        <w:t xml:space="preserve">measures of economic/wealth divergence built from public data contain real information about the following quarter's bond-versus-equity returns, not about stocks, currencies, or gold broadly.</w:t>
      </w:r>
      <w:r>
        <w:t xml:space="preserve"> That is a genuinely interesting research result. It is not yet a validated trading strategy — both signals need out-of-sample testing, transaction-cost-aware backtesting, and (for BEDI) risk-factor controls before anyone should size a real position on them.</w:t>
      </w:r>
    </w:p>
    <w:p>
      <w:pPr>
        <w:spacing w:after="160"/>
      </w:pPr>
      <w:r>
        <w:t xml:space="preserve">Consistent with the efficient-markets skepticism raised explicitly in advisor feedback (“Buffett wouldn't expect a relationship”): the overwhelming pattern across fourteen tests is null results, which is exactly what should be expected from signals built entirely out of slow-moving, publicly available quarterly data. The two exceptions are narrow, specific, and mutually corroborating rather than broad and convenient — the profile of a real, if modest, effect rather than a data-mined one.</w:t>
      </w:r>
    </w:p>
    <w:p>
      <w:pPr>
        <w:pStyle w:val="Heading1"/>
        <w:spacing w:after="120" w:before="280"/>
      </w:pPr>
      <w:r>
        <w:t xml:space="preserve">What's Still Needed</w:t>
      </w:r>
    </w:p>
    <w:p>
      <w:pPr>
        <w:pStyle w:val="ListParagraph"/>
        <w:numPr>
          <w:ilvl w:val="0"/>
          <w:numId w:val="1"/>
        </w:numPr>
        <w:spacing w:after="100"/>
      </w:pPr>
      <w:r>
        <w:t xml:space="preserve">Fama-French 5 factors + momentum — unblocks the Pillar 2 alpha regression (tests whether the long-short ETF strategy's negative return reflects sector selection or just uncontrolled market-beta exposure) and adds risk-factor controls to the BEDI forward-return test.</w:t>
      </w:r>
    </w:p>
    <w:p>
      <w:pPr>
        <w:pStyle w:val="ListParagraph"/>
        <w:numPr>
          <w:ilvl w:val="0"/>
          <w:numId w:val="1"/>
        </w:numPr>
        <w:spacing w:after="100"/>
      </w:pPr>
      <w:r>
        <w:t xml:space="preserve">Unemployment rate, GDP, industrial production — unblocks the final three K-Index target series. Outside CRSP's scope; FRED, BLS, or BEA directly.</w:t>
      </w:r>
    </w:p>
    <w:p>
      <w:pPr>
        <w:pStyle w:val="ListParagraph"/>
        <w:numPr>
          <w:ilvl w:val="0"/>
          <w:numId w:val="1"/>
        </w:numPr>
        <w:spacing w:after="100"/>
      </w:pPr>
      <w:r>
        <w:t xml:space="preserve">Out-of-sample validation of both surviving signals (BEDI→LQD-SPY, K→Treasury) — in-sample robustness across lag length is necessary but not sufficient; a genuinely tradeable signal should also hold up on data it wasn't fit to.</w:t>
      </w:r>
    </w:p>
    <w:p>
      <w:pPr>
        <w:pStyle w:val="ListParagraph"/>
        <w:numPr>
          <w:ilvl w:val="0"/>
          <w:numId w:val="1"/>
        </w:numPr>
        <w:spacing w:after="100"/>
      </w:pPr>
      <w:r>
        <w:t xml:space="preserve">A real consumer-credit delinquency series (the NY Fed/Equifax data already cited in Pillar 4 for the mortgage-FICO chart) would sharpen the marginal consumer-credit mechanism test beyond the leverage-ratio proxy used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2026-08-09T23:17:40.509Z</dcterms:created>
  <dcterms:modified xsi:type="dcterms:W3CDTF">2026-08-09T23:17:40.513Z</dcterms:modified>
</cp:coreProperties>
</file>

<file path=docProps/custom.xml><?xml version="1.0" encoding="utf-8"?>
<Properties xmlns="http://schemas.openxmlformats.org/officeDocument/2006/custom-properties" xmlns:vt="http://schemas.openxmlformats.org/officeDocument/2006/docPropsVTypes"/>
</file>