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CD0" w:rsidRDefault="00FC5113">
      <w:r>
        <w:t>Paper 2</w:t>
      </w:r>
    </w:p>
    <w:p w:rsidR="00FC5113" w:rsidRDefault="00FC5113">
      <w:r>
        <w:t>Dan Birman</w:t>
      </w:r>
    </w:p>
    <w:p w:rsidR="00FC5113" w:rsidRDefault="00FC5113"/>
    <w:p w:rsidR="00FC5113" w:rsidRDefault="00FC5113">
      <w:r>
        <w:rPr>
          <w:b/>
        </w:rPr>
        <w:t xml:space="preserve">Moving Beyond </w:t>
      </w:r>
      <w:r w:rsidR="0048739D">
        <w:rPr>
          <w:b/>
        </w:rPr>
        <w:t>Saliency Maps to</w:t>
      </w:r>
      <w:r>
        <w:rPr>
          <w:b/>
        </w:rPr>
        <w:t xml:space="preserve"> </w:t>
      </w:r>
      <w:r w:rsidR="0048739D">
        <w:rPr>
          <w:b/>
        </w:rPr>
        <w:t>Modeling</w:t>
      </w:r>
      <w:r>
        <w:rPr>
          <w:b/>
        </w:rPr>
        <w:t xml:space="preserve"> the Full Role of</w:t>
      </w:r>
      <w:r w:rsidR="0048739D">
        <w:rPr>
          <w:b/>
        </w:rPr>
        <w:t xml:space="preserve"> </w:t>
      </w:r>
      <w:r w:rsidR="00935742">
        <w:rPr>
          <w:b/>
        </w:rPr>
        <w:t xml:space="preserve">Visual </w:t>
      </w:r>
      <w:r w:rsidR="0048739D">
        <w:rPr>
          <w:b/>
        </w:rPr>
        <w:t>Attention</w:t>
      </w:r>
    </w:p>
    <w:p w:rsidR="00FC5113" w:rsidRDefault="00FC5113"/>
    <w:p w:rsidR="0048739D" w:rsidRDefault="0048739D">
      <w:r>
        <w:tab/>
        <w:t xml:space="preserve">As we move through the world we attend from moment-to-moment to a vast number of different parts of the visual world. </w:t>
      </w:r>
      <w:r w:rsidR="00935742">
        <w:t xml:space="preserve">Cognitive science makes a strong and well-founded claim that visual attention, at the neural level, is a process that modulates the strength of signals in visual cortex </w:t>
      </w:r>
      <w:r w:rsidR="00935742">
        <w:fldChar w:fldCharType="begin"/>
      </w:r>
      <w:r w:rsidR="00935742">
        <w:instrText xml:space="preserve"> ADDIN ZOTERO_ITEM CSL_CITATION {"citationID":"1919tjuu23","properties":{"formattedCitation":"(Pessoa, Kastner, &amp; Ungerleider, 2003)","plainCitation":"(Pessoa, Kastner, &amp; Ungerleider, 2003)"},"citationItems":[{"id":64,"uris":["http://zotero.org/users/2176449/items/D8GSGUCV"],"uri":["http://zotero.org/users/2176449/items/D8GSGUCV"],"itemData":{"id":64,"type":"article-journal","title":"Neuroimaging studies of attention: from modulation of sensory processing to top-down control","container-title":"The Journal of Neuroscience","page":"3990–3998","volume":"23","issue":"10","source":"Google Scholar","shortTitle":"Neuroimaging studies of attention","author":[{"family":"Pessoa","given":"Luiz"},{"family":"Kastner","given":"Sabine"},{"family":"Ungerleider","given":"Leslie G."}],"issued":{"date-parts":[["2003"]]},"accessed":{"date-parts":[["2015",1,28]],"season":"02:00:41"}}}],"schema":"https://github.com/citation-style-language/schema/raw/master/csl-citation.json"} </w:instrText>
      </w:r>
      <w:r w:rsidR="00935742">
        <w:fldChar w:fldCharType="separate"/>
      </w:r>
      <w:r w:rsidR="00935742" w:rsidRPr="00935742">
        <w:rPr>
          <w:rFonts w:ascii="Calibri" w:hAnsi="Calibri"/>
        </w:rPr>
        <w:t>(Pessoa, Kastner, &amp; Ungerleider, 2003)</w:t>
      </w:r>
      <w:r w:rsidR="00935742">
        <w:fldChar w:fldCharType="end"/>
      </w:r>
      <w:r w:rsidR="00935742">
        <w:t xml:space="preserve">. At </w:t>
      </w:r>
      <w:r w:rsidR="00283CD7">
        <w:t>a higher level of</w:t>
      </w:r>
      <w:r w:rsidR="00935742">
        <w:t xml:space="preserve"> abstraction from neural activity attention can be understood of as a shift in the representation of different stimulus features. For example, the representation of contrast in visual cortex is a monotonic function of the physical stimulus contrast. The</w:t>
      </w:r>
      <w:r w:rsidR="00283CD7">
        <w:t xml:space="preserve"> effect of attention is to alter the properties of that function: for example, the readout mechanism </w:t>
      </w:r>
      <w:r w:rsidR="00935742">
        <w:t xml:space="preserve">can all be altered by spatial attention </w:t>
      </w:r>
      <w:r w:rsidR="00935742">
        <w:fldChar w:fldCharType="begin"/>
      </w:r>
      <w:r w:rsidR="00935742">
        <w:instrText xml:space="preserve"> ADDIN ZOTERO_ITEM CSL_CITATION {"citationID":"1d8a7vamkb","properties":{"formattedCitation":"(Hara &amp; Gardner, 2014; Pestilli, Carrasco, Heeger, &amp; Gardner, 2011)","plainCitation":"(Hara &amp; Gardner, 2014; Pestilli, Carrasco, Heeger, &amp; Gardner, 2011)"},"citationItems":[{"id":1388,"uris":["http://zotero.org/users/2176449/items/G2FPUVMX"],"uri":["http://zotero.org/users/2176449/items/G2FPUVMX"],"itemData":{"id":1388,"type":"article-journal","title":"Encoding of graded changes in spatial specificity of prior cues in human visual cortex.","container-title":"Journal of neurophysiology","abstract":"Prior information about the relevance of spatial locations can vary in specificity; a single location, a subset of locations or all locations may be of potential importance. Using a contrast-discrimination task with 4 possible targets, we asked whether performance benefits are graded with the spatial specificity of a prior cue and whether we could quantitatively account for behavioral performance with cortical activity changes measured by blood oxygenation level dependent (BOLD) imaging. Thus we changed the prior probability that each location contained the target from 100 to 50 to 25% by cueing in advance 1, 2 or 4 of the possible locations. We found that behavioral performance (discrimination thresholds) improved in a graded fashion with spatial specificity. However, concurrently measured cortical responses from retinotopically-defined visual areas were not strictly graded; response magnitude decreased when all four locations were cued (25% prior probability) relative to the 100 and 50% prior probability conditions, but no significant difference in response magnitude was found between the 100 and 50% prior probability conditions for either cued or uncued locations. Also, while cueing locations increased responses relative to non-cueing, this cue-sensitivity was not graded with prior probability. Further, contrast-sensitivity of cortical responses, which could improve contrast discrimination performance, was not graded. Instead, an efficient-selection model showed that even if sensory responses do not strictly scale with prior probability, selection of sensory responses by weighting larger responses more can result in graded behavioral performance benefits with increasing spatial specificity of prior information.","URL":"http://www.ncbi.nlm.nih.gov/pubmed/25185808","DOI":"10.1152/jn.00729.2013","author":[{"family":"Hara","given":"Yuko"},{"family":"Gardner","given":"Justin L"}],"issued":{"date-parts":[["2014",9]]}}},{"id":1390,"uris":["http://zotero.org/users/2176449/items/BJIUWIKG"],"uri":["http://zotero.org/users/2176449/items/BJIUWIKG"],"itemData":{"id":1390,"type":"article-journal","title":"Attentional enhancement via selection and pooling of early sensory responses in human visual cortex.","container-title":"Neuron","page":"832-46","volume":"72","issue":"5","abstract":"The computational processes by which attention improves behavioral performance were characterized by measuring visual cortical activity with functional magnetic resonance imaging as humans performed a contrast-discrimination task with focal and distributed attention. Focal attention yielded robust improvements in behavioral performance accompanied by increases in cortical responses. Quantitative analysis revealed that if performance were limited only by the sensitivity of the measured sensory signals, the improvements in behavioral performance would have corresponded to an unrealistically large reduction in response variability. Instead, behavioral performance was well characterized by a pooling and selection process for which the largest sensory responses, those most strongly modulated by attention, dominated the perceptual decision. This characterization predicts that high-contrast distracters that evoke large responses should negatively impact behavioral performance. We tested and confirmed this prediction. We conclude that attention enhanced behavioral performance predominantly by enabling efficient selection of the behaviorally relevant sensory signals.","DOI":"10.1016/j.neuron.2011.09.025","author":[{"family":"Pestilli","given":"Franco"},{"family":"Carrasco","given":"Marisa"},{"family":"Heeger","given":"David J"},{"family":"Gardner","given":"Justin L"}],"issued":{"date-parts":[["2011",12]]}}}],"schema":"https://github.com/citation-style-language/schema/raw/master/csl-citation.json"} </w:instrText>
      </w:r>
      <w:r w:rsidR="00935742">
        <w:fldChar w:fldCharType="separate"/>
      </w:r>
      <w:r w:rsidR="00935742" w:rsidRPr="00935742">
        <w:rPr>
          <w:rFonts w:ascii="Calibri" w:hAnsi="Calibri"/>
        </w:rPr>
        <w:t>(Hara &amp; Gardner, 2014; Pestilli, Carrasco, Heeger, &amp; Gardner, 2011)</w:t>
      </w:r>
      <w:r w:rsidR="00935742">
        <w:fldChar w:fldCharType="end"/>
      </w:r>
      <w:r w:rsidR="00935742">
        <w:t xml:space="preserve">. </w:t>
      </w:r>
      <w:r w:rsidR="00283CD7">
        <w:t xml:space="preserve">In tandem, </w:t>
      </w:r>
      <w:r w:rsidR="00935742">
        <w:t xml:space="preserve">the effects of attention for non-spatial features </w:t>
      </w:r>
      <w:r w:rsidR="00283CD7">
        <w:t>have been repeatedly observed in</w:t>
      </w:r>
      <w:r w:rsidR="00935742">
        <w:t xml:space="preserve"> behavioral paradigms</w:t>
      </w:r>
      <w:r w:rsidR="00283CD7">
        <w:t xml:space="preserve">. </w:t>
      </w:r>
      <w:r w:rsidR="00935742">
        <w:t xml:space="preserve">For example in dual tasks subjects show significant impairment for ‘unattended’ stimuli such as natural scenes </w:t>
      </w:r>
      <w:r w:rsidR="00935742">
        <w:fldChar w:fldCharType="begin"/>
      </w:r>
      <w:r w:rsidR="00935742">
        <w:instrText xml:space="preserve"> ADDIN ZOTERO_ITEM CSL_CITATION {"citationID":"20tpjio22b","properties":{"formattedCitation":"(Cohen, Alvarez, &amp; Nakayama, 2011; Mack, Erol, &amp; Clarke, 2015; Mack, Arien &amp; Rock, Irvin, 1998)","plainCitation":"(Cohen, Alvarez, &amp; Nakayama, 2011; Mack, Erol, &amp; Clarke, 2015; Mack, Arien &amp; Rock, Irvin, 1998)"},"citationItems":[{"id":1414,"uris":["http://zotero.org/users/2176449/items/F72EU5QP"],"uri":["http://zotero.org/users/2176449/items/F72EU5QP"],"itemData":{"id":1414,"type":"article-journal","title":"Natural-scene perception requires attention.","container-title":"Psychological science","page":"1165-72","volume":"22","issue":"9","abstract":"Is visual attention required for visual consciousness? In the past decade, many researchers have claimed that awareness can arise in the absence of attention. This claim is largely based on the notion that natural scene (or \"gist\") perception occurs without attention. This article presents evidence against this idea. We show that when observers perform a variety of demanding, sustained-attention tasks, inattentional blindness occurs for natural scenes. In addition, scene perception is impaired under dual-task conditions, but only when the primary task is sufficiently demanding. This finding suggests that previous studies that have been interpreted as demonstrating scene perception without attention failed to fully engage attention and that natural-scene perception does indeed require attention. Thus, natural-scene perception is not a preattentive process and cannot be used to support the idea of awareness without attention.","DOI":"10.1177/0956797611419168","author":[{"family":"Cohen","given":"Michael a"},{"family":"Alvarez","given":"George a"},{"family":"Nakayama","given":"Ken"}],"issued":{"date-parts":[["2011",9]]}}},{"id":96,"uris":["http://zotero.org/users/2176449/items/D2NM976E"],"uri":["http://zotero.org/users/2176449/items/D2NM976E"],"itemData":{"id":96,"type":"article-journal","title":"Iconic memory is not a case of attention-free awareness","container-title":"Consciousness and Cognition","page":"291-299","volume":"33","source":"CrossRef","DOI":"10.1016/j.concog.2014.12.016","ISSN":"10538100","language":"en","author":[{"family":"Mack","given":"Arien"},{"family":"Erol","given":"Muge"},{"family":"Clarke","given":"Jason"}],"issued":{"date-parts":[["2015",5]]},"accessed":{"date-parts":[["2015",2,17]]}}},{"id":65,"uris":["http://zotero.org/users/2176449/items/FC6SF7S7"],"uri":["http://zotero.org/users/2176449/items/FC6SF7S7"],"itemData":{"id":65,"type":"book","title":"Inattentional Blindness.","publisher":"The MIT Press","author":[{"family":"Mack, Arien","given":""},{"family":"Rock, Irvin","given":""}],"issued":{"date-parts":[["1998"]]}}}],"schema":"https://github.com/citation-style-language/schema/raw/master/csl-citation.json"} </w:instrText>
      </w:r>
      <w:r w:rsidR="00935742">
        <w:fldChar w:fldCharType="separate"/>
      </w:r>
      <w:r w:rsidR="00935742" w:rsidRPr="00935742">
        <w:rPr>
          <w:rFonts w:ascii="Calibri" w:hAnsi="Calibri"/>
        </w:rPr>
        <w:t>(Cohen, Alvarez, &amp; Nakayama, 2011; Mack, Erol, &amp; Clarke, 2015; Mack, Arien &amp; Rock, Irvin, 1998)</w:t>
      </w:r>
      <w:r w:rsidR="00935742">
        <w:fldChar w:fldCharType="end"/>
      </w:r>
      <w:r w:rsidR="00935742">
        <w:t xml:space="preserve">. </w:t>
      </w:r>
      <w:r w:rsidR="003553FF">
        <w:t xml:space="preserve">At the most abstract level, Maar’s computational level </w:t>
      </w:r>
      <w:r w:rsidR="003553FF">
        <w:fldChar w:fldCharType="begin"/>
      </w:r>
      <w:r w:rsidR="00050B5F">
        <w:instrText xml:space="preserve"> ADDIN ZOTERO_ITEM CSL_CITATION {"citationID":"2p11hoac8r","properties":{"formattedCitation":"(Maar, David, 1982)","plainCitation":"(Maar, David, 1982)"},"citationItems":[{"id":178,"uris":["http://zotero.org/users/2176449/items/3JJRMTRW"],"uri":["http://zotero.org/users/2176449/items/3JJRMTRW"],"itemData":{"id":178,"type":"chapter","title":"Chapter 1: The Philosophy &amp; Approach","container-title":"Vision","publisher":"MIT Press","publisher-place":"Cambridge, MA","page":"19-29","event-place":"Cambridge, MA","author":[{"family":"Maar, David","given":""}],"issued":{"date-parts":[["1982"]]}}}],"schema":"https://github.com/citation-style-language/schema/raw/master/csl-citation.json"} </w:instrText>
      </w:r>
      <w:r w:rsidR="003553FF">
        <w:fldChar w:fldCharType="separate"/>
      </w:r>
      <w:r w:rsidR="00050B5F" w:rsidRPr="00050B5F">
        <w:rPr>
          <w:rFonts w:ascii="Calibri" w:hAnsi="Calibri"/>
        </w:rPr>
        <w:t>(Maar, David, 1982)</w:t>
      </w:r>
      <w:r w:rsidR="003553FF">
        <w:fldChar w:fldCharType="end"/>
      </w:r>
      <w:r w:rsidR="003553FF">
        <w:t xml:space="preserve">,attention is a way to increase the signal to noise ratio of a noisy input. Attention is, at the core, a probabilistic computation: deciding where to deploy attentional resources (at the cost of other locations and features) implies some expectation about the state of the world. Understanding how attention is deployed is a fascinating and difficult problem and one that has only begun recently to fall to efficient computational methods </w:t>
      </w:r>
      <w:r w:rsidR="002E4031">
        <w:fldChar w:fldCharType="begin"/>
      </w:r>
      <w:r w:rsidR="002E4031">
        <w:instrText xml:space="preserve"> ADDIN ZOTERO_ITEM CSL_CITATION {"citationID":"1un5h6j1gl","properties":{"formattedCitation":"(Borji &amp; Itti, 2013)","plainCitation":"(Borji &amp; Itti, 2013)"},"citationItems":[{"id":176,"uris":["http://zotero.org/users/2176449/items/RRICHDN5"],"uri":["http://zotero.org/users/2176449/items/RRICHDN5"],"itemData":{"id":176,"type":"article-journal","title":"State-of-the-Art in Visual Attention Modeling","container-title":"IEEE Transactions on Pattern Analysis and Machine Intelligence","page":"185-207","volume":"35","issue":"1","source":"CrossRef","DOI":"10.1109/TPAMI.2012.89","ISSN":"0162-8828, 2160-9292","author":[{"family":"Borji","given":"Ali"},{"family":"Itti","given":"Laurent"}],"issued":{"date-parts":[["2013",1]]},"accessed":{"date-parts":[["2015",5,21]]}}}],"schema":"https://github.com/citation-style-language/schema/raw/master/csl-citation.json"} </w:instrText>
      </w:r>
      <w:r w:rsidR="002E4031">
        <w:fldChar w:fldCharType="separate"/>
      </w:r>
      <w:r w:rsidR="002E4031" w:rsidRPr="002E4031">
        <w:rPr>
          <w:rFonts w:ascii="Calibri" w:hAnsi="Calibri"/>
        </w:rPr>
        <w:t>(Borji &amp; Itti, 2013)</w:t>
      </w:r>
      <w:r w:rsidR="002E4031">
        <w:fldChar w:fldCharType="end"/>
      </w:r>
      <w:r w:rsidR="002E4031">
        <w:t>. In a recent paper Borji, Sihite, and Itti designed a probabilistic model of visual salience</w:t>
      </w:r>
      <w:r w:rsidR="00CB19C5">
        <w:t xml:space="preserve"> </w:t>
      </w:r>
      <w:r w:rsidR="00CB19C5">
        <w:fldChar w:fldCharType="begin"/>
      </w:r>
      <w:r w:rsidR="00CB19C5">
        <w:instrText xml:space="preserve"> ADDIN ZOTERO_ITEM CSL_CITATION {"citationID":"1r0r29qkm9","properties":{"formattedCitation":"(Borji, Sihite, &amp; Itti, 2012)","plainCitation":"(Borji, Sihite, &amp; Itti, 2012)"},"citationItems":[{"id":177,"uris":["http://zotero.org/users/2176449/items/TTIIJXQ2"],"uri":["http://zotero.org/users/2176449/items/TTIIJXQ2"],"itemData":{"id":177,"type":"paper-conference","title":"Probabilistic learning of task-specific visual attention","container-title":"Computer Vision and Pattern Recognition (CVPR), 2012 IEEE Conference on","publisher":"IEEE","page":"470–477","source":"Google Scholar","URL":"http://ieeexplore.ieee.org/xpls/abs_all.jsp?arnumber=6247710","author":[{"family":"Borji","given":"Ali"},{"family":"Sihite","given":"Dicky N."},{"family":"Itti","given":"Laurent"}],"issued":{"date-parts":[["2012"]]},"accessed":{"date-parts":[["2015",5,21]]}}}],"schema":"https://github.com/citation-style-language/schema/raw/master/csl-citation.json"} </w:instrText>
      </w:r>
      <w:r w:rsidR="00CB19C5">
        <w:fldChar w:fldCharType="separate"/>
      </w:r>
      <w:r w:rsidR="00CB19C5" w:rsidRPr="00CB19C5">
        <w:rPr>
          <w:rFonts w:ascii="Calibri" w:hAnsi="Calibri"/>
        </w:rPr>
        <w:t>(Borji, Sihite, &amp; Itti, 2012)</w:t>
      </w:r>
      <w:r w:rsidR="00CB19C5">
        <w:fldChar w:fldCharType="end"/>
      </w:r>
      <w:r w:rsidR="002E4031">
        <w:t xml:space="preserve">. Their model takes into account both task goals and visual salience and can correctly predict with high accuracy the eye movements of humans playing a variety of visual games (relative to other models). At its core their method identifies what region of the visual scene will be most informative, given prior saccades and knowledge about scene gist and task goals (their design is efficient in the sense that it doesn’t require knowledge of all the objects in a scene). But their method also makes no claim about how the visual system should use this knowledge—should representations be covertly modified without an eye movement to improve their signal to noise ratio? Or should the eyes be moved via a saccade to gain more information about a precise location in the visual scene. Understanding attention will likely require an understanding of both how salience is generated from bottom-up and top-down requirements and an understanding of what </w:t>
      </w:r>
      <w:r w:rsidR="00246EF1">
        <w:t>constraints on attention exist in the visual system</w:t>
      </w:r>
      <w:r w:rsidR="002E4031">
        <w:t xml:space="preserve">.  </w:t>
      </w:r>
    </w:p>
    <w:p w:rsidR="00246EF1" w:rsidRDefault="00CB19C5">
      <w:r>
        <w:tab/>
      </w:r>
      <w:r w:rsidR="007C1E33">
        <w:t xml:space="preserve">Visual salience alone is insufficient to explain our viewing behavior in complex tasks. For example in driving the most salient part of a visual scene may be the background (e.g. driving in Alaska) while the most task-relevant region may be the road. This is also true in artificial scenes such as games, where distracting motion and background visuals may have very high salience while being largely task-irrelevant </w:t>
      </w:r>
      <w:r w:rsidR="007C1E33">
        <w:fldChar w:fldCharType="begin"/>
      </w:r>
      <w:r w:rsidR="007C1E33">
        <w:instrText xml:space="preserve"> ADDIN ZOTERO_ITEM CSL_CITATION {"citationID":"mb6388ttb","properties":{"formattedCitation":"(Borji et al., 2012)","plainCitation":"(Borji et al., 2012)"},"citationItems":[{"id":177,"uris":["http://zotero.org/users/2176449/items/TTIIJXQ2"],"uri":["http://zotero.org/users/2176449/items/TTIIJXQ2"],"itemData":{"id":177,"type":"paper-conference","title":"Probabilistic learning of task-specific visual attention","container-title":"Computer Vision and Pattern Recognition (CVPR), 2012 IEEE Conference on","publisher":"IEEE","page":"470–477","source":"Google Scholar","URL":"http://ieeexplore.ieee.org/xpls/abs_all.jsp?arnumber=6247710","author":[{"family":"Borji","given":"Ali"},{"family":"Sihite","given":"Dicky N."},{"family":"Itti","given":"Laurent"}],"issued":{"date-parts":[["2012"]]},"accessed":{"date-parts":[["2015",5,21]]}}}],"schema":"https://github.com/citation-style-language/schema/raw/master/csl-citation.json"} </w:instrText>
      </w:r>
      <w:r w:rsidR="007C1E33">
        <w:fldChar w:fldCharType="separate"/>
      </w:r>
      <w:r w:rsidR="007C1E33" w:rsidRPr="007C1E33">
        <w:rPr>
          <w:rFonts w:ascii="Calibri" w:hAnsi="Calibri"/>
        </w:rPr>
        <w:t>(Borji et al., 2012)</w:t>
      </w:r>
      <w:r w:rsidR="007C1E33">
        <w:fldChar w:fldCharType="end"/>
      </w:r>
      <w:r w:rsidR="007C1E33">
        <w:t xml:space="preserve">. Borji et al. solve the question of where attention should be directed in </w:t>
      </w:r>
      <w:r w:rsidR="007C1E33">
        <w:lastRenderedPageBreak/>
        <w:t>these complex situations by formulating the problem as a question of probabilistic prior knowledge. Their approach uses three pieces of abstract knowledge: the global ‘gist’ of the scene, recent past eye movements, and motor actions. Using Bayes rule they attempt to estimate P(X|I), the probability of attending to location X given all known information. Their full formula</w:t>
      </w:r>
      <w:r w:rsidR="00246EF1">
        <w:t xml:space="preserve"> and derivation</w:t>
      </w:r>
      <w:r w:rsidR="007C1E33">
        <w:t xml:space="preserve"> </w:t>
      </w:r>
      <w:r w:rsidR="00246EF1">
        <w:t>are</w:t>
      </w:r>
      <w:r w:rsidR="007C1E33">
        <w:t xml:space="preserve"> explained in more detail in their methods, but it approximates to the following:</w:t>
      </w:r>
    </w:p>
    <w:p w:rsidR="00246EF1" w:rsidRPr="00246EF1" w:rsidRDefault="00246EF1">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G</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1:t-1</m:t>
                  </m:r>
                </m:sub>
                <m:sup>
                  <m:r>
                    <w:rPr>
                      <w:rFonts w:ascii="Cambria Math" w:hAnsi="Cambria Math"/>
                    </w:rPr>
                    <m:t>j=1:n</m:t>
                  </m:r>
                </m:sup>
              </m:sSubSup>
            </m:e>
          </m:d>
        </m:oMath>
      </m:oMathPara>
    </w:p>
    <w:p w:rsidR="00935742" w:rsidRDefault="00246EF1" w:rsidP="00246EF1">
      <w:r>
        <w:rPr>
          <w:rFonts w:eastAsiaTheme="minorEastAsia"/>
        </w:rPr>
        <w:t>Where X denotes the possible fixation locations as (x, y) coordinates. The priors they implement are: G, the gist of the scene, the fixations on the previous trials, and the n  actions A performed on each of the previous trials.</w:t>
      </w:r>
      <w:r>
        <w:t xml:space="preserve"> Inverting their formula with Bayes rule requires computing</w:t>
      </w:r>
      <w:r w:rsidR="00974898">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oMath>
      <w:r w:rsidR="00974898">
        <w:t>, the probability that a scene contained a certain gist given that an observer fixated a particular region</w:t>
      </w:r>
      <w:r>
        <w:t>,</w:t>
      </w:r>
      <w:r w:rsidR="00974898">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oMath>
      <w:r w:rsidR="00974898">
        <w:t xml:space="preserve">, and </w:t>
      </w:r>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t-1</m:t>
                </m:r>
              </m:sub>
              <m:sup>
                <m:r>
                  <w:rPr>
                    <w:rFonts w:ascii="Cambria Math" w:hAnsi="Cambria Math"/>
                  </w:rPr>
                  <m:t>j=1:n</m:t>
                </m:r>
              </m:sup>
            </m:sSubSup>
          </m:e>
          <m:e>
            <m:sSub>
              <m:sSubPr>
                <m:ctrlPr>
                  <w:rPr>
                    <w:rFonts w:ascii="Cambria Math" w:hAnsi="Cambria Math"/>
                    <w:i/>
                  </w:rPr>
                </m:ctrlPr>
              </m:sSubPr>
              <m:e>
                <m:r>
                  <w:rPr>
                    <w:rFonts w:ascii="Cambria Math" w:hAnsi="Cambria Math"/>
                  </w:rPr>
                  <m:t>X</m:t>
                </m:r>
              </m:e>
              <m:sub>
                <m:r>
                  <w:rPr>
                    <w:rFonts w:ascii="Cambria Math" w:hAnsi="Cambria Math"/>
                  </w:rPr>
                  <m:t>t</m:t>
                </m:r>
              </m:sub>
            </m:sSub>
          </m:e>
        </m:d>
      </m:oMath>
      <w:r w:rsidR="00974898">
        <w:t xml:space="preserve"> or the probability of the previous actions occurring prior to the this fixation</w:t>
      </w:r>
      <w:r w:rsidR="00283CD7">
        <w:t>.</w:t>
      </w:r>
      <w:r w:rsidR="00974898">
        <w:t xml:space="preserve"> (Note that a number of parts of the formula drop out after applying Bayes’ theorem under some assumptions that they make).</w:t>
      </w:r>
      <w:r w:rsidR="00283CD7">
        <w:t xml:space="preserve"> They compare this probabilistic model with a battery of more simplistic salience models that attempt to take into account the scene gist and the visual statistics. They show that their total model outperforms a</w:t>
      </w:r>
      <w:r w:rsidR="003F57E2">
        <w:t>ll of the other models compared, achieving an AUC of ~.8 across their test video games.</w:t>
      </w:r>
      <w:r w:rsidR="00974898">
        <w:t xml:space="preserve"> At a false positive (FP) rate of ~10% their model achieves a true positive (TP) rate of 50-75% of observed human fixations.</w:t>
      </w:r>
      <w:bookmarkStart w:id="0" w:name="_GoBack"/>
      <w:bookmarkEnd w:id="0"/>
    </w:p>
    <w:p w:rsidR="003F57E2" w:rsidRDefault="003F57E2">
      <w:r>
        <w:tab/>
        <w:t>Borji et al. provide compelling evidence that top-down attention is well modeled as a probabilistic process. Their approach makes a prediction about the most informative region to look at next, given the previous areas looked at, the scene gist, and the overall scene statistics. But their approach stays entirely at the computational level and makes no prediction about what constraints an actual visual architecture might have. This is fine for computer science applications of attention (e.g. for A.I. in video games that need to emulate human behavior) but is a poor approximation of the visual system for cognitive science. An interesting and fruitful direction to push this research would be in the line outlined by</w:t>
      </w:r>
      <w:r w:rsidR="00E371F8">
        <w:t xml:space="preserve"> Griffiths et al. </w:t>
      </w:r>
      <w:r>
        <w:t xml:space="preserve"> </w:t>
      </w:r>
      <w:r>
        <w:fldChar w:fldCharType="begin"/>
      </w:r>
      <w:r>
        <w:instrText xml:space="preserve"> ADDIN ZOTERO_ITEM CSL_CITATION {"citationID":"v7h69c4ns","properties":{"formattedCitation":"(Griffiths, Lieder, &amp; Goodman, 2015)","plainCitation":"(Griffiths, Lieder, &amp; Goodman, 2015)"},"citationItems":[{"id":180,"uris":["http://zotero.org/users/2176449/items/ZV6M5P49"],"uri":["http://zotero.org/users/2176449/items/ZV6M5P49"],"itemData":{"id":180,"type":"article-journal","title":"Rational Use of Cognitive Resources: Levels of Analysis Between the Computational and the Algorithmic","container-title":"Topics in Cognitive Science","page":"217-229","volume":"7","issue":"2","source":"CrossRef","DOI":"10.1111/tops.12142","ISSN":"17568757","shortTitle":"Rational Use of Cognitive Resources","language":"en","author":[{"family":"Griffiths","given":"Thomas L."},{"family":"Lieder","given":"Falk"},{"family":"Goodman","given":"Noah D."}],"issued":{"date-parts":[["2015",4]]},"accessed":{"date-parts":[["2015",5,22]]}}}],"schema":"https://github.com/citation-style-language/schema/raw/master/csl-citation.json"} </w:instrText>
      </w:r>
      <w:r>
        <w:fldChar w:fldCharType="separate"/>
      </w:r>
      <w:r w:rsidRPr="003F57E2">
        <w:rPr>
          <w:rFonts w:ascii="Calibri" w:hAnsi="Calibri"/>
        </w:rPr>
        <w:t>(Griffiths, Lieder, &amp; Goodman, 2015)</w:t>
      </w:r>
      <w:r>
        <w:fldChar w:fldCharType="end"/>
      </w:r>
      <w:r>
        <w:t xml:space="preserve">. </w:t>
      </w:r>
      <w:r w:rsidR="00305B04">
        <w:t>In essence, constraining the algorithms that are allowed to be implemented by these models according to increasingly rigorous constraints imposed by the actual neural architecture. We might wonder, for example, about how exactly this attentional information should be used. Borji et al.’s model matches only ~65% TP at a 10% FP rate. Are the other 35% of fixations occurring in other areas because the human brain can deploy both overt fixations and covert attention? This is a plausible explanation, we might imagine that their model, which tends not to fixate twice on the same region, would expect an observer to change fixations rather quickly. But this isn’t true in some situations, for example while driving we often fixate directly ahead, using covert attention to scan for potential dangers in our peripheral vision. Once identified, we often quickly saccade to check—did we really see a deer, or just the reflection of our headlights on a sign? This hypothesis could easily be checked in the data that Borji et al. collected. In addition their model can be easily extended to allow for covert attention. They use a threshold method to determine where fixation should be, but in ambiguous situations where two or more locations demand our attention (like driving) they could allow for fixation to remain fixed while covert attention is deployed to those regions, in preparation for a saccade.</w:t>
      </w:r>
    </w:p>
    <w:p w:rsidR="00246EF1" w:rsidRDefault="00246EF1"/>
    <w:p w:rsidR="00305B04" w:rsidRDefault="00305B04">
      <w:r>
        <w:tab/>
      </w:r>
    </w:p>
    <w:p w:rsidR="00935742" w:rsidRDefault="00935742">
      <w:r>
        <w:rPr>
          <w:b/>
        </w:rPr>
        <w:t>References</w:t>
      </w:r>
    </w:p>
    <w:p w:rsidR="00935742" w:rsidRDefault="00935742"/>
    <w:p w:rsidR="003F57E2" w:rsidRPr="003F57E2" w:rsidRDefault="00935742" w:rsidP="003F57E2">
      <w:pPr>
        <w:pStyle w:val="Bibliography"/>
        <w:rPr>
          <w:rFonts w:ascii="Calibri" w:hAnsi="Calibri"/>
        </w:rPr>
      </w:pPr>
      <w:r>
        <w:fldChar w:fldCharType="begin"/>
      </w:r>
      <w:r w:rsidR="003F57E2">
        <w:instrText xml:space="preserve"> ADDIN ZOTERO_BIBL {"custom":[]} CSL_BIBLIOGRAPHY </w:instrText>
      </w:r>
      <w:r>
        <w:fldChar w:fldCharType="separate"/>
      </w:r>
      <w:r w:rsidR="003F57E2" w:rsidRPr="003F57E2">
        <w:rPr>
          <w:rFonts w:ascii="Calibri" w:hAnsi="Calibri"/>
        </w:rPr>
        <w:t xml:space="preserve">Borji, A., &amp; Itti, L. (2013). State-of-the-Art in Visual Attention Modeling. </w:t>
      </w:r>
      <w:r w:rsidR="003F57E2" w:rsidRPr="003F57E2">
        <w:rPr>
          <w:rFonts w:ascii="Calibri" w:hAnsi="Calibri"/>
          <w:i/>
          <w:iCs/>
        </w:rPr>
        <w:t>IEEE Transactions on Pattern Analysis and Machine Intelligence</w:t>
      </w:r>
      <w:r w:rsidR="003F57E2" w:rsidRPr="003F57E2">
        <w:rPr>
          <w:rFonts w:ascii="Calibri" w:hAnsi="Calibri"/>
        </w:rPr>
        <w:t xml:space="preserve">, </w:t>
      </w:r>
      <w:r w:rsidR="003F57E2" w:rsidRPr="003F57E2">
        <w:rPr>
          <w:rFonts w:ascii="Calibri" w:hAnsi="Calibri"/>
          <w:i/>
          <w:iCs/>
        </w:rPr>
        <w:t>35</w:t>
      </w:r>
      <w:r w:rsidR="003F57E2" w:rsidRPr="003F57E2">
        <w:rPr>
          <w:rFonts w:ascii="Calibri" w:hAnsi="Calibri"/>
        </w:rPr>
        <w:t>(1), 185–207. http://doi.org/10.1109/TPAMI.2012.89</w:t>
      </w:r>
    </w:p>
    <w:p w:rsidR="003F57E2" w:rsidRPr="003F57E2" w:rsidRDefault="003F57E2" w:rsidP="003F57E2">
      <w:pPr>
        <w:pStyle w:val="Bibliography"/>
        <w:rPr>
          <w:rFonts w:ascii="Calibri" w:hAnsi="Calibri"/>
        </w:rPr>
      </w:pPr>
      <w:r w:rsidRPr="003F57E2">
        <w:rPr>
          <w:rFonts w:ascii="Calibri" w:hAnsi="Calibri"/>
        </w:rPr>
        <w:t xml:space="preserve">Borji, A., Sihite, D. N., &amp; Itti, L. (2012). Probabilistic learning of task-specific visual attention. In </w:t>
      </w:r>
      <w:r w:rsidRPr="003F57E2">
        <w:rPr>
          <w:rFonts w:ascii="Calibri" w:hAnsi="Calibri"/>
          <w:i/>
          <w:iCs/>
        </w:rPr>
        <w:t>Computer Vision and Pattern Recognition (CVPR), 2012 IEEE Conference on</w:t>
      </w:r>
      <w:r w:rsidRPr="003F57E2">
        <w:rPr>
          <w:rFonts w:ascii="Calibri" w:hAnsi="Calibri"/>
        </w:rPr>
        <w:t xml:space="preserve"> (pp. 470–477). IEEE. Retrieved from http://ieeexplore.ieee.org/xpls/abs_all.jsp?arnumber=6247710</w:t>
      </w:r>
    </w:p>
    <w:p w:rsidR="003F57E2" w:rsidRPr="003F57E2" w:rsidRDefault="003F57E2" w:rsidP="003F57E2">
      <w:pPr>
        <w:pStyle w:val="Bibliography"/>
        <w:rPr>
          <w:rFonts w:ascii="Calibri" w:hAnsi="Calibri"/>
        </w:rPr>
      </w:pPr>
      <w:r w:rsidRPr="003F57E2">
        <w:rPr>
          <w:rFonts w:ascii="Calibri" w:hAnsi="Calibri"/>
        </w:rPr>
        <w:t xml:space="preserve">Cohen, M. a, Alvarez, G. a, &amp; Nakayama, K. (2011). Natural-scene perception requires attention. </w:t>
      </w:r>
      <w:r w:rsidRPr="003F57E2">
        <w:rPr>
          <w:rFonts w:ascii="Calibri" w:hAnsi="Calibri"/>
          <w:i/>
          <w:iCs/>
        </w:rPr>
        <w:t>Psychological Science</w:t>
      </w:r>
      <w:r w:rsidRPr="003F57E2">
        <w:rPr>
          <w:rFonts w:ascii="Calibri" w:hAnsi="Calibri"/>
        </w:rPr>
        <w:t xml:space="preserve">, </w:t>
      </w:r>
      <w:r w:rsidRPr="003F57E2">
        <w:rPr>
          <w:rFonts w:ascii="Calibri" w:hAnsi="Calibri"/>
          <w:i/>
          <w:iCs/>
        </w:rPr>
        <w:t>22</w:t>
      </w:r>
      <w:r w:rsidRPr="003F57E2">
        <w:rPr>
          <w:rFonts w:ascii="Calibri" w:hAnsi="Calibri"/>
        </w:rPr>
        <w:t>(9), 1165–72. http://doi.org/10.1177/0956797611419168</w:t>
      </w:r>
    </w:p>
    <w:p w:rsidR="003F57E2" w:rsidRPr="003F57E2" w:rsidRDefault="003F57E2" w:rsidP="003F57E2">
      <w:pPr>
        <w:pStyle w:val="Bibliography"/>
        <w:rPr>
          <w:rFonts w:ascii="Calibri" w:hAnsi="Calibri"/>
        </w:rPr>
      </w:pPr>
      <w:r w:rsidRPr="003F57E2">
        <w:rPr>
          <w:rFonts w:ascii="Calibri" w:hAnsi="Calibri"/>
        </w:rPr>
        <w:t xml:space="preserve">Griffiths, T. L., Lieder, F., &amp; Goodman, N. D. (2015). Rational Use of Cognitive Resources: Levels of Analysis Between the Computational and the Algorithmic. </w:t>
      </w:r>
      <w:r w:rsidRPr="003F57E2">
        <w:rPr>
          <w:rFonts w:ascii="Calibri" w:hAnsi="Calibri"/>
          <w:i/>
          <w:iCs/>
        </w:rPr>
        <w:t>Topics in Cognitive Science</w:t>
      </w:r>
      <w:r w:rsidRPr="003F57E2">
        <w:rPr>
          <w:rFonts w:ascii="Calibri" w:hAnsi="Calibri"/>
        </w:rPr>
        <w:t xml:space="preserve">, </w:t>
      </w:r>
      <w:r w:rsidRPr="003F57E2">
        <w:rPr>
          <w:rFonts w:ascii="Calibri" w:hAnsi="Calibri"/>
          <w:i/>
          <w:iCs/>
        </w:rPr>
        <w:t>7</w:t>
      </w:r>
      <w:r w:rsidRPr="003F57E2">
        <w:rPr>
          <w:rFonts w:ascii="Calibri" w:hAnsi="Calibri"/>
        </w:rPr>
        <w:t>(2), 217–229. http://doi.org/10.1111/tops.12142</w:t>
      </w:r>
    </w:p>
    <w:p w:rsidR="003F57E2" w:rsidRPr="003F57E2" w:rsidRDefault="003F57E2" w:rsidP="003F57E2">
      <w:pPr>
        <w:pStyle w:val="Bibliography"/>
        <w:rPr>
          <w:rFonts w:ascii="Calibri" w:hAnsi="Calibri"/>
        </w:rPr>
      </w:pPr>
      <w:r w:rsidRPr="003F57E2">
        <w:rPr>
          <w:rFonts w:ascii="Calibri" w:hAnsi="Calibri"/>
        </w:rPr>
        <w:t xml:space="preserve">Hara, Y., &amp; Gardner, J. L. (2014). Encoding of graded changes in spatial specificity of prior cues in human visual cortex. </w:t>
      </w:r>
      <w:r w:rsidRPr="003F57E2">
        <w:rPr>
          <w:rFonts w:ascii="Calibri" w:hAnsi="Calibri"/>
          <w:i/>
          <w:iCs/>
        </w:rPr>
        <w:t>Journal of Neurophysiology</w:t>
      </w:r>
      <w:r w:rsidRPr="003F57E2">
        <w:rPr>
          <w:rFonts w:ascii="Calibri" w:hAnsi="Calibri"/>
        </w:rPr>
        <w:t>. http://doi.org/10.1152/jn.00729.2013</w:t>
      </w:r>
    </w:p>
    <w:p w:rsidR="003F57E2" w:rsidRPr="003F57E2" w:rsidRDefault="003F57E2" w:rsidP="003F57E2">
      <w:pPr>
        <w:pStyle w:val="Bibliography"/>
        <w:rPr>
          <w:rFonts w:ascii="Calibri" w:hAnsi="Calibri"/>
        </w:rPr>
      </w:pPr>
      <w:r w:rsidRPr="003F57E2">
        <w:rPr>
          <w:rFonts w:ascii="Calibri" w:hAnsi="Calibri"/>
        </w:rPr>
        <w:t xml:space="preserve">Maar, David. (1982). Chapter 1: The Philosophy &amp; Approach. In </w:t>
      </w:r>
      <w:r w:rsidRPr="003F57E2">
        <w:rPr>
          <w:rFonts w:ascii="Calibri" w:hAnsi="Calibri"/>
          <w:i/>
          <w:iCs/>
        </w:rPr>
        <w:t>Vision</w:t>
      </w:r>
      <w:r w:rsidRPr="003F57E2">
        <w:rPr>
          <w:rFonts w:ascii="Calibri" w:hAnsi="Calibri"/>
        </w:rPr>
        <w:t xml:space="preserve"> (pp. 19–29). Cambridge, MA: MIT Press.</w:t>
      </w:r>
    </w:p>
    <w:p w:rsidR="003F57E2" w:rsidRPr="003F57E2" w:rsidRDefault="003F57E2" w:rsidP="003F57E2">
      <w:pPr>
        <w:pStyle w:val="Bibliography"/>
        <w:rPr>
          <w:rFonts w:ascii="Calibri" w:hAnsi="Calibri"/>
        </w:rPr>
      </w:pPr>
      <w:r w:rsidRPr="003F57E2">
        <w:rPr>
          <w:rFonts w:ascii="Calibri" w:hAnsi="Calibri"/>
        </w:rPr>
        <w:t xml:space="preserve">Mack, A., Erol, M., &amp; Clarke, J. (2015). Iconic memory is not a case of attention-free awareness. </w:t>
      </w:r>
      <w:r w:rsidRPr="003F57E2">
        <w:rPr>
          <w:rFonts w:ascii="Calibri" w:hAnsi="Calibri"/>
          <w:i/>
          <w:iCs/>
        </w:rPr>
        <w:t>Consciousness and Cognition</w:t>
      </w:r>
      <w:r w:rsidRPr="003F57E2">
        <w:rPr>
          <w:rFonts w:ascii="Calibri" w:hAnsi="Calibri"/>
        </w:rPr>
        <w:t xml:space="preserve">, </w:t>
      </w:r>
      <w:r w:rsidRPr="003F57E2">
        <w:rPr>
          <w:rFonts w:ascii="Calibri" w:hAnsi="Calibri"/>
          <w:i/>
          <w:iCs/>
        </w:rPr>
        <w:t>33</w:t>
      </w:r>
      <w:r w:rsidRPr="003F57E2">
        <w:rPr>
          <w:rFonts w:ascii="Calibri" w:hAnsi="Calibri"/>
        </w:rPr>
        <w:t>, 291–299. http://doi.org/10.1016/j.concog.2014.12.016</w:t>
      </w:r>
    </w:p>
    <w:p w:rsidR="003F57E2" w:rsidRPr="003F57E2" w:rsidRDefault="003F57E2" w:rsidP="003F57E2">
      <w:pPr>
        <w:pStyle w:val="Bibliography"/>
        <w:rPr>
          <w:rFonts w:ascii="Calibri" w:hAnsi="Calibri"/>
        </w:rPr>
      </w:pPr>
      <w:r w:rsidRPr="003F57E2">
        <w:rPr>
          <w:rFonts w:ascii="Calibri" w:hAnsi="Calibri"/>
        </w:rPr>
        <w:t xml:space="preserve">Mack, Arien, &amp; Rock, Irvin. (1998). </w:t>
      </w:r>
      <w:r w:rsidRPr="003F57E2">
        <w:rPr>
          <w:rFonts w:ascii="Calibri" w:hAnsi="Calibri"/>
          <w:i/>
          <w:iCs/>
        </w:rPr>
        <w:t>Inattentional Blindness.</w:t>
      </w:r>
      <w:r w:rsidRPr="003F57E2">
        <w:rPr>
          <w:rFonts w:ascii="Calibri" w:hAnsi="Calibri"/>
        </w:rPr>
        <w:t xml:space="preserve"> The MIT Press.</w:t>
      </w:r>
    </w:p>
    <w:p w:rsidR="003F57E2" w:rsidRPr="003F57E2" w:rsidRDefault="003F57E2" w:rsidP="003F57E2">
      <w:pPr>
        <w:pStyle w:val="Bibliography"/>
        <w:rPr>
          <w:rFonts w:ascii="Calibri" w:hAnsi="Calibri"/>
        </w:rPr>
      </w:pPr>
      <w:r w:rsidRPr="003F57E2">
        <w:rPr>
          <w:rFonts w:ascii="Calibri" w:hAnsi="Calibri"/>
        </w:rPr>
        <w:t xml:space="preserve">Pessoa, L., Kastner, S., &amp; Ungerleider, L. G. (2003). Neuroimaging studies of attention: from modulation of sensory processing to top-down control. </w:t>
      </w:r>
      <w:r w:rsidRPr="003F57E2">
        <w:rPr>
          <w:rFonts w:ascii="Calibri" w:hAnsi="Calibri"/>
          <w:i/>
          <w:iCs/>
        </w:rPr>
        <w:t>The Journal of Neuroscience</w:t>
      </w:r>
      <w:r w:rsidRPr="003F57E2">
        <w:rPr>
          <w:rFonts w:ascii="Calibri" w:hAnsi="Calibri"/>
        </w:rPr>
        <w:t xml:space="preserve">, </w:t>
      </w:r>
      <w:r w:rsidRPr="003F57E2">
        <w:rPr>
          <w:rFonts w:ascii="Calibri" w:hAnsi="Calibri"/>
          <w:i/>
          <w:iCs/>
        </w:rPr>
        <w:t>23</w:t>
      </w:r>
      <w:r w:rsidRPr="003F57E2">
        <w:rPr>
          <w:rFonts w:ascii="Calibri" w:hAnsi="Calibri"/>
        </w:rPr>
        <w:t>(10), 3990–3998.</w:t>
      </w:r>
    </w:p>
    <w:p w:rsidR="003F57E2" w:rsidRPr="003F57E2" w:rsidRDefault="003F57E2" w:rsidP="003F57E2">
      <w:pPr>
        <w:pStyle w:val="Bibliography"/>
        <w:rPr>
          <w:rFonts w:ascii="Calibri" w:hAnsi="Calibri"/>
        </w:rPr>
      </w:pPr>
      <w:r w:rsidRPr="003F57E2">
        <w:rPr>
          <w:rFonts w:ascii="Calibri" w:hAnsi="Calibri"/>
        </w:rPr>
        <w:lastRenderedPageBreak/>
        <w:t xml:space="preserve">Pestilli, F., Carrasco, M., Heeger, D. J., &amp; Gardner, J. L. (2011). Attentional enhancement via selection and pooling of early sensory responses in human visual cortex. </w:t>
      </w:r>
      <w:r w:rsidRPr="003F57E2">
        <w:rPr>
          <w:rFonts w:ascii="Calibri" w:hAnsi="Calibri"/>
          <w:i/>
          <w:iCs/>
        </w:rPr>
        <w:t>Neuron</w:t>
      </w:r>
      <w:r w:rsidRPr="003F57E2">
        <w:rPr>
          <w:rFonts w:ascii="Calibri" w:hAnsi="Calibri"/>
        </w:rPr>
        <w:t xml:space="preserve">, </w:t>
      </w:r>
      <w:r w:rsidRPr="003F57E2">
        <w:rPr>
          <w:rFonts w:ascii="Calibri" w:hAnsi="Calibri"/>
          <w:i/>
          <w:iCs/>
        </w:rPr>
        <w:t>72</w:t>
      </w:r>
      <w:r w:rsidRPr="003F57E2">
        <w:rPr>
          <w:rFonts w:ascii="Calibri" w:hAnsi="Calibri"/>
        </w:rPr>
        <w:t>(5), 832–46. http://doi.org/10.1016/j.neuron.2011.09.025</w:t>
      </w:r>
    </w:p>
    <w:p w:rsidR="00935742" w:rsidRPr="00935742" w:rsidRDefault="00935742">
      <w:r>
        <w:fldChar w:fldCharType="end"/>
      </w:r>
    </w:p>
    <w:p w:rsidR="00FC5113" w:rsidRPr="00FC5113" w:rsidRDefault="00FC5113"/>
    <w:sectPr w:rsidR="00FC5113" w:rsidRPr="00FC5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8CC"/>
    <w:rsid w:val="00050B5F"/>
    <w:rsid w:val="00140CD0"/>
    <w:rsid w:val="0017702B"/>
    <w:rsid w:val="00246EF1"/>
    <w:rsid w:val="00283CD7"/>
    <w:rsid w:val="002E4031"/>
    <w:rsid w:val="00305B04"/>
    <w:rsid w:val="003553FF"/>
    <w:rsid w:val="003F57E2"/>
    <w:rsid w:val="004728CC"/>
    <w:rsid w:val="0048739D"/>
    <w:rsid w:val="007C1E33"/>
    <w:rsid w:val="0090070B"/>
    <w:rsid w:val="00935742"/>
    <w:rsid w:val="00974898"/>
    <w:rsid w:val="00A67D7F"/>
    <w:rsid w:val="00AB142F"/>
    <w:rsid w:val="00CB19C5"/>
    <w:rsid w:val="00E371F8"/>
    <w:rsid w:val="00EC4C3B"/>
    <w:rsid w:val="00FC5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35742"/>
    <w:pPr>
      <w:spacing w:after="0" w:line="480" w:lineRule="auto"/>
      <w:ind w:left="720" w:hanging="720"/>
    </w:pPr>
  </w:style>
  <w:style w:type="character" w:styleId="Hyperlink">
    <w:name w:val="Hyperlink"/>
    <w:basedOn w:val="DefaultParagraphFont"/>
    <w:uiPriority w:val="99"/>
    <w:semiHidden/>
    <w:unhideWhenUsed/>
    <w:rsid w:val="003553FF"/>
    <w:rPr>
      <w:color w:val="0000FF"/>
      <w:u w:val="single"/>
    </w:rPr>
  </w:style>
  <w:style w:type="character" w:styleId="PlaceholderText">
    <w:name w:val="Placeholder Text"/>
    <w:basedOn w:val="DefaultParagraphFont"/>
    <w:uiPriority w:val="99"/>
    <w:semiHidden/>
    <w:rsid w:val="00246EF1"/>
    <w:rPr>
      <w:color w:val="808080"/>
    </w:rPr>
  </w:style>
  <w:style w:type="paragraph" w:styleId="BalloonText">
    <w:name w:val="Balloon Text"/>
    <w:basedOn w:val="Normal"/>
    <w:link w:val="BalloonTextChar"/>
    <w:uiPriority w:val="99"/>
    <w:semiHidden/>
    <w:unhideWhenUsed/>
    <w:rsid w:val="00246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E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35742"/>
    <w:pPr>
      <w:spacing w:after="0" w:line="480" w:lineRule="auto"/>
      <w:ind w:left="720" w:hanging="720"/>
    </w:pPr>
  </w:style>
  <w:style w:type="character" w:styleId="Hyperlink">
    <w:name w:val="Hyperlink"/>
    <w:basedOn w:val="DefaultParagraphFont"/>
    <w:uiPriority w:val="99"/>
    <w:semiHidden/>
    <w:unhideWhenUsed/>
    <w:rsid w:val="003553FF"/>
    <w:rPr>
      <w:color w:val="0000FF"/>
      <w:u w:val="single"/>
    </w:rPr>
  </w:style>
  <w:style w:type="character" w:styleId="PlaceholderText">
    <w:name w:val="Placeholder Text"/>
    <w:basedOn w:val="DefaultParagraphFont"/>
    <w:uiPriority w:val="99"/>
    <w:semiHidden/>
    <w:rsid w:val="00246EF1"/>
    <w:rPr>
      <w:color w:val="808080"/>
    </w:rPr>
  </w:style>
  <w:style w:type="paragraph" w:styleId="BalloonText">
    <w:name w:val="Balloon Text"/>
    <w:basedOn w:val="Normal"/>
    <w:link w:val="BalloonTextChar"/>
    <w:uiPriority w:val="99"/>
    <w:semiHidden/>
    <w:unhideWhenUsed/>
    <w:rsid w:val="00246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E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838</TotalTime>
  <Pages>4</Pages>
  <Words>3255</Words>
  <Characters>18558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dc:description/>
  <cp:lastModifiedBy>DB</cp:lastModifiedBy>
  <cp:revision>10</cp:revision>
  <dcterms:created xsi:type="dcterms:W3CDTF">2015-05-21T03:49:00Z</dcterms:created>
  <dcterms:modified xsi:type="dcterms:W3CDTF">2015-05-22T05:42:00Z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zotero-version="4.0.25.2"&gt;&lt;session id="fDOAwvHC"/&gt;&lt;style id="http://www.zotero.org/styles/apa" hasBibliography="1" bibliographyStyleHasBeenSet="1"/&gt;&lt;prefs&gt;&lt;pref name="fieldType" value="Field"/&gt;&lt;pref name="storeReferences" value="tru</vt:lpwstr>
  </property>
  <property fmtid="{D5CDD505-2E9C-101B-9397-08002B2CF9AE}" pid="3" name="ZOTERO_PREF_2">
    <vt:lpwstr>e"/&gt;&lt;pref name="automaticJournalAbbreviations" value="true"/&gt;&lt;pref name="noteType" value="0"/&gt;&lt;/prefs&gt;&lt;/data&gt;</vt:lpwstr>
  </property>
</Properties>
</file>