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0F552" w14:textId="77777777" w:rsidR="00D90649" w:rsidRDefault="00D90649" w:rsidP="00C20F60"/>
    <w:p w14:paraId="2E803470" w14:textId="77777777" w:rsidR="00D90649" w:rsidRDefault="00D90649" w:rsidP="00C20F60"/>
    <w:p w14:paraId="07688AE0" w14:textId="77777777" w:rsidR="00D90649" w:rsidRDefault="00D90649" w:rsidP="00C20F60"/>
    <w:p w14:paraId="50A47337" w14:textId="77777777" w:rsidR="00D90649" w:rsidRDefault="00D90649" w:rsidP="00C20F60"/>
    <w:p w14:paraId="4FE4D587" w14:textId="77777777" w:rsidR="00D90649" w:rsidRDefault="00D90649" w:rsidP="00C20F60"/>
    <w:p w14:paraId="18E08000" w14:textId="77777777" w:rsidR="00D90649" w:rsidRDefault="00D90649" w:rsidP="00C20F60"/>
    <w:p w14:paraId="779B3F50" w14:textId="77777777" w:rsidR="00D90649" w:rsidRDefault="00D90649" w:rsidP="00C20F60"/>
    <w:p w14:paraId="19D8CC90" w14:textId="77777777" w:rsidR="00D90649" w:rsidRDefault="00D90649" w:rsidP="00C20F60"/>
    <w:p w14:paraId="2D2C6464" w14:textId="77777777" w:rsidR="00D90649" w:rsidRDefault="00D90649" w:rsidP="00C20F60"/>
    <w:p w14:paraId="1B140D06" w14:textId="77777777" w:rsidR="00D90649" w:rsidRDefault="00D90649" w:rsidP="00C20F60"/>
    <w:p w14:paraId="6B445799" w14:textId="77777777" w:rsidR="00D90649" w:rsidRDefault="00D90649" w:rsidP="00C20F60"/>
    <w:p w14:paraId="37E1802B" w14:textId="77777777" w:rsidR="00D90649" w:rsidRDefault="00D90649" w:rsidP="00C20F60"/>
    <w:p w14:paraId="407F3931" w14:textId="0BDB21CC" w:rsidR="00B04A1E" w:rsidRPr="00D510F0" w:rsidRDefault="007D0EAB" w:rsidP="00D510F0">
      <w:pPr>
        <w:jc w:val="center"/>
        <w:rPr>
          <w:b/>
        </w:rPr>
      </w:pPr>
      <w:r w:rsidRPr="00D510F0">
        <w:rPr>
          <w:b/>
        </w:rPr>
        <w:t>Neural Substrates of Attention and Awareness</w:t>
      </w:r>
    </w:p>
    <w:p w14:paraId="71169EE8" w14:textId="77777777" w:rsidR="007D0EAB" w:rsidRDefault="007D0EAB" w:rsidP="00D510F0">
      <w:pPr>
        <w:jc w:val="center"/>
      </w:pPr>
    </w:p>
    <w:p w14:paraId="2605BF8A" w14:textId="77777777" w:rsidR="00006FF7" w:rsidRDefault="00006FF7" w:rsidP="00D510F0">
      <w:pPr>
        <w:jc w:val="center"/>
      </w:pPr>
    </w:p>
    <w:p w14:paraId="394ADCFD" w14:textId="77777777" w:rsidR="00E253CD" w:rsidRDefault="00E253CD" w:rsidP="00D510F0">
      <w:pPr>
        <w:jc w:val="center"/>
      </w:pPr>
    </w:p>
    <w:p w14:paraId="080CB48C" w14:textId="77777777" w:rsidR="00E253CD" w:rsidRDefault="00E253CD" w:rsidP="00D510F0">
      <w:pPr>
        <w:jc w:val="center"/>
      </w:pPr>
    </w:p>
    <w:p w14:paraId="4591D624" w14:textId="77777777" w:rsidR="00006FF7" w:rsidRDefault="00006FF7" w:rsidP="00D510F0">
      <w:pPr>
        <w:jc w:val="center"/>
      </w:pPr>
    </w:p>
    <w:p w14:paraId="60FEC790" w14:textId="77777777" w:rsidR="00D90649" w:rsidRDefault="00D90649" w:rsidP="00D510F0">
      <w:pPr>
        <w:jc w:val="center"/>
      </w:pPr>
    </w:p>
    <w:p w14:paraId="293AC644" w14:textId="77777777" w:rsidR="00D90649" w:rsidRDefault="00D90649" w:rsidP="00D510F0">
      <w:pPr>
        <w:jc w:val="center"/>
      </w:pPr>
    </w:p>
    <w:p w14:paraId="58DD1A5C" w14:textId="77777777" w:rsidR="00D90649" w:rsidRDefault="00D90649" w:rsidP="00D510F0">
      <w:pPr>
        <w:jc w:val="center"/>
      </w:pPr>
    </w:p>
    <w:p w14:paraId="06D10816" w14:textId="77777777" w:rsidR="00006FF7" w:rsidRPr="00D510F0" w:rsidRDefault="00006FF7" w:rsidP="00D510F0">
      <w:pPr>
        <w:jc w:val="right"/>
        <w:rPr>
          <w:b/>
        </w:rPr>
      </w:pPr>
      <w:r w:rsidRPr="00D510F0">
        <w:rPr>
          <w:b/>
        </w:rPr>
        <w:t>First Year Project</w:t>
      </w:r>
    </w:p>
    <w:p w14:paraId="661BBEBC" w14:textId="028D9C56" w:rsidR="00D90649" w:rsidRDefault="00D90649" w:rsidP="00D510F0">
      <w:pPr>
        <w:jc w:val="right"/>
      </w:pPr>
      <w:r>
        <w:t>Daniel Birman</w:t>
      </w:r>
    </w:p>
    <w:p w14:paraId="035B2264" w14:textId="06F0EC29" w:rsidR="00AD41ED" w:rsidRDefault="002B330D" w:rsidP="00D510F0">
      <w:pPr>
        <w:jc w:val="right"/>
      </w:pPr>
      <w:r>
        <w:t>Adviser</w:t>
      </w:r>
      <w:r w:rsidR="003E7D4C">
        <w:t xml:space="preserve"> – </w:t>
      </w:r>
      <w:r w:rsidR="00AD41ED">
        <w:t>Justin Gardner</w:t>
      </w:r>
    </w:p>
    <w:p w14:paraId="6B5AA563" w14:textId="6F759E08" w:rsidR="00226CC6" w:rsidRDefault="00226CC6" w:rsidP="00D510F0">
      <w:pPr>
        <w:jc w:val="right"/>
      </w:pPr>
      <w:r>
        <w:t>Second Reader –</w:t>
      </w:r>
      <w:r w:rsidR="003E7D4C">
        <w:t xml:space="preserve"> </w:t>
      </w:r>
      <w:r>
        <w:t>Tony Norcia</w:t>
      </w:r>
    </w:p>
    <w:p w14:paraId="0AEFE25D" w14:textId="5A1EB4EC" w:rsidR="00AD41ED" w:rsidRPr="00374BD8" w:rsidRDefault="00AD41ED" w:rsidP="00C20F60">
      <w:pPr>
        <w:rPr>
          <w:b/>
        </w:rPr>
      </w:pPr>
      <w:r w:rsidRPr="00374BD8">
        <w:rPr>
          <w:b/>
        </w:rPr>
        <w:lastRenderedPageBreak/>
        <w:t>Introduction</w:t>
      </w:r>
    </w:p>
    <w:p w14:paraId="4415C10B" w14:textId="69FBD6B8" w:rsidR="00B047A3" w:rsidRDefault="00141A08" w:rsidP="0014154E">
      <w:pPr>
        <w:ind w:firstLine="720"/>
        <w:jc w:val="both"/>
      </w:pPr>
      <w:r w:rsidRPr="00097A71">
        <w:t>In everyday life we feel a direct and undeniable connection between attending to something and our clear awaren</w:t>
      </w:r>
      <w:r w:rsidR="00480783">
        <w:t>ess</w:t>
      </w:r>
      <w:r w:rsidRPr="00097A71">
        <w:t xml:space="preserve"> of it. Despite this there exist a variety of laboratory situations in which attention and awareness appear to diverge. This </w:t>
      </w:r>
      <w:r w:rsidR="000A44DF">
        <w:t>apparent</w:t>
      </w:r>
      <w:r>
        <w:t xml:space="preserve"> </w:t>
      </w:r>
      <w:r w:rsidRPr="00097A71">
        <w:t xml:space="preserve">disconnect between experience and experimental findings has </w:t>
      </w:r>
      <w:r>
        <w:t>fueled</w:t>
      </w:r>
      <w:r w:rsidRPr="00097A71">
        <w:t xml:space="preserve"> a debate about whether </w:t>
      </w:r>
      <w:r w:rsidR="00E942F6">
        <w:rPr>
          <w:i/>
        </w:rPr>
        <w:t xml:space="preserve">selective </w:t>
      </w:r>
      <w:r w:rsidRPr="00097A71">
        <w:rPr>
          <w:i/>
        </w:rPr>
        <w:t>attention</w:t>
      </w:r>
      <w:r w:rsidRPr="00097A71">
        <w:t xml:space="preserve"> and </w:t>
      </w:r>
      <w:r w:rsidRPr="00097A71">
        <w:rPr>
          <w:i/>
        </w:rPr>
        <w:t>awareness</w:t>
      </w:r>
      <w:r w:rsidRPr="00097A71">
        <w:t xml:space="preserve"> are dissociable </w:t>
      </w:r>
      <w:r w:rsidR="00771998" w:rsidRPr="00097A71">
        <w:fldChar w:fldCharType="begin" w:fldLock="1"/>
      </w:r>
      <w:r w:rsidR="00222B81">
        <w:instrText xml:space="preserve"> ADDIN ZOTERO_ITEM CSL_CITATION {"citationID":"oMFCsKah","properties":{"formattedCitation":"(Koch &amp; Tsuchiya, 2007)","plainCitation":"(Koch &amp; Tsuchiya, 2007)"},"citationItems":[{"id":"ITEM-1","uris":["http://www.mendeley.com/documents/?uuid=95507fea-ed2d-4e51-8dcc-24d544f044b6"],"uri":["http://www.mendeley.com/documents/?uuid=95507fea-ed2d-4e51-8dcc-24d544f044b6"],"itemData":{"DOI":"10.1016/j.tics.2006.10.012","author":[{"dropping-particle":"","family":"Koch","given":"Christof","non-dropping-particle":"","parse-names":false,"suffix":""},{"dropping-particle":"","family":"Tsuchiya","given":"Naotsugu","non-dropping-particle":"","parse-names":false,"suffix":""}],"container-title":"Trends in cognitive sciences","id":"ITEM-1","issue":"1","issued":{"date-parts":[["2007"]]},"title":"Attention and consciousness: two distinct brain processes","type":"article-journal","volume":"11"}}],"schema":"https://github.com/citation-style-language/schema/raw/master/csl-citation.json"} </w:instrText>
      </w:r>
      <w:r w:rsidR="00771998" w:rsidRPr="00097A71">
        <w:fldChar w:fldCharType="separate"/>
      </w:r>
      <w:r w:rsidR="00222B81">
        <w:rPr>
          <w:noProof/>
        </w:rPr>
        <w:t>(Koch &amp; Tsuchiya, 2007)</w:t>
      </w:r>
      <w:r w:rsidR="00771998" w:rsidRPr="00097A71">
        <w:fldChar w:fldCharType="end"/>
      </w:r>
      <w:r w:rsidRPr="00097A71">
        <w:t xml:space="preserve">. </w:t>
      </w:r>
      <w:r w:rsidR="00107F6E">
        <w:t>I</w:t>
      </w:r>
      <w:r w:rsidRPr="00151E3A">
        <w:t>n scene recognition experiments</w:t>
      </w:r>
      <w:r w:rsidR="003731BB">
        <w:t xml:space="preserve"> participants are able to identify the content of peripheral stimuli</w:t>
      </w:r>
      <w:r w:rsidR="00107F6E">
        <w:t xml:space="preserve"> </w:t>
      </w:r>
      <w:r w:rsidR="004332C4">
        <w:t>despite</w:t>
      </w:r>
      <w:r>
        <w:t xml:space="preserve"> attending to a demanding fixation task</w:t>
      </w:r>
      <w:r w:rsidRPr="00151E3A">
        <w:t xml:space="preserve"> </w:t>
      </w:r>
      <w:r w:rsidR="003731BB" w:rsidRPr="00151E3A">
        <w:fldChar w:fldCharType="begin" w:fldLock="1"/>
      </w:r>
      <w:r w:rsidR="00222B81">
        <w:instrText xml:space="preserve"> ADDIN ZOTERO_ITEM CSL_CITATION {"citationID":"kshX8gnV","properties":{"formattedCitation":"(Li, VanRullen, Koch, &amp; Perona, 2002)","plainCitation":"(Li, VanRullen, Koch, &amp; Perona, 2002)"},"citationItems":[{"id":"ITEM-1","uris":["http://www.mendeley.com/documents/?uuid=74ca1560-2d03-4f9d-b236-cdc30cd37c67"],"uri":["http://www.mendeley.com/documents/?uuid=74ca1560-2d03-4f9d-b236-cdc30cd37c67"],"itemData":{"DOI":"10.1073/pnas.092277599","ISSN":"0027-8424","PMID":"12077298","abstract":"What can we see when we do not pay attention? It is well known that we can be \"blind\" even to major aspects of natural scenes when we attend elsewhere. The only tasks that do not need attention appear to be carried out in the early stages of the visual system. Contrary to this common belief, we report that subjects can rapidly detect animals or vehicles in briefly presented novel natural scenes while simultaneously performing another attentionally demanding task. By comparison, they are unable to discriminate large T's from L's, or bisected two-color disks from their mirror images under the same conditions. We conclude that some visual tasks associated with \"high-level\" cortical areas may proceed in the near absence of attention.","author":[{"dropping-particle":"","family":"Li","given":"Fei Fei","non-dropping-particle":"","parse-names":false,"suffix":""},{"dropping-particle":"","family":"VanRullen","given":"Rufin","non-dropping-particle":"","parse-names":false,"suffix":""},{"dropping-particle":"","family":"Koch","given":"Christof","non-dropping-particle":"","parse-names":false,"suffix":""},{"dropping-particle":"","family":"Perona","given":"Pietro","non-dropping-particle":"","parse-names":false,"suffix":""}],"container-title":"Proceedings of the National Academy of Sciences of the United States of America","id":"ITEM-1","issue":"14","issued":{"date-parts":[["2002","7","9"]]},"page":"9596-601","title":"Rapid natural scene categorization in the near absence of attention.","type":"article-journal","volume":"99"}}],"schema":"https://github.com/citation-style-language/schema/raw/master/csl-citation.json"} </w:instrText>
      </w:r>
      <w:r w:rsidR="003731BB" w:rsidRPr="00151E3A">
        <w:fldChar w:fldCharType="separate"/>
      </w:r>
      <w:r w:rsidR="00222B81">
        <w:rPr>
          <w:noProof/>
        </w:rPr>
        <w:t>(Li, VanRullen, Koch, &amp; Perona, 2002)</w:t>
      </w:r>
      <w:r w:rsidR="003731BB" w:rsidRPr="00151E3A">
        <w:fldChar w:fldCharType="end"/>
      </w:r>
      <w:r w:rsidRPr="00151E3A">
        <w:t>.</w:t>
      </w:r>
      <w:r w:rsidR="00257260">
        <w:t xml:space="preserve"> In contrast, </w:t>
      </w:r>
      <w:r w:rsidR="003A366A">
        <w:t>many studies have found that</w:t>
      </w:r>
      <w:r w:rsidR="00222B81">
        <w:t xml:space="preserve"> participants are unable to respond about </w:t>
      </w:r>
      <w:r w:rsidR="003A366A">
        <w:t>unattended stimuli</w:t>
      </w:r>
      <w:r w:rsidR="00257260">
        <w:t>, in particular for simple features such as shapes and colors</w:t>
      </w:r>
      <w:r w:rsidR="00200F8A">
        <w:t xml:space="preserve"> </w:t>
      </w:r>
      <w:r w:rsidR="00222B81">
        <w:fldChar w:fldCharType="begin"/>
      </w:r>
      <w:r w:rsidR="00901656">
        <w:instrText xml:space="preserve"> ADDIN ZOTERO_ITEM CSL_CITATION {"citationID":"t6ni7un62","properties":{"formattedCitation":"(Mack, Arien &amp; Rock, Irvin, 1998)","plainCitation":"(Mack, Arien &amp; Rock, Irvin, 1998)"},"citationItems":[{"id":69,"uris":["http://zotero.org/users/2176449/items/FC6SF7S7"],"uri":["http://zotero.org/users/2176449/items/FC6SF7S7"],"itemData":{"id":69,"type":"book","title":"Inattentional Blindness.","publisher":"The MIT Press","author":[{"family":"Mack, Arien","given":""},{"family":"Rock, Irvin","given":""}],"issued":{"date-parts":[["1998"]]}}}],"schema":"https://github.com/citation-style-language/schema/raw/master/csl-citation.json"} </w:instrText>
      </w:r>
      <w:r w:rsidR="00222B81">
        <w:fldChar w:fldCharType="separate"/>
      </w:r>
      <w:r w:rsidR="00222B81">
        <w:rPr>
          <w:noProof/>
        </w:rPr>
        <w:t>(Mack, Arien &amp; Rock, Irvin, 1998)</w:t>
      </w:r>
      <w:r w:rsidR="00222B81">
        <w:fldChar w:fldCharType="end"/>
      </w:r>
      <w:r w:rsidR="00E4409B">
        <w:t xml:space="preserve">. One possible </w:t>
      </w:r>
      <w:r w:rsidR="00257260">
        <w:t>interpretation for the variability in results in these tasks is that stimulus features may be interacting in unexpected ways.</w:t>
      </w:r>
      <w:r w:rsidR="007B2B19">
        <w:t xml:space="preserve"> </w:t>
      </w:r>
      <w:r w:rsidR="00033071">
        <w:t>In this view, only</w:t>
      </w:r>
      <w:r w:rsidR="003D7C38">
        <w:t xml:space="preserve"> certain types of attentional modulations </w:t>
      </w:r>
      <w:r w:rsidR="00033071">
        <w:t>would</w:t>
      </w:r>
      <w:r w:rsidR="003D7C38">
        <w:t xml:space="preserve"> modify the neural activity responsible for scene recognition</w:t>
      </w:r>
      <w:r w:rsidR="007B2B19">
        <w:t xml:space="preserve">. </w:t>
      </w:r>
      <w:r w:rsidR="00033071">
        <w:t>In line with this hypothesis is the finding that</w:t>
      </w:r>
      <w:r w:rsidR="007B2B19">
        <w:t xml:space="preserve"> attending to motion </w:t>
      </w:r>
      <w:r w:rsidR="00033071">
        <w:t>does</w:t>
      </w:r>
      <w:r w:rsidR="007B2B19">
        <w:t xml:space="preserve"> result in diminished awareness of scene gist </w:t>
      </w:r>
      <w:r w:rsidR="007B2B19">
        <w:fldChar w:fldCharType="begin"/>
      </w:r>
      <w:r w:rsidR="00995F03">
        <w:instrText xml:space="preserve"> ADDIN ZOTERO_ITEM CSL_CITATION {"citationID":"15ce1crhfv","properties":{"formattedCitation":"(Cohen, Alvarez, &amp; Nakayama, 2011)","plainCitation":"(Cohen, Alvarez, &amp; Nakayama, 2011)"},"citationItems":[{"id":67,"uris":["http://zotero.org/users/2176449/items/F72EU5QP"],"uri":["http://zotero.org/users/2176449/items/F72EU5QP"],"itemData":{"id":67,"type":"article-journal","title":"Natural-scene perception requires attention.","container-title":"Psychological science","page":"1165-72","volume":"22","issue":"9","abstract":"Is visual attention required for visual consciousness? In the past decade, many researchers have claimed that awareness can arise in the absence of attention. This claim is largely based on the notion that natural scene (or \"gist\") perception occurs without attention. This article presents evidence against this idea. We show that when observers perform a variety of demanding, sustained-attention tasks, inattentional blindness occurs for natural scenes. In addition, scene perception is impaired under dual-task conditions, but only when the primary task is sufficiently demanding. This finding suggests that previous studies that have been interpreted as demonstrating scene perception without attention failed to fully engage attention and that natural-scene perception does indeed require attention. Thus, natural-scene perception is not a preattentive process and cannot be used to support the idea of awareness without attention.","DOI":"10.1177/0956797611419168","author":[{"family":"Cohen","given":"Michael a"},{"family":"Alvarez","given":"George a"},{"family":"Nakayama","given":"Ken"}],"issued":{"date-parts":[["2011",9]]}}}],"schema":"https://github.com/citation-style-language/schema/raw/master/csl-citation.json"} </w:instrText>
      </w:r>
      <w:r w:rsidR="007B2B19">
        <w:fldChar w:fldCharType="separate"/>
      </w:r>
      <w:r w:rsidR="007B2B19" w:rsidRPr="007B2B19">
        <w:rPr>
          <w:rFonts w:ascii="Calibri" w:hAnsi="Calibri"/>
        </w:rPr>
        <w:t>(Cohen, Alvarez, &amp; Nakayama, 2011)</w:t>
      </w:r>
      <w:r w:rsidR="007B2B19">
        <w:fldChar w:fldCharType="end"/>
      </w:r>
      <w:r w:rsidR="007B2B19">
        <w:t xml:space="preserve">. We propose that this feature-specific hypothesis </w:t>
      </w:r>
      <w:r w:rsidR="00033071">
        <w:t>is a property of the hierarchical organization</w:t>
      </w:r>
      <w:r w:rsidR="007B2B19">
        <w:t xml:space="preserve"> of visual cortex. Our hypothesis is that modifying a neural representation</w:t>
      </w:r>
      <w:r w:rsidR="00033071">
        <w:t>,</w:t>
      </w:r>
      <w:r w:rsidR="007B2B19">
        <w:t xml:space="preserve"> through spatial or feature-based attention</w:t>
      </w:r>
      <w:r w:rsidR="00033071">
        <w:t>, ultimately feeds forward to downstream visual areas. The impact of these changes will depend on whether they cause constructive or destructive interference relative to a particular task. We propose to test this hypothesis by investigating whether contrast and motion coherence interfere in an asymmetrical manner, and whether this asymmetry is well predicted by neural responses in representative areas</w:t>
      </w:r>
      <w:r w:rsidR="007B2B19">
        <w:t xml:space="preserve">. </w:t>
      </w:r>
      <w:r w:rsidR="00CB1973">
        <w:t xml:space="preserve">Our </w:t>
      </w:r>
      <w:r w:rsidR="005D1FB9">
        <w:t xml:space="preserve">prediction is </w:t>
      </w:r>
      <w:r w:rsidR="00CB1973">
        <w:t xml:space="preserve">that attention to contrast will be detrimental to the perception </w:t>
      </w:r>
      <w:r w:rsidR="005D1FB9">
        <w:t>of motion, but not vice versa, due to the</w:t>
      </w:r>
      <w:r w:rsidR="003475C9">
        <w:t xml:space="preserve"> largely</w:t>
      </w:r>
      <w:r w:rsidR="005D1FB9">
        <w:t xml:space="preserve"> feed-forward organization of visual cortex.</w:t>
      </w:r>
      <w:r w:rsidR="001468CB">
        <w:t xml:space="preserve"> This view argues for seeing attention as a local, context-dependent modulation of cortical activity—which may feed forward or directly act on representations that are important for visual perception.  </w:t>
      </w:r>
    </w:p>
    <w:p w14:paraId="4BBFA585" w14:textId="7393ADBB" w:rsidR="00AC0B03" w:rsidRDefault="00754238" w:rsidP="0014154E">
      <w:pPr>
        <w:ind w:firstLine="720"/>
        <w:jc w:val="both"/>
      </w:pPr>
      <w:r>
        <w:t xml:space="preserve">A number of theories have now been put forward about the functional implementation of top-down attention. In the early visual areas in humans for example there is evidence that </w:t>
      </w:r>
      <w:r w:rsidR="00AC0B03">
        <w:t>spatial attention</w:t>
      </w:r>
      <w:r>
        <w:t xml:space="preserve"> acts as a form of response gain </w:t>
      </w:r>
      <w:r>
        <w:fldChar w:fldCharType="begin"/>
      </w:r>
      <w:r w:rsidR="00995F03">
        <w:instrText xml:space="preserve"> ADDIN ZOTERO_ITEM CSL_CITATION {"citationID":"2dd8t678mq","properties":{"formattedCitation":"(Itthipuripat, Ester, Deering, &amp; Serences, 2014)","plainCitation":"(Itthipuripat, Ester, Deering, &amp; Serences, 2014)"},"citationItems":[{"id":83,"uris":["http://zotero.org/users/2176449/items/GG2ADKKD"],"uri":["http://zotero.org/users/2176449/items/GG2ADKKD"],"itemData":{"id":83,"type":"article-journal","title":"Sensory Gain Outperforms Efficient Readout Mechanisms in Predicting Attention-Related Improvements in Behavior","container-title":"Journal of Neuroscience","page":"13384-13398","volume":"34","issue":"40","DOI":"10.1523/JNEUROSCI.2277-14.2014","author":[{"family":"Itthipuripat","given":"S."},{"family":"Ester","given":"E. F."},{"family":"Deering","given":"S."},{"family":"Serences","given":"J. T."}],"issued":{"date-parts":[["2014",10]]}}}],"schema":"https://github.com/citation-style-language/schema/raw/master/csl-citation.json"} </w:instrText>
      </w:r>
      <w:r>
        <w:fldChar w:fldCharType="separate"/>
      </w:r>
      <w:r>
        <w:rPr>
          <w:noProof/>
        </w:rPr>
        <w:t>(Itthipuripat, Ester, Deering, &amp; Serences, 2014)</w:t>
      </w:r>
      <w:r>
        <w:fldChar w:fldCharType="end"/>
      </w:r>
      <w:r>
        <w:t xml:space="preserve"> or a kind of selective gating of </w:t>
      </w:r>
      <w:r w:rsidR="0038781C">
        <w:t>activation</w:t>
      </w:r>
      <w:r>
        <w:t xml:space="preserve"> </w:t>
      </w:r>
      <w:r>
        <w:fldChar w:fldCharType="begin"/>
      </w:r>
      <w:r w:rsidR="00901656">
        <w:instrText xml:space="preserve"> ADDIN ZOTERO_ITEM CSL_CITATION {"citationID":"o1240eil7","properties":{"formattedCitation":"(Pestilli, Carrasco, Heeger, &amp; Gardner, 2011)","plainCitation":"(Pestilli, Carrasco, Heeger, &amp; Gardner, 2011)"},"citationItems":[{"id":47,"uris":["http://zotero.org/users/2176449/items/BJIUWIKG"],"uri":["http://zotero.org/users/2176449/items/BJIUWIKG"],"itemData":{"id":47,"type":"article-journal","title":"Attentional enhancement via selection and pooling of early sensory responses in human visual cortex.","container-title":"Neuron","page":"832-46","volume":"72","issue":"5","abstract":"The computational processes by which attention improves behavioral performance were characterized by measuring visual cortical activity with functional magnetic resonance imaging as humans performed a contrast-discrimination task with focal and distributed attention. Focal attention yielded robust improvements in behavioral performance accompanied by increases in cortical responses. Quantitative analysis revealed that if performance were limited only by the sensitivity of the measured sensory signals, the improvements in behavioral performance would have corresponded to an unrealistically large reduction in response variability. Instead, behavioral performance was well characterized by a pooling and selection process for which the largest sensory responses, those most strongly modulated by attention, dominated the perceptual decision. This characterization predicts that high-contrast distracters that evoke large responses should negatively impact behavioral performance. We tested and confirmed this prediction. We conclude that attention enhanced behavioral performance predominantly by enabling efficient selection of the behaviorally relevant sensory signals.","DOI":"10.1016/j.neuron.2011.09.025","author":[{"family":"Pestilli","given":"Franco"},{"family":"Carrasco","given":"Marisa"},{"family":"Heeger","given":"David J"},{"family":"Gardner","given":"Justin L"}],"issued":{"date-parts":[["2011",12]]}}}],"schema":"https://github.com/citation-style-language/schema/raw/master/csl-citation.json"} </w:instrText>
      </w:r>
      <w:r>
        <w:fldChar w:fldCharType="separate"/>
      </w:r>
      <w:r>
        <w:rPr>
          <w:noProof/>
        </w:rPr>
        <w:t>(Pestilli, Carrasco, Heeger, &amp; Gardner, 2011)</w:t>
      </w:r>
      <w:r>
        <w:fldChar w:fldCharType="end"/>
      </w:r>
      <w:r>
        <w:t>. But little is known about how attention impacts</w:t>
      </w:r>
      <w:r w:rsidR="00AC0B03">
        <w:t xml:space="preserve"> visual perception of unattended stimuli. We know that changes in population responses in visual cortex correlate with perception </w:t>
      </w:r>
      <w:r w:rsidR="00AC0B03">
        <w:fldChar w:fldCharType="begin"/>
      </w:r>
      <w:r w:rsidR="00995F03">
        <w:instrText xml:space="preserve"> ADDIN ZOTERO_ITEM CSL_CITATION {"citationID":"1j67t77mtv","properties":{"formattedCitation":"(Cutrone, Heeger, &amp; Carrasco, 2014)","plainCitation":"(Cutrone, Heeger, &amp; Carrasco, 2014)"},"citationItems":[{"id":347,"uris":["http://zotero.org/users/2176449/items/NXCA7P65"],"uri":["http://zotero.org/users/2176449/items/NXCA7P65"],"itemData":{"id":347,"type":"article-journal","title":"Attention enhances contrast appearance via increased input baseline of neural responses","container-title":"Journal of vision","page":"16","volume":"14","issue":"14","source":"Google Scholar","author":[{"family":"Cutrone","given":"Elizabeth K."},{"family":"Heeger","given":"David J."},{"family":"Carrasco","given":"Marisa"}],"issued":{"date-parts":[["2014"]]},"accessed":{"date-parts":[["2015",4,13]]}}}],"schema":"https://github.com/citation-style-language/schema/raw/master/csl-citation.json"} </w:instrText>
      </w:r>
      <w:r w:rsidR="00AC0B03">
        <w:fldChar w:fldCharType="separate"/>
      </w:r>
      <w:r w:rsidR="00AC0B03" w:rsidRPr="00AC0B03">
        <w:rPr>
          <w:rFonts w:ascii="Calibri" w:hAnsi="Calibri"/>
        </w:rPr>
        <w:t>(Cutrone, Heeger, &amp; Carrasco, 2014)</w:t>
      </w:r>
      <w:r w:rsidR="00AC0B03">
        <w:fldChar w:fldCharType="end"/>
      </w:r>
      <w:r w:rsidR="00AC0B03">
        <w:t>, so we might expect that the influence of spatial attention on unattended regions should also predict changes in visual perception in those areas. Note that this view makes no explicit claim about how unattended features or spatial locations will be modified, only that any change in their activity will manifest as a change in visual perception.</w:t>
      </w:r>
      <w:r w:rsidR="002B4367">
        <w:t xml:space="preserve"> If attention-related modulations introduce destructive noise, then visual perception will be weakened. On the other hand, if the modulation is constructive, visual perception could be improved.</w:t>
      </w:r>
      <w:r w:rsidR="00612C9B">
        <w:t xml:space="preserve"> Given our knowledge of the hierarchical organization of visual cortex </w:t>
      </w:r>
      <w:r w:rsidR="00612C9B">
        <w:fldChar w:fldCharType="begin"/>
      </w:r>
      <w:r w:rsidR="00995F03">
        <w:instrText xml:space="preserve"> ADDIN ZOTERO_ITEM CSL_CITATION {"citationID":"1sdfrrit5a","properties":{"formattedCitation":"(Grill-Spector &amp; Malach, 2004)","plainCitation":"(Grill-Spector &amp; Malach, 2004)"},"citationItems":[{"id":16,"uris":["http://zotero.org/users/2176449/items/5JG4ZM7V"],"uri":["http://zotero.org/users/2176449/items/5JG4ZM7V"],"itemData":{"id":16,"type":"article-journal","title":"The Human Visual Cortex","container-title":"Annual Review of Neuroscience","page":"649-677","volume":"27","issue":"1","source":"CrossRef","DOI":"10.1146/annurev.neuro.27.070203.144220","ISSN":"0147-006X, 1545-4126","language":"en","author":[{"family":"Grill-Spector","given":"Kalanit"},{"family":"Malach","given":"Rafael"}],"issued":{"date-parts":[["2004",7,21]]},"accessed":{"date-parts":[["2014",11,30]]}}}],"schema":"https://github.com/citation-style-language/schema/raw/master/csl-citation.json"} </w:instrText>
      </w:r>
      <w:r w:rsidR="00612C9B">
        <w:fldChar w:fldCharType="separate"/>
      </w:r>
      <w:r w:rsidR="00612C9B" w:rsidRPr="00612C9B">
        <w:rPr>
          <w:rFonts w:ascii="Calibri" w:hAnsi="Calibri"/>
        </w:rPr>
        <w:t>(Grill-Spector &amp; Malach, 2004)</w:t>
      </w:r>
      <w:r w:rsidR="00612C9B">
        <w:fldChar w:fldCharType="end"/>
      </w:r>
      <w:r w:rsidR="00612C9B">
        <w:t xml:space="preserve"> it is plausible that modulatory effects will manifest in asymmetrical ways. For example, because </w:t>
      </w:r>
      <w:r w:rsidR="005C3C60">
        <w:t xml:space="preserve">projections from V1 to </w:t>
      </w:r>
      <w:proofErr w:type="spellStart"/>
      <w:r w:rsidR="005C3C60">
        <w:t>hMT</w:t>
      </w:r>
      <w:proofErr w:type="spellEnd"/>
      <w:r w:rsidR="005C3C60">
        <w:t xml:space="preserve">+ are stronger than feedback connections we might expect that only modulations of V1 will impact MT, but not vice versa. This is analogous to saying that attention to features represented by V1 will impact motion perception, but attention to motion will not impact features represented by V1 </w:t>
      </w:r>
      <w:r w:rsidR="005C3C60">
        <w:lastRenderedPageBreak/>
        <w:t xml:space="preserve">(under the assumption that MT represents motion). </w:t>
      </w:r>
      <w:r w:rsidR="00DF257B">
        <w:t>We tested this</w:t>
      </w:r>
      <w:r w:rsidR="000B4132">
        <w:t xml:space="preserve"> general hypothesis</w:t>
      </w:r>
      <w:r w:rsidR="00DF257B">
        <w:t xml:space="preserve"> </w:t>
      </w:r>
      <w:r w:rsidR="000B4132">
        <w:t xml:space="preserve">by asking participants to respond about unattended features while we recorded neural responses. Our prediction was that the neural representation of motion coherence is affected by attention to contrast, and that the effect is a destructive interference. To summarize: in our task we expect that attending to contrast will reduce performance on motion coherence discrimination, but that attending to motion coherence will have no effect on contrast discrimination. </w:t>
      </w:r>
    </w:p>
    <w:p w14:paraId="4F90874F" w14:textId="6F93E443" w:rsidR="00EC2042" w:rsidRDefault="00EC2042" w:rsidP="00B13E36">
      <w:pPr>
        <w:ind w:firstLine="720"/>
        <w:jc w:val="both"/>
      </w:pPr>
      <w:r>
        <w:t xml:space="preserve">Our behavioral task design resembles work that has been done on “dual task” experiments, in particular the extensive line of literature on inattentional blindness </w:t>
      </w:r>
      <w:r>
        <w:fldChar w:fldCharType="begin"/>
      </w:r>
      <w:r w:rsidR="00901656">
        <w:instrText xml:space="preserve"> ADDIN ZOTERO_ITEM CSL_CITATION {"citationID":"2alpjahud1","properties":{"formattedCitation":"(Mack, Arien &amp; Rock, Irvin, 1998)","plainCitation":"(Mack, Arien &amp; Rock, Irvin, 1998)"},"citationItems":[{"id":69,"uris":["http://zotero.org/users/2176449/items/FC6SF7S7"],"uri":["http://zotero.org/users/2176449/items/FC6SF7S7"],"itemData":{"id":69,"type":"book","title":"Inattentional Blindness.","publisher":"The MIT Press","author":[{"family":"Mack, Arien","given":""},{"family":"Rock, Irvin","given":""}],"issued":{"date-parts":[["1998"]]}}}],"schema":"https://github.com/citation-style-language/schema/raw/master/csl-citation.json"} </w:instrText>
      </w:r>
      <w:r>
        <w:fldChar w:fldCharType="separate"/>
      </w:r>
      <w:r>
        <w:rPr>
          <w:noProof/>
        </w:rPr>
        <w:t>(Mack, Arien &amp; Rock, Irvin, 1998)</w:t>
      </w:r>
      <w:r>
        <w:fldChar w:fldCharType="end"/>
      </w:r>
      <w:r w:rsidR="00D52007">
        <w:t>.</w:t>
      </w:r>
      <w:r w:rsidR="00260324">
        <w:t xml:space="preserve"> This is the same line of experimental results that have found differences in scene gist recognition under varied experimental conditions </w:t>
      </w:r>
      <w:r w:rsidR="00260324">
        <w:fldChar w:fldCharType="begin"/>
      </w:r>
      <w:r w:rsidR="00995F03">
        <w:instrText xml:space="preserve"> ADDIN ZOTERO_ITEM CSL_CITATION {"citationID":"9rkv4t8de","properties":{"formattedCitation":"(Cohen et al., 2011; Li et al., 2002; Mack &amp; Clarke, 2012)","plainCitation":"(Cohen et al., 2011; Li et al., 2002; Mack &amp; Clarke, 2012)"},"citationItems":[{"id":67,"uris":["http://zotero.org/users/2176449/items/F72EU5QP"],"uri":["http://zotero.org/users/2176449/items/F72EU5QP"],"itemData":{"id":67,"type":"article-journal","title":"Natural-scene perception requires attention.","container-title":"Psychological science","page":"1165-72","volume":"22","issue":"9","abstract":"Is visual attention required for visual consciousness? In the past decade, many researchers have claimed that awareness can arise in the absence of attention. This claim is largely based on the notion that natural scene (or \"gist\") perception occurs without attention. This article presents evidence against this idea. We show that when observers perform a variety of demanding, sustained-attention tasks, inattentional blindness occurs for natural scenes. In addition, scene perception is impaired under dual-task conditions, but only when the primary task is sufficiently demanding. This finding suggests that previous studies that have been interpreted as demonstrating scene perception without attention failed to fully engage attention and that natural-scene perception does indeed require attention. Thus, natural-scene perception is not a preattentive process and cannot be used to support the idea of awareness without attention.","DOI":"10.1177/0956797611419168","author":[{"family":"Cohen","given":"Michael a"},{"family":"Alvarez","given":"George a"},{"family":"Nakayama","given":"Ken"}],"issued":{"date-parts":[["2011",9]]}}},{"id":"1VNbMMkj/xo5pJdU2","uris":["http://www.mendeley.com/documents/?uuid=74ca1560-2d03-4f9d-b236-cdc30cd37c67"],"uri":["http://www.mendeley.com/documents/?uuid=74ca1560-2d03-4f9d-b236-cdc30cd37c67"],"itemData":{"DOI":"10.1073/pnas.092277599","ISSN":"0027-8424","PMID":"12077298","abstract":"What can we see when we do not pay attention? It is well known that we can be \"blind\" even to major aspects of natural scenes when we attend elsewhere. The only tasks that do not need attention appear to be carried out in the early stages of the visual system. Contrary to this common belief, we report that subjects can rapidly detect animals or vehicles in briefly presented novel natural scenes while simultaneously performing another attentionally demanding task. By comparison, they are unable to discriminate large T's from L's, or bisected two-color disks from their mirror images under the same conditions. We conclude that some visual tasks associated with \"high-level\" cortical areas may proceed in the near absence of attention.","author":[{"dropping-particle":"","family":"Li","given":"Fei Fei","non-dropping-particle":"","parse-names":false,"suffix":""},{"dropping-particle":"","family":"VanRullen","given":"Rufin","non-dropping-particle":"","parse-names":false,"suffix":""},{"dropping-particle":"","family":"Koch","given":"Christof","non-dropping-particle":"","parse-names":false,"suffix":""},{"dropping-particle":"","family":"Perona","given":"Pietro","non-dropping-particle":"","parse-names":false,"suffix":""}],"container-title":"Proceedings of the National Academy of Sciences of the United States of America","id":"1VNbMMkj/xo5pJdU2","issue":"14","issued":{"year":2002,"month":7,"day":9},"page":"9596-601","title":"Rapid natural scene categorization in the near absence of attention.","type":"article-journal","volume":"99","page-first":"9596","container-title-short":"Proc. Natl. Acad. Sci. U. S. A."}},{"id":127,"uris":["http://zotero.org/users/2176449/items/PS4C5DSS"],"uri":["http://zotero.org/users/2176449/items/PS4C5DSS"],"itemData":{"id":127,"type":"article-journal","title":"Gist perception requires attention","container-title":"Visual Cognition","page":"300-327","volume":"20","issue":"3","source":"CrossRef","DOI":"10.1080/13506285.2012.666578","ISSN":"1350-6285, 1464-0716","language":"en","author":[{"family":"Mack","given":"Arien"},{"family":"Clarke","given":"Jason"}],"issued":{"date-parts":[["2012",3]]},"accessed":{"date-parts":[["2015",1,26]],"season":"05:43:09"}}}],"schema":"https://github.com/citation-style-language/schema/raw/master/csl-citation.json"} </w:instrText>
      </w:r>
      <w:r w:rsidR="00260324">
        <w:fldChar w:fldCharType="separate"/>
      </w:r>
      <w:r w:rsidR="00260324" w:rsidRPr="00260324">
        <w:rPr>
          <w:rFonts w:ascii="Calibri" w:hAnsi="Calibri"/>
        </w:rPr>
        <w:t>(Cohen et al., 2011; Li et al., 2002; Mack &amp; Clarke, 2012)</w:t>
      </w:r>
      <w:r w:rsidR="00260324">
        <w:fldChar w:fldCharType="end"/>
      </w:r>
      <w:r w:rsidR="00260324">
        <w:t>.</w:t>
      </w:r>
      <w:r w:rsidR="008C1F32">
        <w:t xml:space="preserve"> Measuring behavioral responses for “unattended” stimuli is difficult. Many dual task designs use stimulus novelty to assess recognition or discrimination performance for unattended stimuli. Because of this, they are usually limited to collecting a single critical trial. Our goal here is to assess whether neural activity in precise anatomical regions is sufficient to explain the range of behavioral performance. This within-subject design requires precise estimates of subject-level performance, which are impossible to obtain in a single trial. With this in mind we chose to use a classic signal 2-alternative forced choice (2-AFC) discrimination task, using miscued trials to assess performance on the un-cued feature. </w:t>
      </w:r>
      <w:r w:rsidR="0045451D">
        <w:t>This approach may introduce its own issues if participants ‘split’ their attention between stimulus features. To mitigate this confound we control for task difficulty in our design. We also measured a control condition in which cueing was 100% predictive of response category, so that differences due to attention ‘splitting’ could be easily assessed.</w:t>
      </w:r>
    </w:p>
    <w:p w14:paraId="709EC631" w14:textId="1D0B9284" w:rsidR="00D52007" w:rsidRPr="00CB1973" w:rsidRDefault="008D75E6" w:rsidP="00C46F20">
      <w:pPr>
        <w:ind w:firstLine="720"/>
        <w:jc w:val="both"/>
      </w:pPr>
      <w:r>
        <w:t>We view attention</w:t>
      </w:r>
      <w:r w:rsidR="00BB1D8E">
        <w:t xml:space="preserve"> in visual space</w:t>
      </w:r>
      <w:r>
        <w:t xml:space="preserve"> as a local context-dependent modulation of neural activit</w:t>
      </w:r>
      <w:r w:rsidR="00BB1D8E">
        <w:t xml:space="preserve">y in </w:t>
      </w:r>
      <w:r w:rsidR="009D45B3">
        <w:t>a precise region</w:t>
      </w:r>
      <w:r w:rsidR="00BB1D8E">
        <w:t xml:space="preserve"> of visual cortex. </w:t>
      </w:r>
      <w:r w:rsidR="00462038">
        <w:t>Visual perception</w:t>
      </w:r>
      <w:r w:rsidR="00BB1D8E">
        <w:t xml:space="preserve"> appears to be a downstream property of neural activation that </w:t>
      </w:r>
      <w:r w:rsidR="00462038">
        <w:t>has a direct dependence</w:t>
      </w:r>
      <w:r w:rsidR="00BB1D8E">
        <w:t xml:space="preserve"> on activations in visual cortex. </w:t>
      </w:r>
      <w:r w:rsidR="007A3079">
        <w:t>T</w:t>
      </w:r>
      <w:r w:rsidR="00F46A58">
        <w:t xml:space="preserve">hese assumptions predict that asymmetries in how attention interacts with awareness should be well predicted by the topology and interconnections </w:t>
      </w:r>
      <w:r w:rsidR="00975CD5">
        <w:t>of visual</w:t>
      </w:r>
      <w:r w:rsidR="00F46A58">
        <w:t xml:space="preserve"> cortex.</w:t>
      </w:r>
      <w:r w:rsidR="006E726A">
        <w:t xml:space="preserve"> </w:t>
      </w:r>
      <w:r w:rsidR="00AA5941">
        <w:t>For example, there is a known</w:t>
      </w:r>
      <w:r w:rsidR="00F46A58">
        <w:t xml:space="preserve"> </w:t>
      </w:r>
      <w:r w:rsidR="006E726A">
        <w:t>asymmetry between</w:t>
      </w:r>
      <w:r w:rsidR="00F46A58">
        <w:t xml:space="preserve"> scene gist</w:t>
      </w:r>
      <w:r w:rsidR="00AA5941">
        <w:t xml:space="preserve"> recognition</w:t>
      </w:r>
      <w:r w:rsidR="00F46A58">
        <w:t xml:space="preserve"> </w:t>
      </w:r>
      <w:r w:rsidR="006E726A">
        <w:t>being</w:t>
      </w:r>
      <w:r w:rsidR="00F46A58">
        <w:t xml:space="preserve"> abolished by motion </w:t>
      </w:r>
      <w:r w:rsidR="00F46A58">
        <w:fldChar w:fldCharType="begin"/>
      </w:r>
      <w:r w:rsidR="00995F03">
        <w:instrText xml:space="preserve"> ADDIN ZOTERO_ITEM CSL_CITATION {"citationID":"1mk3q1uuoc","properties":{"formattedCitation":"(Cohen et al., 2011)","plainCitation":"(Cohen et al., 2011)"},"citationItems":[{"id":67,"uris":["http://zotero.org/users/2176449/items/F72EU5QP"],"uri":["http://zotero.org/users/2176449/items/F72EU5QP"],"itemData":{"id":67,"type":"article-journal","title":"Natural-scene perception requires attention.","container-title":"Psychological science","page":"1165-72","volume":"22","issue":"9","abstract":"Is visual attention required for visual consciousness? In the past decade, many researchers have claimed that awareness can arise in the absence of attention. This claim is largely based on the notion that natural scene (or \"gist\") perception occurs without attention. This article presents evidence against this idea. We show that when observers perform a variety of demanding, sustained-attention tasks, inattentional blindness occurs for natural scenes. In addition, scene perception is impaired under dual-task conditions, but only when the primary task is sufficiently demanding. This finding suggests that previous studies that have been interpreted as demonstrating scene perception without attention failed to fully engage attention and that natural-scene perception does indeed require attention. Thus, natural-scene perception is not a preattentive process and cannot be used to support the idea of awareness without attention.","DOI":"10.1177/0956797611419168","author":[{"family":"Cohen","given":"Michael a"},{"family":"Alvarez","given":"George a"},{"family":"Nakayama","given":"Ken"}],"issued":{"date-parts":[["2011",9]]}}}],"schema":"https://github.com/citation-style-language/schema/raw/master/csl-citation.json"} </w:instrText>
      </w:r>
      <w:r w:rsidR="00F46A58">
        <w:fldChar w:fldCharType="separate"/>
      </w:r>
      <w:r w:rsidR="00F46A58">
        <w:rPr>
          <w:noProof/>
        </w:rPr>
        <w:t>(Cohen et al., 2011)</w:t>
      </w:r>
      <w:r w:rsidR="00F46A58">
        <w:fldChar w:fldCharType="end"/>
      </w:r>
      <w:r w:rsidR="00F46A58">
        <w:t xml:space="preserve"> but not by other demanding attentional tasks </w:t>
      </w:r>
      <w:r w:rsidR="00F46A58">
        <w:fldChar w:fldCharType="begin"/>
      </w:r>
      <w:r w:rsidR="00F46A58">
        <w:instrText xml:space="preserve"> ADDIN ZOTERO_ITEM CSL_CITATION {"citationID":"1gkjl1v9a2","properties":{"formattedCitation":"(Li et al., 2002)","plainCitation":"(Li et al., 2002)"},"citationItems":[{"id":"4dnJCBMZ/Zv7aBgWj","uris":["http://www.mendeley.com/documents/?uuid=74ca1560-2d03-4f9d-b236-cdc30cd37c67"],"uri":["http://www.mendeley.com/documents/?uuid=74ca1560-2d03-4f9d-b236-cdc30cd37c67"],"itemData":{"DOI":"10.1073/pnas.092277599","ISSN":"0027-8424","PMID":"12077298","abstract":"What can we see when we do not pay attention? It is well known that we can be \"blind\" even to major aspects of natural scenes when we attend elsewhere. The only tasks that do not need attention appear to be carried out in the early stages of the visual system. Contrary to this common belief, we report that subjects can rapidly detect animals or vehicles in briefly presented novel natural scenes while simultaneously performing another attentionally demanding task. By comparison, they are unable to discriminate large T's from L's, or bisected two-color disks from their mirror images under the same conditions. We conclude that some visual tasks associated with \"high-level\" cortical areas may proceed in the near absence of attention.","author":[{"dropping-particle":"","family":"Li","given":"Fei Fei","non-dropping-particle":"","parse-names":false,"suffix":""},{"dropping-particle":"","family":"VanRullen","given":"Rufin","non-dropping-particle":"","parse-names":false,"suffix":""},{"dropping-particle":"","family":"Koch","given":"Christof","non-dropping-particle":"","parse-names":false,"suffix":""},{"dropping-particle":"","family":"Perona","given":"Pietro","non-dropping-particle":"","parse-names":false,"suffix":""}],"container-title":"Proceedings of the National Academy of Sciences of the United States of America","id":"4dnJCBMZ/Zv7aBgWj","issue":"14","issued":{"year":2002,"month":7,"day":9},"page":"9596-601","title":"Rapid natural scene categorization in the near absence of attention.","type":"article-journal","volume":"99","page-first":"9596","container-title-short":"Proc. Natl. Acad. Sci. U. S. A."}}],"schema":"https://github.com/citation-style-language/schema/raw/master/csl-citation.json"} </w:instrText>
      </w:r>
      <w:r w:rsidR="00F46A58">
        <w:fldChar w:fldCharType="separate"/>
      </w:r>
      <w:r w:rsidR="00F46A58">
        <w:rPr>
          <w:noProof/>
        </w:rPr>
        <w:t>(Li et al., 2002)</w:t>
      </w:r>
      <w:r w:rsidR="00F46A58">
        <w:fldChar w:fldCharType="end"/>
      </w:r>
      <w:r w:rsidR="00AA5941">
        <w:t>. Our hypothesis predicts that motion representative neural activity should feed forward into the areas that represent scene gist, but not vice versa</w:t>
      </w:r>
      <w:r w:rsidR="00F46A58">
        <w:t xml:space="preserve">. </w:t>
      </w:r>
      <w:r w:rsidR="00336BE0">
        <w:t>We tested this general hypothesis with a more basic task</w:t>
      </w:r>
      <w:r w:rsidR="00F46A58">
        <w:t xml:space="preserve"> </w:t>
      </w:r>
      <w:r w:rsidR="006E726A">
        <w:t>involving judgments of</w:t>
      </w:r>
      <w:r w:rsidR="00F46A58">
        <w:t xml:space="preserve"> contrast and motion coherence.</w:t>
      </w:r>
      <w:r w:rsidR="00336BE0">
        <w:t xml:space="preserve"> Our prediction for our task is that attention to contrast will affect motion coherence, but not vice versa.</w:t>
      </w:r>
      <w:r w:rsidR="00F46A58">
        <w:t xml:space="preserve"> </w:t>
      </w:r>
      <w:r w:rsidR="001A316F">
        <w:t>In addition, w</w:t>
      </w:r>
      <w:r w:rsidR="00F46A58">
        <w:t xml:space="preserve">e expect that this relationship will be precisely explained by the variability, due to </w:t>
      </w:r>
      <w:r w:rsidR="006E726A">
        <w:t>attentional cueing</w:t>
      </w:r>
      <w:r w:rsidR="00F46A58">
        <w:t>, in neural responses in contrast and motion responsive regions of visual cortex.</w:t>
      </w:r>
      <w:r w:rsidR="00720E57">
        <w:t xml:space="preserve"> Understanding this process and characterizing this asymmetrical </w:t>
      </w:r>
      <w:r w:rsidR="004C6C35">
        <w:t>relationship will help us understand the role of attention in visual cortex and its interactions with downstream processes</w:t>
      </w:r>
      <w:r w:rsidR="001A316F">
        <w:t xml:space="preserve"> such as visual awareness</w:t>
      </w:r>
      <w:r w:rsidR="00231415">
        <w:t>. In addition, characterizing a general</w:t>
      </w:r>
      <w:r w:rsidR="004C6C35">
        <w:t xml:space="preserve"> architectural constraint</w:t>
      </w:r>
      <w:r w:rsidR="00231415">
        <w:t>,</w:t>
      </w:r>
      <w:r w:rsidR="004C6C35">
        <w:t xml:space="preserve"> such as the one we have outlined here</w:t>
      </w:r>
      <w:r w:rsidR="00231415">
        <w:t>,</w:t>
      </w:r>
      <w:r w:rsidR="004C6C35">
        <w:t xml:space="preserve"> </w:t>
      </w:r>
      <w:r w:rsidR="00231415">
        <w:t>predicts similar hierarchical influences</w:t>
      </w:r>
      <w:r w:rsidR="00AE612F">
        <w:t xml:space="preserve"> </w:t>
      </w:r>
      <w:r w:rsidR="004C6C35">
        <w:t xml:space="preserve">on memory, cognitive control, </w:t>
      </w:r>
      <w:r w:rsidR="00AE612F">
        <w:t xml:space="preserve">learning, and on any other downstream processes. </w:t>
      </w:r>
    </w:p>
    <w:p w14:paraId="24E2BEEB" w14:textId="77777777" w:rsidR="00115626" w:rsidRDefault="00115626" w:rsidP="00C20F60"/>
    <w:p w14:paraId="2744DFF7" w14:textId="77777777" w:rsidR="00154E96" w:rsidRDefault="00154E96" w:rsidP="00C20F60"/>
    <w:p w14:paraId="119B968B" w14:textId="77777777" w:rsidR="00141A08" w:rsidRPr="00E74169" w:rsidRDefault="00F32A1E" w:rsidP="00C20F60">
      <w:pPr>
        <w:rPr>
          <w:b/>
        </w:rPr>
      </w:pPr>
      <w:r w:rsidRPr="00E74169">
        <w:rPr>
          <w:b/>
        </w:rPr>
        <w:lastRenderedPageBreak/>
        <w:t>Methods</w:t>
      </w:r>
    </w:p>
    <w:p w14:paraId="53C1517C" w14:textId="1850BC4F" w:rsidR="00F428E6" w:rsidRDefault="00F428E6" w:rsidP="00C20F60">
      <w:r w:rsidRPr="00F428E6">
        <w:t>Subjects</w:t>
      </w:r>
    </w:p>
    <w:p w14:paraId="3A5FDB70" w14:textId="4DD630F4" w:rsidR="00F428E6" w:rsidRDefault="00F428E6" w:rsidP="00154E96">
      <w:pPr>
        <w:ind w:firstLine="720"/>
        <w:jc w:val="both"/>
      </w:pPr>
      <w:r>
        <w:t xml:space="preserve">Four human subjects (all male, ages 24-34) participated in the experiment. All subjects performed the behavioral experiment and one participant performed the functional MRI experiment. </w:t>
      </w:r>
      <w:r w:rsidR="00C12D66">
        <w:t>All subjects performed</w:t>
      </w:r>
      <w:r w:rsidR="00082755">
        <w:t xml:space="preserve"> one training session</w:t>
      </w:r>
      <w:r w:rsidR="00C12D66">
        <w:t xml:space="preserve"> (30 – 120 </w:t>
      </w:r>
      <w:r w:rsidR="002A4054">
        <w:t>min</w:t>
      </w:r>
      <w:r w:rsidR="00C12D66">
        <w:t>)</w:t>
      </w:r>
      <w:r w:rsidR="00082755">
        <w:t xml:space="preserve"> t</w:t>
      </w:r>
      <w:r w:rsidR="00E70CF1">
        <w:t>o become accustomed to the task,</w:t>
      </w:r>
      <w:r w:rsidR="00082755">
        <w:t xml:space="preserve"> four to eight control runs (65 trials each), and between </w:t>
      </w:r>
      <w:r w:rsidR="001025EA">
        <w:t xml:space="preserve">5 and </w:t>
      </w:r>
      <w:r w:rsidR="00A320C5">
        <w:t>1</w:t>
      </w:r>
      <w:r w:rsidR="001025EA">
        <w:t>8</w:t>
      </w:r>
      <w:r w:rsidR="00082755">
        <w:t xml:space="preserve"> task runs (100 trials each, 15% miscued). </w:t>
      </w:r>
      <w:r w:rsidR="00DF3D1A">
        <w:t>One subject</w:t>
      </w:r>
      <w:r w:rsidR="000A4E05">
        <w:t xml:space="preserve"> </w:t>
      </w:r>
      <w:r w:rsidR="00082755">
        <w:t>performed a retinotopic mapping (</w:t>
      </w:r>
      <w:r w:rsidR="002A4054">
        <w:t>60 min</w:t>
      </w:r>
      <w:r w:rsidR="00082755">
        <w:t xml:space="preserve">, ten 4 minute scans) and </w:t>
      </w:r>
      <w:r w:rsidR="000A4E05">
        <w:t xml:space="preserve">three </w:t>
      </w:r>
      <w:r w:rsidR="00082755">
        <w:t>sessions of the main experiment (</w:t>
      </w:r>
      <w:r w:rsidR="009B3D24">
        <w:t>120 min each</w:t>
      </w:r>
      <w:r w:rsidR="00082755">
        <w:t>, consisting of ten</w:t>
      </w:r>
      <w:r w:rsidR="000A4E05">
        <w:t>, eight, and eight</w:t>
      </w:r>
      <w:r w:rsidR="00082755">
        <w:t xml:space="preserve"> 7 </w:t>
      </w:r>
      <w:r w:rsidR="00CE0A00">
        <w:t>min</w:t>
      </w:r>
      <w:r w:rsidR="00082755">
        <w:t xml:space="preserve"> scans</w:t>
      </w:r>
      <w:r w:rsidR="00DB34E3">
        <w:t xml:space="preserve"> respectively</w:t>
      </w:r>
      <w:r w:rsidR="000A4E05">
        <w:t xml:space="preserve">, </w:t>
      </w:r>
      <w:r w:rsidR="00DB34E3">
        <w:t xml:space="preserve">the final scan session included </w:t>
      </w:r>
      <w:r w:rsidR="00351BF3">
        <w:t xml:space="preserve">a </w:t>
      </w:r>
      <w:r w:rsidR="000A4E05">
        <w:t>motion localizer scan</w:t>
      </w:r>
      <w:r w:rsidR="008F5105">
        <w:t xml:space="preserve"> of 4 minutes</w:t>
      </w:r>
      <w:r w:rsidR="00B76755">
        <w:t>).</w:t>
      </w:r>
    </w:p>
    <w:p w14:paraId="44A9CCB5" w14:textId="4995C2FB" w:rsidR="00F428E6" w:rsidRDefault="00F428E6" w:rsidP="00C20F60">
      <w:r>
        <w:t>Experimental Task</w:t>
      </w:r>
    </w:p>
    <w:p w14:paraId="0777B4C2" w14:textId="7E32F591" w:rsidR="005C6162" w:rsidRDefault="00F428E6" w:rsidP="00154E96">
      <w:pPr>
        <w:ind w:firstLine="720"/>
        <w:jc w:val="both"/>
      </w:pPr>
      <w:r>
        <w:t xml:space="preserve">Subjects performed a </w:t>
      </w:r>
      <w:r w:rsidR="00C930A6">
        <w:t>two-</w:t>
      </w:r>
      <w:r w:rsidR="005E66FC">
        <w:t>alternative forced choice (</w:t>
      </w:r>
      <w:r w:rsidR="008C1F32">
        <w:t>2-AFC</w:t>
      </w:r>
      <w:r w:rsidR="005E66FC">
        <w:t>)</w:t>
      </w:r>
      <w:r>
        <w:t xml:space="preserve"> </w:t>
      </w:r>
      <w:r w:rsidR="0060099F">
        <w:t xml:space="preserve">feature discrimination task. </w:t>
      </w:r>
      <w:r w:rsidR="00082755">
        <w:t xml:space="preserve">On each trial participants were shown two patches of dots and asked to report which had a </w:t>
      </w:r>
      <w:r>
        <w:t xml:space="preserve">higher contrast or motion coherence. </w:t>
      </w:r>
      <w:r w:rsidR="009C67C7">
        <w:t>Participants were cu</w:t>
      </w:r>
      <w:r w:rsidR="00B31615">
        <w:t>ed on each run</w:t>
      </w:r>
      <w:r w:rsidR="0060099F">
        <w:t xml:space="preserve"> (65-100 trials during behavior or ~47 trials during scanning)</w:t>
      </w:r>
      <w:r w:rsidR="00B31615">
        <w:t xml:space="preserve"> to attend selectively to one of the two features. </w:t>
      </w:r>
      <w:r w:rsidR="004E462E">
        <w:t xml:space="preserve">Each dot patch was shown for 750 ms and followed by a 250 ms mask, generated </w:t>
      </w:r>
      <w:r w:rsidR="0060099F">
        <w:t xml:space="preserve">by flashing </w:t>
      </w:r>
      <w:r w:rsidR="0015644E">
        <w:t>a random checkerboard pattern</w:t>
      </w:r>
      <w:r w:rsidR="004E462E">
        <w:t xml:space="preserve"> at 55% contrast.</w:t>
      </w:r>
      <w:r w:rsidR="0060099F">
        <w:t xml:space="preserve"> The checkerboard mask changed pattern </w:t>
      </w:r>
      <w:r w:rsidR="001A1F91">
        <w:t>pseudo-randomly</w:t>
      </w:r>
      <w:r w:rsidR="00D60C26">
        <w:t xml:space="preserve"> </w:t>
      </w:r>
      <w:r w:rsidR="0060099F">
        <w:t>at 40 Hz.</w:t>
      </w:r>
      <w:r w:rsidR="004E462E">
        <w:t xml:space="preserve"> A random inter stimulus interval</w:t>
      </w:r>
      <w:r w:rsidR="00E55208">
        <w:t xml:space="preserve"> (ISI)</w:t>
      </w:r>
      <w:r w:rsidR="004E462E">
        <w:t xml:space="preserve"> followed </w:t>
      </w:r>
      <w:r w:rsidR="0060099F">
        <w:t xml:space="preserve">the mask </w:t>
      </w:r>
      <w:r w:rsidR="004E462E">
        <w:t>for between 200 and 500 ms after which the fixation cross turned white, indicating that the</w:t>
      </w:r>
      <w:r w:rsidR="004B3232">
        <w:t xml:space="preserve"> subject should make their</w:t>
      </w:r>
      <w:r w:rsidR="004E462E">
        <w:t xml:space="preserve"> response. Participants had 1 second to respond. Each trial was followed by a random inter-trial-interval of 300 to 500 ms. </w:t>
      </w:r>
      <w:r w:rsidR="00453341">
        <w:t xml:space="preserve">To improve estimation of the hemodynamic response the trial timing was modified during scanning. Stimulus length: 750 ms, mask: 250 ms, ISI: 200-1000 ms, </w:t>
      </w:r>
      <w:proofErr w:type="spellStart"/>
      <w:r w:rsidR="00453341">
        <w:t>resp</w:t>
      </w:r>
      <w:proofErr w:type="spellEnd"/>
      <w:r w:rsidR="00453341">
        <w:t xml:space="preserve">: 1000 ms, ITI: 2000-10000 ms. </w:t>
      </w:r>
      <w:r w:rsidR="004B3232">
        <w:t>Through</w:t>
      </w:r>
      <w:r w:rsidR="002D3D90">
        <w:t>out</w:t>
      </w:r>
      <w:r w:rsidR="004B3232">
        <w:t xml:space="preserve"> the experiment p</w:t>
      </w:r>
      <w:r w:rsidR="004E462E">
        <w:t>articipants fixated a</w:t>
      </w:r>
      <w:r w:rsidR="00D5799F">
        <w:t xml:space="preserve"> black</w:t>
      </w:r>
      <w:r w:rsidR="004E462E">
        <w:t xml:space="preserve"> central cross (1 </w:t>
      </w:r>
      <w:proofErr w:type="spellStart"/>
      <w:r w:rsidR="004E462E">
        <w:t>deg</w:t>
      </w:r>
      <w:proofErr w:type="spellEnd"/>
      <w:r w:rsidR="004E462E">
        <w:t xml:space="preserve"> x 1</w:t>
      </w:r>
      <w:r w:rsidR="00DD59CD">
        <w:t xml:space="preserve"> </w:t>
      </w:r>
      <w:proofErr w:type="spellStart"/>
      <w:r w:rsidR="00DD59CD">
        <w:t>deg</w:t>
      </w:r>
      <w:proofErr w:type="spellEnd"/>
      <w:r w:rsidR="00DD59CD">
        <w:t xml:space="preserve"> visual angle, 1 pixel wide</w:t>
      </w:r>
      <w:r w:rsidR="00B5740E">
        <w:t>).</w:t>
      </w:r>
      <w:r w:rsidR="005C6162" w:rsidRPr="005C6162">
        <w:t xml:space="preserve"> </w:t>
      </w:r>
    </w:p>
    <w:p w14:paraId="26629722" w14:textId="15A178E4" w:rsidR="00B5740E" w:rsidRDefault="005C6162" w:rsidP="0049554A">
      <w:pPr>
        <w:ind w:firstLine="720"/>
        <w:jc w:val="both"/>
      </w:pPr>
      <w:r>
        <w:t>The dot patches appeared left and right of fixation, extending from 3.5 to 11 degrees horizontally and from -5 to 5 degrees vertically. The patches were displayed on a gray background (50% luminance) on a monitor with a linearized luminance scale. Each patch contained 1000 dots, half of which were darker than the background and half of which were brighter. Each dot was 4 x 4 pixels on the screen. The luminance difference between the dots and the background was defined as</w:t>
      </w:r>
      <w:r w:rsidR="008700C0">
        <w:t xml:space="preserve"> </w:t>
      </w:r>
      <m:oMath>
        <m:f>
          <m:fPr>
            <m:ctrlPr>
              <w:rPr>
                <w:rFonts w:ascii="Cambria Math" w:hAnsi="Cambria Math"/>
                <w:i/>
              </w:rPr>
            </m:ctrlPr>
          </m:fPr>
          <m:num>
            <m:r>
              <w:rPr>
                <w:rFonts w:ascii="Cambria Math" w:hAnsi="Cambria Math"/>
              </w:rPr>
              <m:t>C</m:t>
            </m:r>
          </m:num>
          <m:den>
            <m:r>
              <w:rPr>
                <w:rFonts w:ascii="Cambria Math" w:hAnsi="Cambria Math"/>
              </w:rPr>
              <m:t>2</m:t>
            </m:r>
          </m:den>
        </m:f>
      </m:oMath>
      <w:r w:rsidR="008700C0">
        <w:t xml:space="preserve">, where </w:t>
      </w:r>
      <m:oMath>
        <m:r>
          <w:rPr>
            <w:rFonts w:ascii="Cambria Math" w:hAnsi="Cambria Math"/>
          </w:rPr>
          <m:t>C</m:t>
        </m:r>
      </m:oMath>
      <w:r>
        <w:t xml:space="preserve"> is the contrast (0 to 1) on the current trial.</w:t>
      </w:r>
      <w:r w:rsidR="003822F6">
        <w:t xml:space="preserve"> A percentage of the dots, </w:t>
      </w:r>
      <m:oMath>
        <m:r>
          <w:rPr>
            <w:rFonts w:ascii="Cambria Math" w:hAnsi="Cambria Math"/>
          </w:rPr>
          <m:t>M</m:t>
        </m:r>
      </m:oMath>
      <w:r>
        <w:t xml:space="preserve">, moved horizontally either right or left (randomly chosen on each </w:t>
      </w:r>
      <w:r w:rsidR="003822F6">
        <w:t xml:space="preserve">trial) while the remaining </w:t>
      </w:r>
      <m:oMath>
        <m:r>
          <w:rPr>
            <w:rFonts w:ascii="Cambria Math" w:hAnsi="Cambria Math"/>
          </w:rPr>
          <m:t>1-M</m:t>
        </m:r>
      </m:oMath>
      <w:r w:rsidR="004B08D1">
        <w:t xml:space="preserve"> dots had random angles. </w:t>
      </w:r>
      <m:oMath>
        <m:r>
          <w:rPr>
            <w:rFonts w:ascii="Cambria Math" w:hAnsi="Cambria Math"/>
          </w:rPr>
          <m:t>M</m:t>
        </m:r>
      </m:oMath>
      <w:r>
        <w:t xml:space="preserve"> therefore reflects the motion cohere</w:t>
      </w:r>
      <w:proofErr w:type="spellStart"/>
      <w:r>
        <w:t>nce</w:t>
      </w:r>
      <w:proofErr w:type="spellEnd"/>
      <w:r>
        <w:t xml:space="preserve"> of the dot patch</w:t>
      </w:r>
      <w:r w:rsidR="0080568E">
        <w:t xml:space="preserve"> on a scale of 0 to 1</w:t>
      </w:r>
      <w:r>
        <w:t xml:space="preserve">. </w:t>
      </w:r>
      <w:r w:rsidR="00B07A15">
        <w:t>D</w:t>
      </w:r>
      <w:r>
        <w:t>ots moved at 3.25 degrees / s.</w:t>
      </w:r>
    </w:p>
    <w:p w14:paraId="5CFFEFAD" w14:textId="209AC030" w:rsidR="004E462E" w:rsidRDefault="00B5740E" w:rsidP="002031D6">
      <w:pPr>
        <w:ind w:firstLine="720"/>
        <w:jc w:val="both"/>
      </w:pPr>
      <w:r>
        <w:t xml:space="preserve">We separated the experimental runs into </w:t>
      </w:r>
      <w:r w:rsidR="004E462E">
        <w:t>control</w:t>
      </w:r>
      <w:r>
        <w:t xml:space="preserve"> and task runs.</w:t>
      </w:r>
      <w:r w:rsidR="003F7A53">
        <w:t xml:space="preserve"> Participants were cued to the current feature at the start of the run.</w:t>
      </w:r>
      <w:r>
        <w:t xml:space="preserve"> During control runs</w:t>
      </w:r>
      <w:r w:rsidR="004E462E">
        <w:t xml:space="preserve"> participants were cued to attend to either motion or contrast and </w:t>
      </w:r>
      <w:r>
        <w:t xml:space="preserve">they </w:t>
      </w:r>
      <w:r w:rsidR="004E462E">
        <w:t xml:space="preserve">responded about the </w:t>
      </w:r>
      <w:r>
        <w:t xml:space="preserve">same </w:t>
      </w:r>
      <w:r w:rsidR="004E462E">
        <w:t>cued feature. On task runs participants</w:t>
      </w:r>
      <w:r w:rsidR="00B31615">
        <w:t xml:space="preserve"> were</w:t>
      </w:r>
      <w:r w:rsidR="004662E8">
        <w:t xml:space="preserve"> occasionally</w:t>
      </w:r>
      <w:r w:rsidR="00B31615">
        <w:t xml:space="preserve"> informed</w:t>
      </w:r>
      <w:r w:rsidR="004662E8">
        <w:t>,</w:t>
      </w:r>
      <w:r w:rsidR="00B31615">
        <w:t xml:space="preserve"> after stimulus presentation</w:t>
      </w:r>
      <w:r w:rsidR="004662E8">
        <w:t>,</w:t>
      </w:r>
      <w:r w:rsidR="00B31615">
        <w:t xml:space="preserve"> that they should respond about the miscued feature. </w:t>
      </w:r>
      <w:r w:rsidR="006F72E2">
        <w:t xml:space="preserve">This post-stimulus cueing was performed by replacing the fixation cross with a letter, ‘C’ indicated that they should respond about contrast, and ‘M’ indicated that they should respond about motion. </w:t>
      </w:r>
      <w:r w:rsidR="00B31615">
        <w:t xml:space="preserve">These </w:t>
      </w:r>
      <w:r w:rsidR="00B31615">
        <w:lastRenderedPageBreak/>
        <w:t>task miscued trials occurred 15% of the time and were interspersed pseudo-randomly</w:t>
      </w:r>
      <w:r w:rsidR="004E462E">
        <w:t>.</w:t>
      </w:r>
      <w:r w:rsidR="00E55208">
        <w:t xml:space="preserve"> On miscued trials the ISI was fixed at 500 ms and the response</w:t>
      </w:r>
      <w:r w:rsidR="00BA5C05">
        <w:t xml:space="preserve"> time was increased to 3000 ms.</w:t>
      </w:r>
    </w:p>
    <w:p w14:paraId="6948D76C" w14:textId="72984BC2" w:rsidR="00082755" w:rsidRDefault="002B6AA7" w:rsidP="002031D6">
      <w:pPr>
        <w:ind w:firstLine="720"/>
        <w:jc w:val="both"/>
      </w:pPr>
      <w:r>
        <w:t xml:space="preserve">Contrast and motion discrimination performance </w:t>
      </w:r>
      <w:r w:rsidR="00B81556">
        <w:t>were</w:t>
      </w:r>
      <w:r>
        <w:t xml:space="preserve"> tested at </w:t>
      </w:r>
      <w:r w:rsidR="00B81556">
        <w:t>single pedestal intensities</w:t>
      </w:r>
      <w:r>
        <w:t xml:space="preserve">. Contrast was tested at 60% and motion coherence was tested at 10%. </w:t>
      </w:r>
      <w:r w:rsidR="008A354F">
        <w:t>The</w:t>
      </w:r>
      <w:r>
        <w:t xml:space="preserve"> features were crossed such that neither feature was informative about the </w:t>
      </w:r>
      <w:r w:rsidR="00597C92">
        <w:t>intensity</w:t>
      </w:r>
      <w:r>
        <w:t xml:space="preserve"> of the other feature on any given trial.</w:t>
      </w:r>
      <w:r w:rsidR="0087037E">
        <w:t xml:space="preserve"> There was always a difference between both the contrast and motion coherence of the two dot patches, but on a percentage of trials this difference was perceptually invisible.</w:t>
      </w:r>
      <w:r>
        <w:t xml:space="preserve"> For each feature a 1-up-3-down</w:t>
      </w:r>
      <w:r w:rsidR="00F36538">
        <w:t xml:space="preserve"> PEST staircase </w:t>
      </w:r>
      <w:r w:rsidR="00F36538">
        <w:fldChar w:fldCharType="begin"/>
      </w:r>
      <w:r w:rsidR="00995F03">
        <w:instrText xml:space="preserve"> ADDIN ZOTERO_ITEM CSL_CITATION {"citationID":"2jukr9amg","properties":{"formattedCitation":"(Taylor &amp; Creelman, 1967)","plainCitation":"(Taylor &amp; Creelman, 1967)"},"citationItems":[{"id":426,"uris":["http://zotero.org/users/2176449/items/QGZZUSKD"],"uri":["http://zotero.org/users/2176449/items/QGZZUSKD"],"itemData":{"id":426,"type":"article-journal","title":"PEST: Efficient estimates on probability functions","container-title":"The Journal of the Acoustical Society of America","page":"782-787","volume":"41","issue":"4A","author":[{"family":"Taylor","given":"MiM"},{"family":"Creelman","given":"C. Douglas"}],"issued":{"date-parts":[["1967"]]}}}],"schema":"https://github.com/citation-style-language/schema/raw/master/csl-citation.json"} </w:instrText>
      </w:r>
      <w:r w:rsidR="00F36538">
        <w:fldChar w:fldCharType="separate"/>
      </w:r>
      <w:r w:rsidR="00F36538" w:rsidRPr="00F36538">
        <w:rPr>
          <w:rFonts w:ascii="Calibri" w:hAnsi="Calibri"/>
        </w:rPr>
        <w:t>(Taylor &amp; Creelman, 1967)</w:t>
      </w:r>
      <w:r w:rsidR="00F36538">
        <w:fldChar w:fldCharType="end"/>
      </w:r>
      <w:r>
        <w:t xml:space="preserve"> was used to set the increments in contrast or motion coherence that </w:t>
      </w:r>
      <w:r w:rsidR="00E65594">
        <w:t>were</w:t>
      </w:r>
      <w:r>
        <w:t xml:space="preserve"> added to the pedestal contrast </w:t>
      </w:r>
      <w:r w:rsidR="00F06AF0">
        <w:t>on the target side. The independent staircases balanced task difficulty across the features so that subjects wer</w:t>
      </w:r>
      <w:r w:rsidR="00D431CA">
        <w:t>e always performing the task at or</w:t>
      </w:r>
      <w:r w:rsidR="00AF636C">
        <w:t xml:space="preserve"> near </w:t>
      </w:r>
      <w:r w:rsidR="002E4E45">
        <w:t>“threshold”</w:t>
      </w:r>
      <w:r w:rsidR="00F06AF0">
        <w:t xml:space="preserve">, eliminating </w:t>
      </w:r>
      <w:r w:rsidR="00F91CB7">
        <w:t>a</w:t>
      </w:r>
      <w:r w:rsidR="00F06AF0">
        <w:t xml:space="preserve"> potential confound with task difficulty between conditions.</w:t>
      </w:r>
      <w:r w:rsidR="00F36538">
        <w:t xml:space="preserve"> Threshold was defined as a performance rate of ??</w:t>
      </w:r>
      <w:r w:rsidR="00802AE1">
        <w:t>.</w:t>
      </w:r>
      <w:r w:rsidR="00F06AF0">
        <w:t xml:space="preserve"> </w:t>
      </w:r>
      <w:r w:rsidR="00FA4A34">
        <w:t xml:space="preserve">During control runs pedestal values of 20/40/60/80% contrast and 0/10/20/40% coherence were used to allow estimation of the BOLD response across a larger range of feature intensities. </w:t>
      </w:r>
      <w:r w:rsidR="00666E06">
        <w:t xml:space="preserve">On scanning runs </w:t>
      </w:r>
      <w:r w:rsidR="00FA4A34">
        <w:t xml:space="preserve">each pedestal </w:t>
      </w:r>
      <w:r w:rsidR="00666E06">
        <w:t xml:space="preserve">had </w:t>
      </w:r>
      <w:r w:rsidR="00FA4A34">
        <w:t xml:space="preserve">an independent staircase </w:t>
      </w:r>
      <w:r w:rsidR="00907D66">
        <w:t>and pedestals were</w:t>
      </w:r>
      <w:r w:rsidR="00FA4A34">
        <w:t xml:space="preserve"> pseudo-rand</w:t>
      </w:r>
      <w:r w:rsidR="008B59D1">
        <w:t>omly interleaved across trials.</w:t>
      </w:r>
    </w:p>
    <w:p w14:paraId="381CB829" w14:textId="4AA3D8F0" w:rsidR="00F06AF0" w:rsidRDefault="00F06AF0" w:rsidP="00C20F60">
      <w:r>
        <w:t>Stimulus Presentation</w:t>
      </w:r>
      <w:r w:rsidRPr="00F06AF0">
        <w:t xml:space="preserve"> </w:t>
      </w:r>
    </w:p>
    <w:p w14:paraId="48C3C349" w14:textId="5474C098" w:rsidR="00F06AF0" w:rsidRDefault="00F96002" w:rsidP="002031D6">
      <w:pPr>
        <w:ind w:firstLine="720"/>
        <w:jc w:val="both"/>
      </w:pPr>
      <w:r>
        <w:t xml:space="preserve">Outside the scanner the visual stimuli were presented on a </w:t>
      </w:r>
      <w:proofErr w:type="spellStart"/>
      <w:r>
        <w:t>ViewPixx</w:t>
      </w:r>
      <w:proofErr w:type="spellEnd"/>
      <w:r>
        <w:t xml:space="preserve"> 22.5” LCD (</w:t>
      </w:r>
      <w:proofErr w:type="spellStart"/>
      <w:r>
        <w:t>VPixx</w:t>
      </w:r>
      <w:proofErr w:type="spellEnd"/>
      <w:r>
        <w:t xml:space="preserve"> Technologies) with a resolution of 1920 x 1200 pixels and a 100 Hz refresh rate at a dist</w:t>
      </w:r>
      <w:r w:rsidR="000F6991">
        <w:t>ance of 55</w:t>
      </w:r>
      <w:r w:rsidR="0012626D">
        <w:t xml:space="preserve"> cm from the subject’s eyes. I</w:t>
      </w:r>
      <w:r>
        <w:t>nside the scanner subjects used an adjustable mirror system to view an image that was</w:t>
      </w:r>
      <w:r w:rsidR="00F06AF0">
        <w:t xml:space="preserve"> rear-projected onto a fiberglass screen using an </w:t>
      </w:r>
      <w:proofErr w:type="spellStart"/>
      <w:r w:rsidR="00F06AF0">
        <w:t>Eiki</w:t>
      </w:r>
      <w:proofErr w:type="spellEnd"/>
      <w:r w:rsidR="00F06AF0">
        <w:t xml:space="preserve"> LC-WUL100L projector operating at 1920x1200, 5000 lumens, projected through a neutral density filter</w:t>
      </w:r>
      <w:r w:rsidR="00E71571">
        <w:t xml:space="preserve"> at 60 Hz</w:t>
      </w:r>
      <w:r w:rsidR="00F06AF0">
        <w:t xml:space="preserve">. The projector </w:t>
      </w:r>
      <w:r>
        <w:t xml:space="preserve">and LCD screen were calibrated to have linearized gamma scales using a PR650 </w:t>
      </w:r>
      <w:proofErr w:type="spellStart"/>
      <w:r>
        <w:t>Spectroradiometer</w:t>
      </w:r>
      <w:proofErr w:type="spellEnd"/>
      <w:r>
        <w:t xml:space="preserve"> (Photo Research Inc., Chatsworth, CA.). </w:t>
      </w:r>
      <w:r w:rsidR="00CD6C9B">
        <w:t>On each trial w</w:t>
      </w:r>
      <w:r>
        <w:t xml:space="preserve">e dynamically adjusted the 10-bit gamma table to achieve the best luminance resolution possible (maintaining the linearized output) for displaying each dot patch. All stimuli were produced using MATLAB (The </w:t>
      </w:r>
      <w:proofErr w:type="spellStart"/>
      <w:r>
        <w:t>Mathworks</w:t>
      </w:r>
      <w:proofErr w:type="spellEnd"/>
      <w:r>
        <w:t xml:space="preserve"> Inc., Natick, MA, USA) and MGL (</w:t>
      </w:r>
      <w:hyperlink r:id="rId9" w:history="1">
        <w:r w:rsidRPr="000E43C5">
          <w:rPr>
            <w:rStyle w:val="Hyperlink"/>
          </w:rPr>
          <w:t>http://gru.stanford.edu/doku.php/mgl/overview</w:t>
        </w:r>
      </w:hyperlink>
      <w:r w:rsidR="002A5F5F">
        <w:t xml:space="preserve">) using </w:t>
      </w:r>
      <w:r w:rsidR="00F37DB9">
        <w:t>custom script</w:t>
      </w:r>
      <w:r w:rsidR="003752C2">
        <w:t>s</w:t>
      </w:r>
      <w:r w:rsidR="00F37DB9">
        <w:t xml:space="preserve"> accessible </w:t>
      </w:r>
      <w:r w:rsidR="003752C2">
        <w:t>online</w:t>
      </w:r>
      <w:r w:rsidR="002A5F5F">
        <w:t xml:space="preserve"> (</w:t>
      </w:r>
      <w:proofErr w:type="spellStart"/>
      <w:r w:rsidR="003752C2">
        <w:t>cohcon.m</w:t>
      </w:r>
      <w:proofErr w:type="spellEnd"/>
      <w:r w:rsidR="003752C2">
        <w:t xml:space="preserve"> and </w:t>
      </w:r>
      <w:proofErr w:type="spellStart"/>
      <w:r w:rsidR="003752C2">
        <w:t>mtloc.m</w:t>
      </w:r>
      <w:proofErr w:type="spellEnd"/>
      <w:r w:rsidR="003752C2">
        <w:t xml:space="preserve">, </w:t>
      </w:r>
      <w:hyperlink r:id="rId10" w:history="1">
        <w:r w:rsidR="002A5F5F" w:rsidRPr="00096A83">
          <w:rPr>
            <w:rStyle w:val="Hyperlink"/>
          </w:rPr>
          <w:t>https://github.com/justingardner/grustim</w:t>
        </w:r>
      </w:hyperlink>
      <w:r w:rsidR="003752C2">
        <w:t>).</w:t>
      </w:r>
    </w:p>
    <w:p w14:paraId="14D76811" w14:textId="26C021F4" w:rsidR="00F96002" w:rsidRDefault="00F96002" w:rsidP="00C20F60">
      <w:r>
        <w:t>Eye Position Measurements</w:t>
      </w:r>
    </w:p>
    <w:p w14:paraId="45DBFE8D" w14:textId="03E83ABA" w:rsidR="008D3DC0" w:rsidRDefault="00F96002" w:rsidP="002031D6">
      <w:pPr>
        <w:ind w:firstLine="720"/>
        <w:jc w:val="both"/>
      </w:pPr>
      <w:r>
        <w:t xml:space="preserve">An </w:t>
      </w:r>
      <w:proofErr w:type="spellStart"/>
      <w:r>
        <w:t>Eyelink</w:t>
      </w:r>
      <w:proofErr w:type="spellEnd"/>
      <w:r>
        <w:t xml:space="preserve"> 1000 eye tracking system (SR Research Ltd., Mississauga, ON, Canada) was used outside the scanner to confirm that subjects maintained fixation throughout the task. Eye tracking was not performed inside the scanner. </w:t>
      </w:r>
      <w:r w:rsidR="008D3DC0">
        <w:t xml:space="preserve">The </w:t>
      </w:r>
      <w:proofErr w:type="spellStart"/>
      <w:r w:rsidR="008D3DC0">
        <w:t>Eyelink</w:t>
      </w:r>
      <w:proofErr w:type="spellEnd"/>
      <w:r w:rsidR="008D3DC0">
        <w:t xml:space="preserve"> system recorded corneal reflections of an external infrared light source and tracked the center of the pupil. A brief calibration was performed before each 5-minute run. Eye tracking setup was successful for </w:t>
      </w:r>
      <w:r w:rsidR="00EA1A0D">
        <w:t>most</w:t>
      </w:r>
      <w:r w:rsidR="008D3DC0">
        <w:t xml:space="preserve"> sessions</w:t>
      </w:r>
      <w:r w:rsidR="00EA1A0D">
        <w:t>, sessions where eye calibration failed were run with the calibration form the previous session</w:t>
      </w:r>
      <w:r w:rsidR="008D3DC0">
        <w:t>. The calibration data was used to perform an affine transformation of the acquired eye tracking data to the position of the eye in degrees of visual angle.</w:t>
      </w:r>
    </w:p>
    <w:p w14:paraId="4BEBBFE9" w14:textId="558B6AB2" w:rsidR="00C03D17" w:rsidRPr="00F96002" w:rsidRDefault="00C03D17" w:rsidP="002031D6">
      <w:pPr>
        <w:ind w:firstLine="720"/>
        <w:jc w:val="both"/>
      </w:pPr>
      <w:r>
        <w:t xml:space="preserve">To assess the stability of subject fixation during the experiment we </w:t>
      </w:r>
      <w:r w:rsidR="006163AD">
        <w:t>plan to perform</w:t>
      </w:r>
      <w:r>
        <w:t xml:space="preserve"> a </w:t>
      </w:r>
      <w:r w:rsidR="00293B44">
        <w:t xml:space="preserve">regression analysis predicting eye position using time from trial start, cueing type (contrast or coherence), response </w:t>
      </w:r>
      <w:r w:rsidR="00293B44">
        <w:lastRenderedPageBreak/>
        <w:t xml:space="preserve">type (contrast or coherence), and correct side (left or right). </w:t>
      </w:r>
      <w:r w:rsidR="00D3085C">
        <w:t>We expect to observe no significant deviat</w:t>
      </w:r>
      <w:r w:rsidR="006E041C">
        <w:t>ions from fixation at any consistent time relative to the trial start or condition. In particular we expect not to observe consistent deviations towards</w:t>
      </w:r>
      <w:r w:rsidR="00D3085C">
        <w:t xml:space="preserve"> </w:t>
      </w:r>
      <w:r w:rsidR="006E041C">
        <w:t xml:space="preserve">the target side. </w:t>
      </w:r>
    </w:p>
    <w:p w14:paraId="42511F1B" w14:textId="492F169C" w:rsidR="00F06AF0" w:rsidRDefault="00F06AF0" w:rsidP="00C20F60">
      <w:r>
        <w:t>Contrast and Motion Discrimination Functions</w:t>
      </w:r>
    </w:p>
    <w:p w14:paraId="1320110D" w14:textId="58E75426" w:rsidR="00E04B7C" w:rsidRDefault="00FA4A34" w:rsidP="00293137">
      <w:pPr>
        <w:ind w:firstLine="720"/>
        <w:jc w:val="both"/>
      </w:pPr>
      <w:r>
        <w:t xml:space="preserve">Feature discrimination task performance was evaluated </w:t>
      </w:r>
      <w:r w:rsidR="00C03D17">
        <w:t>by computing a feature-discrimination function</w:t>
      </w:r>
      <w:r>
        <w:t>. A feature-discrimination function defined the relationship between the pedestal intensity (</w:t>
      </w:r>
      <w:proofErr w:type="spellStart"/>
      <w:r>
        <w:t>i</w:t>
      </w:r>
      <w:proofErr w:type="spellEnd"/>
      <w:r>
        <w:t>) and the increment in intensity (</w:t>
      </w:r>
      <w:proofErr w:type="spellStart"/>
      <w:r>
        <w:t>deltai</w:t>
      </w:r>
      <w:proofErr w:type="spellEnd"/>
      <w:r>
        <w:t>) required to obtain threshold-level performance. Feature-discrimination functions were computed separately for contrast and motion coherence. For each condition a maximum-likelihood procedure</w:t>
      </w:r>
      <w:r w:rsidR="006E7177">
        <w:t xml:space="preserve"> </w:t>
      </w:r>
      <w:r w:rsidR="006E7177">
        <w:fldChar w:fldCharType="begin"/>
      </w:r>
      <w:r w:rsidR="00995F03">
        <w:instrText xml:space="preserve"> ADDIN ZOTERO_ITEM CSL_CITATION {"citationID":"216vrpgh8d","properties":{"formattedCitation":"(Wichmann &amp; Hill, 2001)","plainCitation":"(Wichmann &amp; Hill, 2001)"},"citationItems":[{"id":413,"uris":["http://zotero.org/users/2176449/items/ZW58RCP6"],"uri":["http://zotero.org/users/2176449/items/ZW58RCP6"],"itemData":{"id":413,"type":"article-journal","title":"The psychometric function I: Fitting, sampling, and goodness of fit.","container-title":"Perception &amp; Psychophysics","author":[{"family":"Wichmann","given":"Felix A."},{"family":"Hill","given":"N. Jeremy"}],"issued":{"date-parts":[["2001"]]}}}],"schema":"https://github.com/citation-style-language/schema/raw/master/csl-citation.json"} </w:instrText>
      </w:r>
      <w:r w:rsidR="006E7177">
        <w:fldChar w:fldCharType="separate"/>
      </w:r>
      <w:r w:rsidR="006E7177">
        <w:rPr>
          <w:noProof/>
        </w:rPr>
        <w:t>(Wichmann &amp; Hill, 2001)</w:t>
      </w:r>
      <w:r w:rsidR="006E7177">
        <w:fldChar w:fldCharType="end"/>
      </w:r>
      <w:r w:rsidR="006E7177">
        <w:t xml:space="preserve"> was used to fit subject responses to a </w:t>
      </w:r>
      <w:proofErr w:type="spellStart"/>
      <w:r w:rsidR="006E7177">
        <w:t>Weibull</w:t>
      </w:r>
      <w:proofErr w:type="spellEnd"/>
      <w:r w:rsidR="006E7177">
        <w:t xml:space="preserve"> function </w:t>
      </w:r>
      <w:r w:rsidR="006E7177">
        <w:fldChar w:fldCharType="begin"/>
      </w:r>
      <w:r w:rsidR="00995F03">
        <w:instrText xml:space="preserve"> ADDIN ZOTERO_ITEM CSL_CITATION {"citationID":"me2tse9bl","properties":{"formattedCitation":"(Weibull, 1951)","plainCitation":"(Weibull, 1951)"},"citationItems":[{"id":415,"uris":["http://zotero.org/users/2176449/items/N9PQZ32Q"],"uri":["http://zotero.org/users/2176449/items/N9PQZ32Q"],"itemData":{"id":415,"type":"article-journal","title":"A Statistical Distribution Function of Wide Applicability","container-title":"Journal of Applied Mechanics","author":[{"family":"Weibull","given":"Waloddi"}],"issued":{"date-parts":[["1951"]]}}}],"schema":"https://github.com/citation-style-language/schema/raw/master/csl-citation.json"} </w:instrText>
      </w:r>
      <w:r w:rsidR="006E7177">
        <w:fldChar w:fldCharType="separate"/>
      </w:r>
      <w:r w:rsidR="006E7177">
        <w:rPr>
          <w:noProof/>
        </w:rPr>
        <w:t>(Weibull, 1951)</w:t>
      </w:r>
      <w:r w:rsidR="006E7177">
        <w:fldChar w:fldCharType="end"/>
      </w:r>
      <w:r w:rsidR="007C27F5">
        <w:t>:</w:t>
      </w:r>
      <w:r w:rsidR="00E04B7C" w:rsidRPr="00E04B7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4500"/>
        <w:gridCol w:w="2538"/>
      </w:tblGrid>
      <w:tr w:rsidR="00E04B7C" w14:paraId="00BD25DE" w14:textId="77777777" w:rsidTr="00E04B7C">
        <w:trPr>
          <w:trHeight w:val="684"/>
        </w:trPr>
        <w:tc>
          <w:tcPr>
            <w:tcW w:w="2538" w:type="dxa"/>
          </w:tcPr>
          <w:p w14:paraId="503ADFDC" w14:textId="77777777" w:rsidR="00E04B7C" w:rsidRDefault="00E04B7C" w:rsidP="00C20F60"/>
        </w:tc>
        <w:tc>
          <w:tcPr>
            <w:tcW w:w="4500" w:type="dxa"/>
          </w:tcPr>
          <w:p w14:paraId="7DAAE757" w14:textId="698131CE" w:rsidR="00E04B7C" w:rsidRDefault="00E04B7C" w:rsidP="00C20F60">
            <m:oMathPara>
              <m:oMath>
                <m:r>
                  <w:rPr>
                    <w:rFonts w:ascii="Cambria Math" w:hAnsi="Cambria Math"/>
                  </w:rPr>
                  <m:t>p</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e>
                </m:d>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τ</m:t>
                                    </m:r>
                                  </m:den>
                                </m:f>
                              </m:e>
                            </m:d>
                          </m:e>
                          <m:sup>
                            <m:r>
                              <w:rPr>
                                <w:rFonts w:ascii="Cambria Math" w:hAnsi="Cambria Math"/>
                              </w:rPr>
                              <m:t>k</m:t>
                            </m:r>
                          </m:sup>
                        </m:sSup>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tc>
        <w:tc>
          <w:tcPr>
            <w:tcW w:w="2538" w:type="dxa"/>
          </w:tcPr>
          <w:p w14:paraId="4164A7F2" w14:textId="77777777" w:rsidR="00E04B7C" w:rsidRDefault="00E04B7C" w:rsidP="00C20F60"/>
          <w:p w14:paraId="2079EE71" w14:textId="77777777" w:rsidR="00E04B7C" w:rsidRDefault="00E04B7C" w:rsidP="00293137">
            <w:pPr>
              <w:jc w:val="right"/>
            </w:pPr>
            <w:r>
              <w:t>(1)</w:t>
            </w:r>
          </w:p>
        </w:tc>
      </w:tr>
    </w:tbl>
    <w:p w14:paraId="0978A1D9" w14:textId="636210F3" w:rsidR="00DD4362" w:rsidRDefault="00DD4362" w:rsidP="00C20F60"/>
    <w:p w14:paraId="74E28C4A" w14:textId="06A44F1E" w:rsidR="00B31615" w:rsidRDefault="006E7177" w:rsidP="00426FD6">
      <w:pPr>
        <w:jc w:val="both"/>
      </w:pPr>
      <w:r>
        <w:t xml:space="preserve">Where </w:t>
      </w:r>
      <m:oMath>
        <m:r>
          <w:rPr>
            <w:rFonts w:ascii="Cambria Math" w:hAnsi="Cambria Math"/>
          </w:rPr>
          <m:t>p</m:t>
        </m:r>
        <m:d>
          <m:dPr>
            <m:ctrlPr>
              <w:rPr>
                <w:rFonts w:ascii="Cambria Math" w:hAnsi="Cambria Math"/>
                <w:i/>
              </w:rPr>
            </m:ctrlPr>
          </m:dPr>
          <m:e>
            <m:r>
              <w:rPr>
                <w:rFonts w:ascii="Cambria Math" w:hAnsi="Cambria Math"/>
              </w:rPr>
              <m:t>∆i</m:t>
            </m:r>
          </m:e>
        </m:d>
      </m:oMath>
      <w:r>
        <w:t xml:space="preserve"> is the probability of being correct given an intensity increment of </w:t>
      </w:r>
      <m:oMath>
        <m:r>
          <w:rPr>
            <w:rFonts w:ascii="Cambria Math" w:hAnsi="Cambria Math"/>
          </w:rPr>
          <m:t>∆i</m:t>
        </m:r>
      </m:oMath>
      <w:r>
        <w:t>,</w:t>
      </w:r>
      <w:r w:rsidR="00E63A65">
        <w:t xml:space="preserve"> </w:t>
      </w:r>
      <m:oMath>
        <m:r>
          <w:rPr>
            <w:rFonts w:ascii="Cambria Math" w:hAnsi="Cambria Math"/>
          </w:rPr>
          <m:t>δ</m:t>
        </m:r>
      </m:oMath>
      <w:r w:rsidR="00E63A65">
        <w:rPr>
          <w:rFonts w:eastAsiaTheme="minorEastAsia"/>
        </w:rPr>
        <w:t xml:space="preserve"> is the lapse rate,</w:t>
      </w:r>
      <w:r>
        <w:t xml:space="preserve"> </w:t>
      </w:r>
      <m:oMath>
        <m:r>
          <w:rPr>
            <w:rFonts w:ascii="Cambria Math" w:hAnsi="Cambria Math"/>
          </w:rPr>
          <m:t>k</m:t>
        </m:r>
      </m:oMath>
      <w:r w:rsidR="00DD4362">
        <w:t xml:space="preserve"> </w:t>
      </w:r>
      <w:r>
        <w:t xml:space="preserve">is the </w:t>
      </w:r>
      <w:r w:rsidR="00E63A65">
        <w:t>slope of the psychometric function on a log-log axis</w:t>
      </w:r>
      <w:r>
        <w:t xml:space="preserve">, </w:t>
      </w:r>
      <m:oMath>
        <m:r>
          <w:rPr>
            <w:rFonts w:ascii="Cambria Math" w:hAnsi="Cambria Math"/>
          </w:rPr>
          <m:t>τ</m:t>
        </m:r>
      </m:oMath>
      <w:r w:rsidR="00DD4362">
        <w:t xml:space="preserve"> </w:t>
      </w:r>
      <w:r>
        <w:t xml:space="preserve">is the </w:t>
      </w:r>
      <m:oMath>
        <m:r>
          <w:rPr>
            <w:rFonts w:ascii="Cambria Math" w:hAnsi="Cambria Math"/>
          </w:rPr>
          <m:t>∆i</m:t>
        </m:r>
      </m:oMath>
      <w:r w:rsidR="00552602">
        <w:t xml:space="preserve"> </w:t>
      </w:r>
      <w:r>
        <w:t xml:space="preserve">for which the probability correct reaches 63% of the difference between chance and maximal performance, and m is the slope of the psychometric function. Subjects performed on average </w:t>
      </w:r>
      <w:r w:rsidR="007A1BE0">
        <w:t>4 psychometric function staircases with 50-100</w:t>
      </w:r>
      <w:r w:rsidR="00995AE6">
        <w:t xml:space="preserve"> trials each. A minimum of 50 trials were allowed per function, sufficient to estimate the discrimination threshold accurately </w:t>
      </w:r>
      <w:r w:rsidR="00995AE6">
        <w:fldChar w:fldCharType="begin"/>
      </w:r>
      <w:r w:rsidR="00995F03">
        <w:instrText xml:space="preserve"> ADDIN ZOTERO_ITEM CSL_CITATION {"citationID":"27m5o575d8","properties":{"formattedCitation":"(Kontsevich &amp; Tyler, 1999)","plainCitation":"(Kontsevich &amp; Tyler, 1999)"},"citationItems":[{"id":367,"uris":["http://zotero.org/users/2176449/items/8TERFZ55"],"uri":["http://zotero.org/users/2176449/items/8TERFZ55"],"itemData":{"id":367,"type":"article-journal","title":"Bayesian adaptive estimation of psychometric slope and threshold","container-title":"Vision research","page":"2729–2737","volume":"39","issue":"16","source":"Google Scholar","author":[{"family":"Kontsevich","given":"Leonid L."},{"family":"Tyler","given":"Christopher W."}],"issued":{"date-parts":[["1999"]]},"accessed":{"date-parts":[["2015",4,23]]}}}],"schema":"https://github.com/citation-style-language/schema/raw/master/csl-citation.json"} </w:instrText>
      </w:r>
      <w:r w:rsidR="00995AE6">
        <w:fldChar w:fldCharType="separate"/>
      </w:r>
      <w:r w:rsidR="00995AE6">
        <w:rPr>
          <w:noProof/>
        </w:rPr>
        <w:t>(Kontsevich &amp; Tyler, 1999)</w:t>
      </w:r>
      <w:r w:rsidR="00995AE6">
        <w:fldChar w:fldCharType="end"/>
      </w:r>
      <w:r w:rsidR="00995AE6">
        <w:t xml:space="preserve">. By running multiple staircases we </w:t>
      </w:r>
      <w:r w:rsidR="000D513A">
        <w:t xml:space="preserve">ensured that we were able to capture any drift in threshold performance over time (for example due to motivation). Running multiple staircases also allowed us to directly compute the </w:t>
      </w:r>
      <w:r w:rsidR="00B31615">
        <w:t xml:space="preserve">variability of </w:t>
      </w:r>
      <w:r w:rsidR="00293108">
        <w:t xml:space="preserve">parameter estimates </w:t>
      </w:r>
      <w:r w:rsidR="00B31615">
        <w:t>across runs.</w:t>
      </w:r>
      <w:r w:rsidR="005D31BD">
        <w:t xml:space="preserve"> </w:t>
      </w:r>
      <w:r w:rsidR="00DC14FC">
        <w:t>Variability</w:t>
      </w:r>
      <w:r w:rsidR="005D31BD">
        <w:t xml:space="preserve"> can also be estimated by pooling staircases across runs and performing a bootstrap procedure </w:t>
      </w:r>
      <w:r w:rsidR="005D31BD">
        <w:fldChar w:fldCharType="begin"/>
      </w:r>
      <w:r w:rsidR="00995F03">
        <w:instrText xml:space="preserve"> ADDIN ZOTERO_ITEM CSL_CITATION {"citationID":"2g2e6291gn","properties":{"formattedCitation":"(Wichmann &amp; Hill, 2001)","plainCitation":"(Wichmann &amp; Hill, 2001)"},"citationItems":[{"id":413,"uris":["http://zotero.org/users/2176449/items/ZW58RCP6"],"uri":["http://zotero.org/users/2176449/items/ZW58RCP6"],"itemData":{"id":413,"type":"article-journal","title":"The psychometric function I: Fitting, sampling, and goodness of fit.","container-title":"Perception &amp; Psychophysics","author":[{"family":"Wichmann","given":"Felix A."},{"family":"Hill","given":"N. Jeremy"}],"issued":{"date-parts":[["2001"]]}}}],"schema":"https://github.com/citation-style-language/schema/raw/master/csl-citation.json"} </w:instrText>
      </w:r>
      <w:r w:rsidR="005D31BD">
        <w:fldChar w:fldCharType="separate"/>
      </w:r>
      <w:r w:rsidR="005D31BD" w:rsidRPr="005D31BD">
        <w:rPr>
          <w:rFonts w:ascii="Calibri" w:hAnsi="Calibri"/>
        </w:rPr>
        <w:t>(Wichmann &amp; Hill, 2001)</w:t>
      </w:r>
      <w:r w:rsidR="005D31BD">
        <w:fldChar w:fldCharType="end"/>
      </w:r>
      <w:r w:rsidR="005D31BD">
        <w:t>.</w:t>
      </w:r>
    </w:p>
    <w:p w14:paraId="3CDF2F34" w14:textId="63E371CB" w:rsidR="00B31615" w:rsidRPr="00F06AF0" w:rsidRDefault="00B31615" w:rsidP="00293137">
      <w:pPr>
        <w:ind w:firstLine="720"/>
        <w:jc w:val="both"/>
      </w:pPr>
      <w:r>
        <w:t>For each participant we estimated</w:t>
      </w:r>
      <w:r w:rsidRPr="00F06AF0">
        <w:t xml:space="preserve"> </w:t>
      </w:r>
      <w:r>
        <w:t>their discrimination functions for control runs, task cued tr</w:t>
      </w:r>
      <w:r w:rsidR="00E77180">
        <w:t xml:space="preserve">ials, and task miscued trials. Each of these discrimination functions therefore plots the performance </w:t>
      </w:r>
      <m:oMath>
        <m:r>
          <w:rPr>
            <w:rFonts w:ascii="Cambria Math" w:hAnsi="Cambria Math"/>
          </w:rPr>
          <m:t>p</m:t>
        </m:r>
        <m:d>
          <m:dPr>
            <m:ctrlPr>
              <w:rPr>
                <w:rFonts w:ascii="Cambria Math" w:hAnsi="Cambria Math"/>
                <w:i/>
              </w:rPr>
            </m:ctrlPr>
          </m:dPr>
          <m:e>
            <m:r>
              <w:rPr>
                <w:rFonts w:ascii="Cambria Math" w:hAnsi="Cambria Math"/>
              </w:rPr>
              <m:t>∆i</m:t>
            </m:r>
          </m:e>
        </m:d>
      </m:oMath>
      <w:r w:rsidR="00E77180">
        <w:rPr>
          <w:rFonts w:eastAsiaTheme="minorEastAsia"/>
        </w:rPr>
        <w:t xml:space="preserve"> at all possible </w:t>
      </w:r>
      <w:r w:rsidR="00773AA9">
        <w:rPr>
          <w:rFonts w:eastAsiaTheme="minorEastAsia"/>
        </w:rPr>
        <w:t>threshold values</w:t>
      </w:r>
      <w:r w:rsidR="00E77180">
        <w:rPr>
          <w:rFonts w:eastAsiaTheme="minorEastAsia"/>
        </w:rPr>
        <w:t xml:space="preserve">. To make quantitative comparisons </w:t>
      </w:r>
      <w:r w:rsidR="008C25BC">
        <w:rPr>
          <w:rFonts w:eastAsiaTheme="minorEastAsia"/>
        </w:rPr>
        <w:t>between</w:t>
      </w:r>
      <w:r w:rsidR="00E77180">
        <w:rPr>
          <w:rFonts w:eastAsiaTheme="minorEastAsia"/>
        </w:rPr>
        <w:t xml:space="preserve"> these </w:t>
      </w:r>
      <w:r w:rsidR="008C25BC">
        <w:rPr>
          <w:rFonts w:eastAsiaTheme="minorEastAsia"/>
        </w:rPr>
        <w:t xml:space="preserve">performance curves they were normalized to the threshold </w:t>
      </w:r>
      <w:r w:rsidR="00560188">
        <w:rPr>
          <w:rFonts w:eastAsiaTheme="minorEastAsia"/>
        </w:rPr>
        <w:t>estimated from the control runs, when participants were cued with 100% accuracy about the response feature.</w:t>
      </w:r>
    </w:p>
    <w:p w14:paraId="636F4570" w14:textId="38022059" w:rsidR="00082755" w:rsidRDefault="00082755" w:rsidP="00C20F60">
      <w:r>
        <w:t>MRI Acquisition and Preprocessing</w:t>
      </w:r>
    </w:p>
    <w:p w14:paraId="01003727" w14:textId="7201741E" w:rsidR="008B77C3" w:rsidRDefault="00447F0D" w:rsidP="00A33A69">
      <w:pPr>
        <w:ind w:firstLine="720"/>
        <w:jc w:val="both"/>
      </w:pPr>
      <w:r>
        <w:t xml:space="preserve">MRI data were acquired on a GE Discovery MR 750 on a Nova Medical 32ch head coil. Retinotopy experiments were collected on a Nova Medical 16ch visual array. </w:t>
      </w:r>
      <w:r w:rsidR="00396CB1">
        <w:t>For each subject we acquired a high-</w:t>
      </w:r>
      <w:r w:rsidR="00396CB1" w:rsidRPr="002A60E8">
        <w:t>resolution 3D anatomical image (“canonical anatomy”) which was segmented via FREESURFER (</w:t>
      </w:r>
      <w:r w:rsidR="00396CB1" w:rsidRPr="002A60E8">
        <w:rPr>
          <w:rFonts w:cs="TimesNewRoman"/>
          <w:color w:val="00009B"/>
        </w:rPr>
        <w:t>http://surfer.nmr.mgh.harvard.edu</w:t>
      </w:r>
      <w:r w:rsidR="00396CB1" w:rsidRPr="002A60E8">
        <w:rPr>
          <w:rFonts w:cs="TimesNewRoman"/>
          <w:color w:val="000000"/>
        </w:rPr>
        <w:t>)</w:t>
      </w:r>
      <w:r w:rsidR="00396CB1" w:rsidRPr="002A60E8">
        <w:t xml:space="preserve"> to generate white matter and gray matter segmentation </w:t>
      </w:r>
      <w:r w:rsidR="00396CB1" w:rsidRPr="002A60E8">
        <w:fldChar w:fldCharType="begin"/>
      </w:r>
      <w:r w:rsidR="00995F03">
        <w:instrText xml:space="preserve"> ADDIN ZOTERO_ITEM CSL_CITATION {"citationID":"1m1p919pu3","properties":{"formattedCitation":"(Dale, Fischl, &amp; Sereno, 1999)","plainCitation":"(Dale, Fischl, &amp; Sereno, 1999)"},"citationItems":[{"id":404,"uris":["http://zotero.org/users/2176449/items/ZWM9FG5B"],"uri":["http://zotero.org/users/2176449/items/ZWM9FG5B"],"itemData":{"id":404,"type":"article-journal","title":"Cortical surface-based analysis: I. Segmentation and surface reconstruction","container-title":"Neuroimage","page":"179–194","volume":"9","issue":"2","source":"Google Scholar","shortTitle":"Cortical surface-based analysis","author":[{"family":"Dale","given":"Anders M."},{"family":"Fischl","given":"Bruce"},{"family":"Sereno","given":"Martin I."}],"issued":{"date-parts":[["1999"]]},"accessed":{"date-parts":[["2015",5,26]]}}}],"schema":"https://github.com/citation-style-language/schema/raw/master/csl-citation.json"} </w:instrText>
      </w:r>
      <w:r w:rsidR="00396CB1" w:rsidRPr="002A60E8">
        <w:fldChar w:fldCharType="separate"/>
      </w:r>
      <w:r w:rsidR="00396CB1" w:rsidRPr="002A60E8">
        <w:t>(Dale, Fischl, &amp; Sereno, 1999)</w:t>
      </w:r>
      <w:r w:rsidR="00396CB1" w:rsidRPr="002A60E8">
        <w:fldChar w:fldCharType="end"/>
      </w:r>
      <w:r w:rsidR="00396CB1" w:rsidRPr="002A60E8">
        <w:t>. We collected a single T1-weighte</w:t>
      </w:r>
      <w:r w:rsidR="005A1737" w:rsidRPr="002A60E8">
        <w:t>d image (MPRAGE TR 7.24</w:t>
      </w:r>
      <w:r w:rsidR="006E7BFD" w:rsidRPr="002A60E8">
        <w:t xml:space="preserve"> ms</w:t>
      </w:r>
      <w:r w:rsidR="005A1737" w:rsidRPr="002A60E8">
        <w:t>, TE 2.78 ms, FA 12</w:t>
      </w:r>
      <w:r w:rsidR="005A1737">
        <w:t>°, voxel size 0.9 x 0.9 x 0.9 mm, matrix 256 x 256</w:t>
      </w:r>
      <w:r w:rsidR="00396CB1">
        <w:t xml:space="preserve">. Regions of interest were drawn on flattened representations of the cortical surface including the visual areas and the motion sensitive regions that defined </w:t>
      </w:r>
      <w:proofErr w:type="spellStart"/>
      <w:r w:rsidR="00396CB1">
        <w:t>hMT</w:t>
      </w:r>
      <w:proofErr w:type="spellEnd"/>
      <w:r w:rsidR="00396CB1">
        <w:t xml:space="preserve">+. These regions of interest were constrained to voxels that intersected the </w:t>
      </w:r>
      <w:r w:rsidR="00396CB1">
        <w:lastRenderedPageBreak/>
        <w:t>gray matter. Analyses were conducted on original untransformed data while flattened representations were used for visualization.</w:t>
      </w:r>
    </w:p>
    <w:p w14:paraId="684F9EC5" w14:textId="54AD87C6" w:rsidR="00B234CD" w:rsidRDefault="008B77C3" w:rsidP="00035E6C">
      <w:pPr>
        <w:ind w:firstLine="720"/>
        <w:jc w:val="both"/>
      </w:pPr>
      <w:r>
        <w:t xml:space="preserve">Each functional </w:t>
      </w:r>
      <w:r w:rsidR="00995AE6">
        <w:t>experimental session</w:t>
      </w:r>
      <w:r>
        <w:t xml:space="preserve"> consisted of a lower resolution T1-weighted image (“session anatomy”) and multiple T2*-weighted functional scans</w:t>
      </w:r>
      <w:r w:rsidR="00995AE6">
        <w:t xml:space="preserve"> (multiband 8,</w:t>
      </w:r>
      <w:r w:rsidR="00655899">
        <w:t xml:space="preserve"> TR</w:t>
      </w:r>
      <w:r w:rsidR="005A1737">
        <w:t xml:space="preserve"> 500 ms, TE 30 ms, flip angle 47°</w:t>
      </w:r>
      <w:r w:rsidR="00655899">
        <w:t>,</w:t>
      </w:r>
      <w:r w:rsidR="00995AE6">
        <w:t xml:space="preserve"> voxel size 2.5 x 2.5 x 2.5 mm, matrix 88 x 88)</w:t>
      </w:r>
      <w:r>
        <w:t>.</w:t>
      </w:r>
      <w:r w:rsidR="004C1CC9">
        <w:t xml:space="preserve"> Additional information about m</w:t>
      </w:r>
      <w:r w:rsidR="005A1737">
        <w:t xml:space="preserve">ultiband </w:t>
      </w:r>
      <w:r w:rsidR="005A1737">
        <w:fldChar w:fldCharType="begin"/>
      </w:r>
      <w:r w:rsidR="00995F03">
        <w:instrText xml:space="preserve"> ADDIN ZOTERO_ITEM CSL_CITATION {"citationID":"28obk971lm","properties":{"formattedCitation":"(Feinberg &amp; Setsompop, 2013)","plainCitation":"(Feinberg &amp; Setsompop, 2013)"},"citationItems":[{"id":422,"uris":["http://zotero.org/users/2176449/items/I9ZJ3RWH"],"uri":["http://zotero.org/users/2176449/items/I9ZJ3RWH"],"itemData":{"id":422,"type":"article-journal","title":"Ultra-fast MRI of the human brain with simultaneous multi-slice imaging","container-title":"Journal of Magnetic Resonance","page":"90-100","volume":"229","source":"CrossRef","DOI":"10.1016/j.jmr.2013.02.002","ISSN":"10907807","language":"en","author":[{"family":"Feinberg","given":"David A."},{"family":"Setsompop","given":"Kawin"}],"issued":{"date-parts":[["2013",4]]},"accessed":{"date-parts":[["2015",5,30]]}}}],"schema":"https://github.com/citation-style-language/schema/raw/master/csl-citation.json"} </w:instrText>
      </w:r>
      <w:r w:rsidR="005A1737">
        <w:fldChar w:fldCharType="separate"/>
      </w:r>
      <w:r w:rsidR="005A1737" w:rsidRPr="005A1737">
        <w:rPr>
          <w:rFonts w:ascii="Calibri" w:hAnsi="Calibri"/>
        </w:rPr>
        <w:t>(Feinberg &amp; Setsompop, 2013)</w:t>
      </w:r>
      <w:r w:rsidR="005A1737">
        <w:fldChar w:fldCharType="end"/>
      </w:r>
      <w:r w:rsidR="005A1737">
        <w:t xml:space="preserve"> </w:t>
      </w:r>
      <w:r w:rsidR="004C1CC9">
        <w:t xml:space="preserve">sequences </w:t>
      </w:r>
      <w:r w:rsidR="005A1737">
        <w:t>can be obtained through the Stanford Center for Cognitive and Neurobiological Imaging (</w:t>
      </w:r>
      <w:hyperlink r:id="rId11" w:history="1">
        <w:r w:rsidR="005A1737" w:rsidRPr="00096A83">
          <w:rPr>
            <w:rStyle w:val="Hyperlink"/>
          </w:rPr>
          <w:t>http://cni.stanford.edu/wiki/MUX_EPI</w:t>
        </w:r>
      </w:hyperlink>
      <w:r w:rsidR="005A1737">
        <w:t>).</w:t>
      </w:r>
      <w:r>
        <w:t xml:space="preserve"> An automated procedure was used to find the best affine transform to align the session </w:t>
      </w:r>
      <w:r w:rsidR="000B0B8F">
        <w:t>anatomy to the</w:t>
      </w:r>
      <w:r>
        <w:t xml:space="preserve"> canonical anatomy </w:t>
      </w:r>
      <w:r>
        <w:fldChar w:fldCharType="begin"/>
      </w:r>
      <w:r w:rsidR="00995F03">
        <w:instrText xml:space="preserve"> ADDIN ZOTERO_ITEM CSL_CITATION {"citationID":"sc57gksds","properties":{"formattedCitation":"(Nestares &amp; Heeger, 2000)","plainCitation":"(Nestares &amp; Heeger, 2000)"},"citationItems":[{"id":401,"uris":["http://zotero.org/users/2176449/items/CTDCEBPK"],"uri":["http://zotero.org/users/2176449/items/CTDCEBPK"],"itemData":{"id":401,"type":"article-journal","title":"Robust multiresolution alignment of MRI brain volumes","container-title":"Magnetic Resonance in Medicine","page":"705–715","volume":"43","issue":"5","source":"Google Scholar","author":[{"family":"Nestares","given":"Oscar"},{"family":"Heeger","given":"David J."}],"issued":{"date-parts":[["2000"]]},"accessed":{"date-parts":[["2015",5,26]]}}}],"schema":"https://github.com/citation-style-language/schema/raw/master/csl-citation.json"} </w:instrText>
      </w:r>
      <w:r>
        <w:fldChar w:fldCharType="separate"/>
      </w:r>
      <w:r w:rsidRPr="008B77C3">
        <w:rPr>
          <w:rFonts w:ascii="Calibri" w:hAnsi="Calibri"/>
        </w:rPr>
        <w:t>(Nestares &amp; Heeger, 2000)</w:t>
      </w:r>
      <w:r>
        <w:fldChar w:fldCharType="end"/>
      </w:r>
      <w:r>
        <w:t xml:space="preserve">. The functional scans were aligned to the session anatomy directly using the </w:t>
      </w:r>
      <w:proofErr w:type="spellStart"/>
      <w:r w:rsidR="00F61664">
        <w:t>qform</w:t>
      </w:r>
      <w:proofErr w:type="spellEnd"/>
      <w:r w:rsidR="00F61664">
        <w:t xml:space="preserve"> </w:t>
      </w:r>
      <w:r>
        <w:t xml:space="preserve">coordinates </w:t>
      </w:r>
      <w:r w:rsidR="00F61664">
        <w:t xml:space="preserve">obtained from </w:t>
      </w:r>
      <w:r>
        <w:t>the scanner.</w:t>
      </w:r>
      <w:r w:rsidR="00995AE6">
        <w:t xml:space="preserve"> </w:t>
      </w:r>
      <w:r w:rsidR="00655899">
        <w:t xml:space="preserve">Retinotopic mapping was performed using a T2*-weighted functional scan (multiband 2, TR </w:t>
      </w:r>
      <w:r w:rsidR="00945A9D">
        <w:t>1400 ms, TE 30 ms, flip angle 55°</w:t>
      </w:r>
      <w:r w:rsidR="00655899">
        <w:t xml:space="preserve">, voxel size 2.5 x 2.5 x 2.5 mm, matrix size). </w:t>
      </w:r>
      <w:r w:rsidR="00995AE6">
        <w:t xml:space="preserve">Oblique slices were chosen to maximally cover the occipital visual areas, approximately perpendicular to the calcarine sulcus. For all subjects our functional sequences </w:t>
      </w:r>
      <w:r w:rsidR="00C64369">
        <w:t>achieved</w:t>
      </w:r>
      <w:r w:rsidR="00995AE6">
        <w:t xml:space="preserve"> full brain coverage.</w:t>
      </w:r>
    </w:p>
    <w:p w14:paraId="6A5DDEF9" w14:textId="213C0A5C" w:rsidR="00F428E6" w:rsidRDefault="00447F0D" w:rsidP="00F2223E">
      <w:pPr>
        <w:ind w:firstLine="720"/>
        <w:jc w:val="both"/>
      </w:pPr>
      <w:r>
        <w:t xml:space="preserve">fMRI </w:t>
      </w:r>
      <w:r w:rsidR="00447D94">
        <w:t xml:space="preserve">analysis was performed </w:t>
      </w:r>
      <w:r w:rsidR="00495E36">
        <w:t>with</w:t>
      </w:r>
      <w:r w:rsidR="00447D94">
        <w:t xml:space="preserve"> a custom</w:t>
      </w:r>
      <w:r w:rsidR="003A3520">
        <w:t xml:space="preserve"> pipeline using MATLAB, </w:t>
      </w:r>
      <w:proofErr w:type="spellStart"/>
      <w:r w:rsidR="003A3520">
        <w:t>mrTools</w:t>
      </w:r>
      <w:proofErr w:type="spellEnd"/>
      <w:r w:rsidR="003A3520">
        <w:t xml:space="preserve"> (</w:t>
      </w:r>
      <w:hyperlink r:id="rId12" w:history="1">
        <w:r w:rsidR="003A3520" w:rsidRPr="00096A83">
          <w:rPr>
            <w:rStyle w:val="Hyperlink"/>
          </w:rPr>
          <w:t>http://gru.stanford.edu/doku.php/mrTools/overview</w:t>
        </w:r>
      </w:hyperlink>
      <w:r w:rsidR="003A3520">
        <w:t>), and custom scripts accessible online (</w:t>
      </w:r>
      <w:hyperlink r:id="rId13" w:history="1">
        <w:r w:rsidR="00A31EA1" w:rsidRPr="00096A83">
          <w:rPr>
            <w:rStyle w:val="Hyperlink"/>
          </w:rPr>
          <w:t>https://github.com/dbirman/att_awe</w:t>
        </w:r>
      </w:hyperlink>
      <w:r w:rsidR="003A3520">
        <w:t>).</w:t>
      </w:r>
    </w:p>
    <w:p w14:paraId="0B0328B5" w14:textId="19D635E5" w:rsidR="004B5EE0" w:rsidRPr="00800A3B" w:rsidRDefault="004B5EE0" w:rsidP="00C20F60">
      <w:r>
        <w:t>Retinotopy</w:t>
      </w:r>
    </w:p>
    <w:p w14:paraId="3B0D9F89" w14:textId="5C7C2248" w:rsidR="00100AB7" w:rsidRDefault="00561D0E" w:rsidP="00F2223E">
      <w:pPr>
        <w:ind w:firstLine="720"/>
        <w:jc w:val="both"/>
      </w:pPr>
      <w:r>
        <w:t>Visual field maps</w:t>
      </w:r>
      <w:r w:rsidR="004B5EE0">
        <w:t xml:space="preserve"> were </w:t>
      </w:r>
      <w:r w:rsidR="007A1D4B">
        <w:t>drawn</w:t>
      </w:r>
      <w:r w:rsidR="00C9479D">
        <w:t xml:space="preserve"> based on </w:t>
      </w:r>
      <w:r w:rsidR="004B5EE0">
        <w:t xml:space="preserve">retinotopy </w:t>
      </w:r>
      <w:r w:rsidR="00C9479D">
        <w:t xml:space="preserve">sequences </w:t>
      </w:r>
      <w:r w:rsidR="008D7A70">
        <w:t>collected</w:t>
      </w:r>
      <w:r w:rsidR="004B5EE0">
        <w:t xml:space="preserve"> in a separate scanning session. High-contrast radial checkerboard patterns were presented either as an expand</w:t>
      </w:r>
      <w:r w:rsidR="001A432D">
        <w:t>ing or contracting ring or a 90°</w:t>
      </w:r>
      <w:r w:rsidR="004B5EE0">
        <w:t xml:space="preserve"> rotating wedge. Each scan consisted of 10.5 cycles (24 s per cycle) of the ring expanding/contracting or the wedge completing a full rotation with a sampling rate of 17 volumes per cycle (178 volumes per scan). In addition four </w:t>
      </w:r>
      <w:r w:rsidR="00E138DF">
        <w:t xml:space="preserve">presentations of a sweeping bar stimulus were made. </w:t>
      </w:r>
      <w:r w:rsidR="004B5EE0">
        <w:t>Each session therefore consisted of two scans of the ring stimulus</w:t>
      </w:r>
      <w:r w:rsidR="00E138DF">
        <w:t xml:space="preserve"> (one expanding, one contracting), four scans of the wedge stimulus (two each clockwise and counter-clockwise), and four scans of the bar stimulus. A generative model of voxel responses (the Popu</w:t>
      </w:r>
      <w:r w:rsidR="001A432D">
        <w:t xml:space="preserve">lation Receptive Field model, </w:t>
      </w:r>
      <w:r w:rsidR="001A432D">
        <w:fldChar w:fldCharType="begin"/>
      </w:r>
      <w:r w:rsidR="00995F03">
        <w:instrText xml:space="preserve"> ADDIN ZOTERO_ITEM CSL_CITATION {"citationID":"1i3ttkj7tc","properties":{"formattedCitation":"(Dumoulin &amp; Wandell, 2008)","plainCitation":"(Dumoulin &amp; Wandell, 2008)"},"citationItems":[{"id":420,"uris":["http://zotero.org/users/2176449/items/8ZTGP8A3"],"uri":["http://zotero.org/users/2176449/items/8ZTGP8A3"],"itemData":{"id":420,"type":"article-journal","title":"Population receptive field estimates in human visual cortex","container-title":"NeuroImage","page":"647-660","volume":"39","issue":"2","source":"CrossRef","DOI":"10.1016/j.neuroimage.2007.09.034","ISSN":"10538119","language":"en","author":[{"family":"Dumoulin","given":"Serge O."},{"family":"Wandell","given":"Brian A."}],"issued":{"date-parts":[["2008",1,15]]},"accessed":{"date-parts":[["2015",5,30]]}}}],"schema":"https://github.com/citation-style-language/schema/raw/master/csl-citation.json"} </w:instrText>
      </w:r>
      <w:r w:rsidR="001A432D">
        <w:fldChar w:fldCharType="separate"/>
      </w:r>
      <w:r w:rsidR="001A432D" w:rsidRPr="001A432D">
        <w:rPr>
          <w:rFonts w:ascii="Calibri" w:hAnsi="Calibri"/>
        </w:rPr>
        <w:t>Dumoulin &amp; Wandell, 2008)</w:t>
      </w:r>
      <w:r w:rsidR="001A432D">
        <w:fldChar w:fldCharType="end"/>
      </w:r>
      <w:r w:rsidR="00E138DF">
        <w:t xml:space="preserve"> was fit to each voxel, identifying the Gaussian parameters</w:t>
      </w:r>
      <w:r w:rsidR="00864501">
        <w:t xml:space="preserve"> (x, y, sigma)</w:t>
      </w:r>
      <w:r w:rsidR="00E138DF">
        <w:t xml:space="preserve"> that best fit the recorded response data. Visual fields were then defined according to </w:t>
      </w:r>
      <w:r w:rsidR="00042C15">
        <w:t xml:space="preserve">established </w:t>
      </w:r>
      <w:r w:rsidR="00E138DF">
        <w:t>criteria</w:t>
      </w:r>
      <w:r w:rsidR="00042C15">
        <w:t xml:space="preserve"> </w:t>
      </w:r>
      <w:r w:rsidR="00042C15">
        <w:fldChar w:fldCharType="begin"/>
      </w:r>
      <w:r w:rsidR="00995F03">
        <w:instrText xml:space="preserve"> ADDIN ZOTERO_ITEM CSL_CITATION {"citationID":"12p97938id","properties":{"formattedCitation":"(Wandell, Dumoulin, &amp; Brewer, 2007)","plainCitation":"(Wandell, Dumoulin, &amp; Brewer, 2007)"},"citationItems":[{"id":419,"uris":["http://zotero.org/users/2176449/items/B9MB4ZZB"],"uri":["http://zotero.org/users/2176449/items/B9MB4ZZB"],"itemData":{"id":419,"type":"article-journal","title":"Visual Field Maps in Human Cortex","container-title":"Neuron","page":"366-383","volume":"56","issue":"2","source":"CrossRef","DOI":"10.1016/j.neuron.2007.10.012","ISSN":"08966273","language":"en","author":[{"family":"Wandell","given":"Brian A."},{"family":"Dumoulin","given":"Serge O."},{"family":"Brewer","given":"Alyssa A."}],"issued":{"date-parts":[["2007",10]]},"accessed":{"date-parts":[["2015",5,28]]}}}],"schema":"https://github.com/citation-style-language/schema/raw/master/csl-citation.json"} </w:instrText>
      </w:r>
      <w:r w:rsidR="00042C15">
        <w:fldChar w:fldCharType="separate"/>
      </w:r>
      <w:r w:rsidR="00042C15" w:rsidRPr="00042C15">
        <w:rPr>
          <w:rFonts w:ascii="Calibri" w:hAnsi="Calibri"/>
        </w:rPr>
        <w:t>(Wandell, Dumoulin, &amp; Brewer, 2007)</w:t>
      </w:r>
      <w:r w:rsidR="00042C15">
        <w:fldChar w:fldCharType="end"/>
      </w:r>
      <w:r w:rsidR="00E138DF">
        <w:t xml:space="preserve">. </w:t>
      </w:r>
    </w:p>
    <w:p w14:paraId="14AE12C7" w14:textId="7513251F" w:rsidR="00100AB7" w:rsidRDefault="00100AB7" w:rsidP="00C20F60">
      <w:r>
        <w:t>Functional Motion Localizer</w:t>
      </w:r>
    </w:p>
    <w:p w14:paraId="0B941F88" w14:textId="3BF568B5" w:rsidR="00F428E6" w:rsidRDefault="00100AB7" w:rsidP="002433CB">
      <w:pPr>
        <w:ind w:firstLine="720"/>
        <w:jc w:val="both"/>
      </w:pPr>
      <w:r>
        <w:t>In addition to retinotopic mapping of the visual field we identified regions that were responsive to optic flow motion with a functional localizer sequence</w:t>
      </w:r>
      <w:r w:rsidR="009870C9">
        <w:t xml:space="preserve"> </w:t>
      </w:r>
      <w:r w:rsidR="009870C9">
        <w:fldChar w:fldCharType="begin"/>
      </w:r>
      <w:r w:rsidR="00995F03">
        <w:instrText xml:space="preserve"> ADDIN ZOTERO_ITEM CSL_CITATION {"citationID":"j5k3e641k","properties":{"formattedCitation":"(Huk, Dougherty, &amp; Heeger, 2002)","plainCitation":"(Huk, Dougherty, &amp; Heeger, 2002)"},"citationItems":[{"id":421,"uris":["http://zotero.org/users/2176449/items/A7PVHI7C"],"uri":["http://zotero.org/users/2176449/items/A7PVHI7C"],"itemData":{"id":421,"type":"article-journal","title":"Retinotopy and functional subdivision of human areas MT and MST","container-title":"The Journal of Neuroscience","page":"7195–7205","volume":"22","issue":"16","source":"Google Scholar","author":[{"family":"Huk","given":"Alexander C."},{"family":"Dougherty","given":"Robert F."},{"family":"Heeger","given":"David J."}],"issued":{"date-parts":[["2002"]]},"accessed":{"date-parts":[["2015",5,30]]}}}],"schema":"https://github.com/citation-style-language/schema/raw/master/csl-citation.json"} </w:instrText>
      </w:r>
      <w:r w:rsidR="009870C9">
        <w:fldChar w:fldCharType="separate"/>
      </w:r>
      <w:r w:rsidR="009870C9" w:rsidRPr="009870C9">
        <w:rPr>
          <w:rFonts w:ascii="Calibri" w:hAnsi="Calibri"/>
        </w:rPr>
        <w:t>(Huk, Dougherty, &amp; Heeger, 2002)</w:t>
      </w:r>
      <w:r w:rsidR="009870C9">
        <w:fldChar w:fldCharType="end"/>
      </w:r>
      <w:r>
        <w:t xml:space="preserve">. This localizer sequences oscillates every 12 s between an optic flow stimulus (with direction reversals every 0.5 s) and a noisy motion stimulus, where each optic flow dot’s motion vector in 3-d space is rotated randomly on each frame. We identified </w:t>
      </w:r>
      <w:proofErr w:type="spellStart"/>
      <w:r>
        <w:t>hMT</w:t>
      </w:r>
      <w:proofErr w:type="spellEnd"/>
      <w:r>
        <w:t xml:space="preserve">+ in our retinotopic maps via established procedures </w:t>
      </w:r>
      <w:r>
        <w:fldChar w:fldCharType="begin"/>
      </w:r>
      <w:r w:rsidR="00995F03">
        <w:instrText xml:space="preserve"> ADDIN ZOTERO_ITEM CSL_CITATION {"citationID":"nqivim5pn","properties":{"formattedCitation":"(Wandell et al., 2007)","plainCitation":"(Wandell et al., 2007)"},"citationItems":[{"id":419,"uris":["http://zotero.org/users/2176449/items/B9MB4ZZB"],"uri":["http://zotero.org/users/2176449/items/B9MB4ZZB"],"itemData":{"id":419,"type":"article-journal","title":"Visual Field Maps in Human Cortex","container-title":"Neuron","page":"366-383","volume":"56","issue":"2","source":"CrossRef","DOI":"10.1016/j.neuron.2007.10.012","ISSN":"08966273","language":"en","author":[{"family":"Wandell","given":"Brian A."},{"family":"Dumoulin","given":"Serge O."},{"family":"Brewer","given":"Alyssa A."}],"issued":{"date-parts":[["2007",10]]},"accessed":{"date-parts":[["2015",5,28]]}}}],"schema":"https://github.com/citation-style-language/schema/raw/master/csl-citation.json"} </w:instrText>
      </w:r>
      <w:r>
        <w:fldChar w:fldCharType="separate"/>
      </w:r>
      <w:r w:rsidR="00042C15" w:rsidRPr="00042C15">
        <w:rPr>
          <w:rFonts w:ascii="Calibri" w:hAnsi="Calibri"/>
        </w:rPr>
        <w:t>(Wandell et al., 2007)</w:t>
      </w:r>
      <w:r>
        <w:fldChar w:fldCharType="end"/>
      </w:r>
      <w:r>
        <w:t>, as well a</w:t>
      </w:r>
      <w:r w:rsidR="006930C2">
        <w:t xml:space="preserve">s with our functional localizer. </w:t>
      </w:r>
      <w:r w:rsidR="009870C9">
        <w:t xml:space="preserve">We identified voxels that showed a correlation greater than 0.1 with a sinusoidal model response and excluded voxels in the early visual areas (V1-V4). This procedure identified a patch of voxels </w:t>
      </w:r>
      <w:r w:rsidR="009824C0">
        <w:t xml:space="preserve">that selectively responded to coherent </w:t>
      </w:r>
      <w:r w:rsidR="009824C0">
        <w:lastRenderedPageBreak/>
        <w:t xml:space="preserve">motion. We restricted subsequent analysis to the conjunction of voxels between retinotopically and functionally defined </w:t>
      </w:r>
      <w:proofErr w:type="spellStart"/>
      <w:r w:rsidR="009824C0">
        <w:t>hMT</w:t>
      </w:r>
      <w:proofErr w:type="spellEnd"/>
      <w:r w:rsidR="009824C0">
        <w:t xml:space="preserve">+. </w:t>
      </w:r>
      <w:r w:rsidR="009824C0">
        <w:tab/>
      </w:r>
    </w:p>
    <w:p w14:paraId="2A4F9C17" w14:textId="11FB6390" w:rsidR="00DA2F70" w:rsidRDefault="00DA2F70" w:rsidP="00C20F60">
      <w:r>
        <w:t>Feature-response Functions</w:t>
      </w:r>
    </w:p>
    <w:p w14:paraId="19B1B8AF" w14:textId="4776E792" w:rsidR="00FF56D6" w:rsidRDefault="00DA2F70" w:rsidP="002433CB">
      <w:pPr>
        <w:jc w:val="both"/>
      </w:pPr>
      <w:r>
        <w:tab/>
        <w:t>To compute the feature-response funct</w:t>
      </w:r>
      <w:r w:rsidR="00520204">
        <w:t xml:space="preserve">ions, a deconvolution analysis </w:t>
      </w:r>
      <w:r>
        <w:t>was used to determine the mean hemodynamic response to each dot patch in the contralateral visual cortex</w:t>
      </w:r>
      <w:r w:rsidR="00520204">
        <w:t xml:space="preserve">, for details see: </w:t>
      </w:r>
      <w:r w:rsidR="00520204">
        <w:fldChar w:fldCharType="begin"/>
      </w:r>
      <w:r w:rsidR="00995F03">
        <w:instrText xml:space="preserve"> ADDIN ZOTERO_ITEM CSL_CITATION {"citationID":"18ku6g6lu0","properties":{"formattedCitation":"(Gardner et al., 2005)","plainCitation":"(Gardner et al., 2005)"},"citationItems":[{"id":145,"uris":["http://zotero.org/users/2176449/items/S9R5DEI7"],"uri":["http://zotero.org/users/2176449/items/S9R5DEI7"],"itemData":{"id":145,"type":"article-journal","title":"Contrast adaptation and representation in human early visual cortex.","container-title":"Neuron","page":"607-20","volume":"47","issue":"4","abstract":"The human visual system can distinguish variations in image contrast over a much larger range than measurements of the static relationship between contrast and response in visual cortex would suggest. This discrepancy may be explained if adaptation serves to re-center contrast response functions around the ambient contrast, yet experiments on humans have yet to report such an effect. By using event-related fMRI and a data-driven analysis approach, we found that contrast response functions in V1, V2, and V3 shift to approximately center on the adapting contrast. Furthermore, we discovered that, unlike earlier areas, human V4 (hV4) responds positively to contrast changes, whether increments or decrements, suggesting that hV4 does not faithfully represent contrast, but instead responds to salient changes. These findings suggest that the visual system discounts slow uninformative changes in contrast with adaptation, yet remains exquisitely sensitive to changes that may signal important events in the environment.","DOI":"10.1016/j.neuron.2005.07.016","author":[{"family":"Gardner","given":"Justin L"},{"family":"Sun","given":"Pei"},{"family":"Waggoner","given":"R Allen"},{"family":"Ueno","given":"Kenichi"},{"family":"Tanaka","given":"Keiji"},{"family":"Cheng","given":"Kang"}],"issued":{"date-parts":[["2005",8]]}}}],"schema":"https://github.com/citation-style-language/schema/raw/master/csl-citation.json"} </w:instrText>
      </w:r>
      <w:r w:rsidR="00520204">
        <w:fldChar w:fldCharType="separate"/>
      </w:r>
      <w:r w:rsidR="00520204">
        <w:rPr>
          <w:noProof/>
        </w:rPr>
        <w:t>(Gardner et al., 2005)</w:t>
      </w:r>
      <w:r w:rsidR="00520204">
        <w:fldChar w:fldCharType="end"/>
      </w:r>
      <w:r>
        <w:t xml:space="preserve">. The average time-course in each </w:t>
      </w:r>
      <w:r w:rsidR="008B0B93">
        <w:t xml:space="preserve">visual area for each grating location was computed and the response following stimulus presentations for </w:t>
      </w:r>
      <w:r w:rsidR="00B31615">
        <w:t>15</w:t>
      </w:r>
      <w:r w:rsidR="008B0B93">
        <w:t xml:space="preserve"> s was calculated, assuming linear summation for responses that temporally overlapped. These responses were calculated separately for each combination of feature (contrast, motion coherence) and cueing condition (cued, miscued) at every intensity increment, rounded to the nearest 10%. This resulted in 36 total conditions (contrast: 8 intensities x 2 cueing + coherence: 10 intensities x 2 cueing). A gamma function was fit to </w:t>
      </w:r>
      <w:r w:rsidR="00B31615">
        <w:t>each</w:t>
      </w:r>
      <w:r w:rsidR="008B0B93">
        <w:t xml:space="preserve"> de</w:t>
      </w:r>
      <w:r w:rsidR="00B31615">
        <w:t>-</w:t>
      </w:r>
      <w:r w:rsidR="008B0B93">
        <w:t xml:space="preserve">convolved response and the amplitude of this function determined the magnitude of response. These response magnitudes were then plotted as a function of stimulus intensity to yield the </w:t>
      </w:r>
      <w:r w:rsidR="00B31615">
        <w:t>feature</w:t>
      </w:r>
      <w:r w:rsidR="008B0B93">
        <w:t>-response function for each visual area and cue condition.</w:t>
      </w:r>
      <w:r w:rsidR="00B31615">
        <w:t xml:space="preserve"> These feature-response functions were then</w:t>
      </w:r>
      <w:r w:rsidR="000A4E05">
        <w:t xml:space="preserve"> </w:t>
      </w:r>
      <w:r w:rsidR="00313907">
        <w:t>parameterized</w:t>
      </w:r>
      <w:r w:rsidR="000A4E05">
        <w:t xml:space="preserve"> to the Naka-Rushton equation.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FF56D6" w14:paraId="76D33450" w14:textId="77777777" w:rsidTr="00FF56D6">
        <w:trPr>
          <w:trHeight w:val="684"/>
        </w:trPr>
        <w:tc>
          <w:tcPr>
            <w:tcW w:w="3192" w:type="dxa"/>
          </w:tcPr>
          <w:p w14:paraId="7961F3BC" w14:textId="77777777" w:rsidR="00FF56D6" w:rsidRDefault="00FF56D6" w:rsidP="00C20F60"/>
        </w:tc>
        <w:tc>
          <w:tcPr>
            <w:tcW w:w="3192" w:type="dxa"/>
          </w:tcPr>
          <w:p w14:paraId="3DD05980" w14:textId="2DAC440B" w:rsidR="00FF56D6" w:rsidRDefault="00FF56D6" w:rsidP="00C20F60">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R</m:t>
                        </m:r>
                      </m:e>
                      <m:sub>
                        <m:func>
                          <m:funcPr>
                            <m:ctrlPr>
                              <w:rPr>
                                <w:rFonts w:ascii="Cambria Math" w:hAnsi="Cambria Math"/>
                              </w:rPr>
                            </m:ctrlPr>
                          </m:funcPr>
                          <m:fName>
                            <m:r>
                              <m:rPr>
                                <m:sty m:val="p"/>
                              </m:rPr>
                              <w:rPr>
                                <w:rFonts w:ascii="Cambria Math" w:hAnsi="Cambria Math"/>
                              </w:rPr>
                              <m:t>max</m:t>
                            </m:r>
                            <m:ctrlPr>
                              <w:rPr>
                                <w:rFonts w:ascii="Cambria Math" w:hAnsi="Cambria Math"/>
                                <w:i/>
                              </w:rPr>
                            </m:ctrlPr>
                          </m:fName>
                          <m:e>
                            <m:sSup>
                              <m:sSupPr>
                                <m:ctrlPr>
                                  <w:rPr>
                                    <w:rFonts w:ascii="Cambria Math" w:hAnsi="Cambria Math"/>
                                    <w:i/>
                                  </w:rPr>
                                </m:ctrlPr>
                              </m:sSupPr>
                              <m:e>
                                <m:r>
                                  <w:rPr>
                                    <w:rFonts w:ascii="Cambria Math" w:hAnsi="Cambria Math"/>
                                  </w:rPr>
                                  <m:t>F</m:t>
                                </m:r>
                                <m:ctrlPr>
                                  <w:rPr>
                                    <w:rFonts w:ascii="Cambria Math" w:hAnsi="Cambria Math"/>
                                  </w:rPr>
                                </m:ctrlPr>
                              </m:e>
                              <m:sup>
                                <m:r>
                                  <w:rPr>
                                    <w:rFonts w:ascii="Cambria Math" w:hAnsi="Cambria Math"/>
                                  </w:rPr>
                                  <m:t>n</m:t>
                                </m:r>
                              </m:sup>
                            </m:sSup>
                          </m:e>
                        </m:func>
                      </m:sub>
                    </m:sSub>
                  </m:num>
                  <m:den>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n</m:t>
                            </m:r>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50</m:t>
                            </m:r>
                          </m:sub>
                          <m:sup>
                            <m:r>
                              <w:rPr>
                                <w:rFonts w:ascii="Cambria Math" w:hAnsi="Cambria Math"/>
                              </w:rPr>
                              <m:t>n</m:t>
                            </m:r>
                          </m:sup>
                        </m:sSubSup>
                      </m:e>
                    </m:d>
                  </m:den>
                </m:f>
                <m:r>
                  <w:rPr>
                    <w:rFonts w:ascii="Cambria Math" w:hAnsi="Cambria Math"/>
                  </w:rPr>
                  <m:t>+b</m:t>
                </m:r>
              </m:oMath>
            </m:oMathPara>
          </w:p>
        </w:tc>
        <w:tc>
          <w:tcPr>
            <w:tcW w:w="3192" w:type="dxa"/>
          </w:tcPr>
          <w:p w14:paraId="7D06540B" w14:textId="18292949" w:rsidR="00FF56D6" w:rsidRDefault="00E04B7C" w:rsidP="002433CB">
            <w:pPr>
              <w:jc w:val="right"/>
            </w:pPr>
            <w:r>
              <w:t>(2</w:t>
            </w:r>
            <w:r w:rsidR="00FF56D6">
              <w:t>)</w:t>
            </w:r>
          </w:p>
        </w:tc>
      </w:tr>
    </w:tbl>
    <w:p w14:paraId="4C8A6897" w14:textId="3B62314D" w:rsidR="00F428E6" w:rsidRDefault="001F6750" w:rsidP="002433CB">
      <w:pPr>
        <w:jc w:val="both"/>
        <w:rPr>
          <w:rFonts w:eastAsiaTheme="minorEastAsia"/>
        </w:rPr>
      </w:pPr>
      <w:r>
        <w:rPr>
          <w:rFonts w:eastAsiaTheme="minorEastAsia"/>
        </w:rPr>
        <w:t xml:space="preserve">Where R represents the BOLD response, </w:t>
      </w:r>
      <m:oMath>
        <m:r>
          <w:rPr>
            <w:rFonts w:ascii="Cambria Math" w:hAnsi="Cambria Math"/>
          </w:rPr>
          <m:t>F</m:t>
        </m:r>
      </m:oMath>
      <w:r w:rsidR="00E8552E">
        <w:rPr>
          <w:rFonts w:eastAsiaTheme="minorEastAsia"/>
        </w:rPr>
        <w:t xml:space="preserve"> is the feature intensity, </w:t>
      </w:r>
      <m:oMath>
        <m:r>
          <w:rPr>
            <w:rFonts w:ascii="Cambria Math" w:hAnsi="Cambria Math"/>
          </w:rPr>
          <m:t>b</m:t>
        </m:r>
      </m:oMath>
      <w:r w:rsidR="00E8552E">
        <w:rPr>
          <w:rFonts w:eastAsiaTheme="minorEastAsia"/>
        </w:rPr>
        <w:t xml:space="preserve"> is the background response, and </w:t>
      </w:r>
      <m:oMath>
        <m:r>
          <w:rPr>
            <w:rFonts w:ascii="Cambria Math" w:hAnsi="Cambria Math"/>
          </w:rPr>
          <m:t>n</m:t>
        </m:r>
      </m:oMath>
      <w:r w:rsidR="00E8552E">
        <w:rPr>
          <w:rFonts w:eastAsiaTheme="minorEastAsia"/>
        </w:rPr>
        <w:t xml:space="preserve"> is the exponent of the power function.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sidR="00E8552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50</m:t>
            </m:r>
          </m:sub>
        </m:sSub>
      </m:oMath>
      <w:r w:rsidR="00E8552E">
        <w:rPr>
          <w:rFonts w:eastAsiaTheme="minorEastAsia"/>
        </w:rPr>
        <w:t xml:space="preserve"> are free parameters that were fit for each feature</w:t>
      </w:r>
      <w:r w:rsidR="00F70B78">
        <w:rPr>
          <w:rFonts w:eastAsiaTheme="minorEastAsia"/>
        </w:rPr>
        <w:t xml:space="preserve"> (contrast, coherence)</w:t>
      </w:r>
      <w:r w:rsidR="00E8552E">
        <w:rPr>
          <w:rFonts w:eastAsiaTheme="minorEastAsia"/>
        </w:rPr>
        <w:t xml:space="preserve"> and condition (cued, miscued).</w:t>
      </w:r>
    </w:p>
    <w:p w14:paraId="26050558" w14:textId="6B31F719" w:rsidR="002E7C60" w:rsidRDefault="002E7C60" w:rsidP="00C20F60">
      <w:r>
        <w:t>Modeling Discrimination as Neural Responses</w:t>
      </w:r>
    </w:p>
    <w:p w14:paraId="248B141F" w14:textId="1C1DD542" w:rsidR="00FF56D6" w:rsidRDefault="00FF56D6" w:rsidP="00D76160">
      <w:pPr>
        <w:ind w:firstLine="720"/>
        <w:jc w:val="both"/>
      </w:pPr>
      <w:r>
        <w:t xml:space="preserve">Discrimination performance is a direct function of neural responses. One of our goals is to understand whether the responses in V1 and </w:t>
      </w:r>
      <w:proofErr w:type="spellStart"/>
      <w:r>
        <w:t>hMT</w:t>
      </w:r>
      <w:proofErr w:type="spellEnd"/>
      <w:r>
        <w:t xml:space="preserve">+ are sufficient to explain the discrimination performance that we observe. To test this we will model our discrimination task as a signal discrimination task, using </w:t>
      </w:r>
      <m:oMath>
        <m:r>
          <w:rPr>
            <w:rFonts w:ascii="Cambria Math" w:hAnsi="Cambria Math"/>
          </w:rPr>
          <m:t>d'</m:t>
        </m:r>
      </m:oMath>
      <w:r>
        <w:rPr>
          <w:rFonts w:eastAsiaTheme="minorEastAsia"/>
        </w:rPr>
        <w:t xml:space="preserve"> as a measure of performance. </w:t>
      </w:r>
      <w:r>
        <w:t>It follows then that</w:t>
      </w:r>
      <w:r w:rsidR="002E7C60">
        <w:t xml:space="preserve"> the discrimination threshold, </w:t>
      </w:r>
      <m:oMath>
        <m:r>
          <w:rPr>
            <w:rFonts w:ascii="Cambria Math" w:hAnsi="Cambria Math"/>
          </w:rPr>
          <m:t>d'</m:t>
        </m:r>
      </m:oMath>
      <w:r w:rsidR="002E7C60">
        <w:rPr>
          <w:rFonts w:eastAsiaTheme="minorEastAsia"/>
        </w:rPr>
        <w:t>,</w:t>
      </w:r>
      <w:r w:rsidR="002E7C60">
        <w:t xml:space="preserve"> should </w:t>
      </w:r>
      <w:r>
        <w:t xml:space="preserve">also </w:t>
      </w:r>
      <w:r w:rsidR="002E7C60">
        <w:t>correspond to the following equation:</w:t>
      </w:r>
      <w:r w:rsidRPr="00FF56D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FF56D6" w14:paraId="44BCDB12" w14:textId="77777777" w:rsidTr="00E04B7C">
        <w:trPr>
          <w:trHeight w:val="324"/>
        </w:trPr>
        <w:tc>
          <w:tcPr>
            <w:tcW w:w="3192" w:type="dxa"/>
          </w:tcPr>
          <w:p w14:paraId="068FB744" w14:textId="77777777" w:rsidR="00FF56D6" w:rsidRDefault="00FF56D6" w:rsidP="00C20F60"/>
        </w:tc>
        <w:tc>
          <w:tcPr>
            <w:tcW w:w="3192" w:type="dxa"/>
          </w:tcPr>
          <w:p w14:paraId="5276628D" w14:textId="4BC693B8" w:rsidR="00FF56D6" w:rsidRDefault="00FF56D6" w:rsidP="00C20F60">
            <m:oMathPara>
              <m:oMath>
                <m:r>
                  <w:rPr>
                    <w:rFonts w:ascii="Cambria Math" w:hAnsi="Cambria Math"/>
                  </w:rPr>
                  <m:t>d'=</m:t>
                </m:r>
                <m:f>
                  <m:fPr>
                    <m:ctrlPr>
                      <w:rPr>
                        <w:rFonts w:ascii="Cambria Math" w:hAnsi="Cambria Math"/>
                        <w:i/>
                        <w:sz w:val="20"/>
                        <w:szCs w:val="20"/>
                      </w:rPr>
                    </m:ctrlPr>
                  </m:fPr>
                  <m:num>
                    <m:r>
                      <w:rPr>
                        <w:rFonts w:ascii="Cambria Math" w:hAnsi="Cambria Math"/>
                      </w:rPr>
                      <m:t>R</m:t>
                    </m:r>
                    <m:d>
                      <m:dPr>
                        <m:ctrlPr>
                          <w:rPr>
                            <w:rFonts w:ascii="Cambria Math" w:hAnsi="Cambria Math"/>
                            <w:i/>
                            <w:sz w:val="20"/>
                            <w:szCs w:val="20"/>
                          </w:rPr>
                        </m:ctrlPr>
                      </m:dPr>
                      <m:e>
                        <m:r>
                          <w:rPr>
                            <w:rFonts w:ascii="Cambria Math" w:hAnsi="Cambria Math"/>
                          </w:rPr>
                          <m:t>i+∆i</m:t>
                        </m:r>
                      </m:e>
                    </m:d>
                    <m:r>
                      <w:rPr>
                        <w:rFonts w:ascii="Cambria Math" w:hAnsi="Cambria Math"/>
                      </w:rPr>
                      <m:t>-R</m:t>
                    </m:r>
                    <m:d>
                      <m:dPr>
                        <m:ctrlPr>
                          <w:rPr>
                            <w:rFonts w:ascii="Cambria Math" w:hAnsi="Cambria Math"/>
                            <w:i/>
                            <w:sz w:val="20"/>
                            <w:szCs w:val="20"/>
                          </w:rPr>
                        </m:ctrlPr>
                      </m:dPr>
                      <m:e>
                        <m:r>
                          <w:rPr>
                            <w:rFonts w:ascii="Cambria Math" w:hAnsi="Cambria Math"/>
                          </w:rPr>
                          <m:t>i</m:t>
                        </m:r>
                      </m:e>
                    </m:d>
                  </m:num>
                  <m:den>
                    <m:sSub>
                      <m:sSubPr>
                        <m:ctrlPr>
                          <w:rPr>
                            <w:rFonts w:ascii="Cambria Math" w:hAnsi="Cambria Math"/>
                            <w:i/>
                            <w:sz w:val="20"/>
                            <w:szCs w:val="20"/>
                          </w:rPr>
                        </m:ctrlPr>
                      </m:sSubPr>
                      <m:e>
                        <m:r>
                          <w:rPr>
                            <w:rFonts w:ascii="Cambria Math" w:hAnsi="Cambria Math"/>
                          </w:rPr>
                          <m:t>σ</m:t>
                        </m:r>
                      </m:e>
                      <m:sub>
                        <m:r>
                          <w:rPr>
                            <w:rFonts w:ascii="Cambria Math" w:hAnsi="Cambria Math"/>
                          </w:rPr>
                          <m:t>R</m:t>
                        </m:r>
                      </m:sub>
                    </m:sSub>
                  </m:den>
                </m:f>
              </m:oMath>
            </m:oMathPara>
          </w:p>
        </w:tc>
        <w:tc>
          <w:tcPr>
            <w:tcW w:w="3192" w:type="dxa"/>
          </w:tcPr>
          <w:p w14:paraId="22AF9391" w14:textId="43C1AF37" w:rsidR="00FF56D6" w:rsidRDefault="00E04B7C" w:rsidP="00D76160">
            <w:pPr>
              <w:jc w:val="right"/>
            </w:pPr>
            <w:r>
              <w:t>(3</w:t>
            </w:r>
            <w:r w:rsidR="00FF56D6">
              <w:t>)</w:t>
            </w:r>
          </w:p>
        </w:tc>
      </w:tr>
      <w:tr w:rsidR="00E04B7C" w14:paraId="178EEE7B" w14:textId="77777777" w:rsidTr="00E04B7C">
        <w:trPr>
          <w:trHeight w:val="75"/>
        </w:trPr>
        <w:tc>
          <w:tcPr>
            <w:tcW w:w="3192" w:type="dxa"/>
          </w:tcPr>
          <w:p w14:paraId="2F7B86C3" w14:textId="77777777" w:rsidR="00E04B7C" w:rsidRDefault="00E04B7C" w:rsidP="00C20F60"/>
        </w:tc>
        <w:tc>
          <w:tcPr>
            <w:tcW w:w="3192" w:type="dxa"/>
          </w:tcPr>
          <w:p w14:paraId="30EDA8B4" w14:textId="77777777" w:rsidR="00E04B7C" w:rsidRDefault="00E04B7C" w:rsidP="00C20F60">
            <w:pPr>
              <w:rPr>
                <w:rFonts w:ascii="Calibri" w:eastAsia="Calibri" w:hAnsi="Calibri" w:cs="Times New Roman"/>
              </w:rPr>
            </w:pPr>
          </w:p>
        </w:tc>
        <w:tc>
          <w:tcPr>
            <w:tcW w:w="3192" w:type="dxa"/>
          </w:tcPr>
          <w:p w14:paraId="286DCE45" w14:textId="77777777" w:rsidR="00E04B7C" w:rsidRDefault="00E04B7C" w:rsidP="00C20F60"/>
        </w:tc>
      </w:tr>
    </w:tbl>
    <w:p w14:paraId="0013B05E" w14:textId="4D4227A9" w:rsidR="00FF56D6" w:rsidRPr="00D76160" w:rsidRDefault="00E04B7C" w:rsidP="00D76160">
      <w:pPr>
        <w:jc w:val="both"/>
      </w:pPr>
      <w:r w:rsidRPr="00D76160">
        <w:rPr>
          <w:rFonts w:eastAsiaTheme="minorEastAsia"/>
        </w:rPr>
        <w:t xml:space="preserve">Where R is the response to a stimulus intensity </w:t>
      </w:r>
      <m:oMath>
        <m:r>
          <w:rPr>
            <w:rFonts w:ascii="Cambria Math" w:hAnsi="Cambria Math"/>
          </w:rPr>
          <m:t>i</m:t>
        </m:r>
      </m:oMath>
      <w:r w:rsidRPr="00D76160">
        <w:rPr>
          <w:rFonts w:eastAsiaTheme="minorEastAsia"/>
        </w:rPr>
        <w:t xml:space="preserve">, estimated from equation 2. </w:t>
      </w:r>
      <m:oMath>
        <m:sSub>
          <m:sSubPr>
            <m:ctrlPr>
              <w:rPr>
                <w:rFonts w:ascii="Cambria Math" w:hAnsi="Cambria Math"/>
                <w:i/>
              </w:rPr>
            </m:ctrlPr>
          </m:sSubPr>
          <m:e>
            <m:r>
              <w:rPr>
                <w:rFonts w:ascii="Cambria Math" w:hAnsi="Cambria Math"/>
              </w:rPr>
              <m:t>σ</m:t>
            </m:r>
          </m:e>
          <m:sub>
            <m:r>
              <w:rPr>
                <w:rFonts w:ascii="Cambria Math" w:hAnsi="Cambria Math"/>
              </w:rPr>
              <m:t>R</m:t>
            </m:r>
          </m:sub>
        </m:sSub>
      </m:oMath>
      <w:r w:rsidRPr="00D76160">
        <w:rPr>
          <w:rFonts w:eastAsiaTheme="minorEastAsia"/>
        </w:rPr>
        <w:t xml:space="preserve"> is the variance on the response function</w:t>
      </w:r>
      <w:r w:rsidR="00450CEE" w:rsidRPr="00D76160">
        <w:rPr>
          <w:rFonts w:eastAsiaTheme="minorEastAsia"/>
        </w:rPr>
        <w:t>.</w:t>
      </w:r>
      <w:r w:rsidR="009E38A7" w:rsidRPr="00D76160">
        <w:rPr>
          <w:rFonts w:eastAsiaTheme="minorEastAsia"/>
        </w:rPr>
        <w:t xml:space="preserve"> An alternative model to this is that attention acts as a modulator of neural signals as part of a downstream selection process </w:t>
      </w:r>
      <w:r w:rsidR="009E38A7" w:rsidRPr="00D76160">
        <w:rPr>
          <w:rFonts w:eastAsiaTheme="minorEastAsia"/>
        </w:rPr>
        <w:fldChar w:fldCharType="begin"/>
      </w:r>
      <w:r w:rsidR="00901656" w:rsidRPr="00D76160">
        <w:rPr>
          <w:rFonts w:eastAsiaTheme="minorEastAsia"/>
        </w:rPr>
        <w:instrText xml:space="preserve"> ADDIN ZOTERO_ITEM CSL_CITATION {"citationID":"1id88kfe56","properties":{"formattedCitation":"(Pestilli et al., 2011)","plainCitation":"(Pestilli et al., 2011)"},"citationItems":[{"id":47,"uris":["http://zotero.org/users/2176449/items/BJIUWIKG"],"uri":["http://zotero.org/users/2176449/items/BJIUWIKG"],"itemData":{"id":47,"type":"article-journal","title":"Attentional enhancement via selection and pooling of early sensory responses in human visual cortex.","container-title":"Neuron","page":"832-46","volume":"72","issue":"5","abstract":"The computational processes by which attention improves behavioral performance were characterized by measuring visual cortical activity with functional magnetic resonance imaging as humans performed a contrast-discrimination task with focal and distributed attention. Focal attention yielded robust improvements in behavioral performance accompanied by increases in cortical responses. Quantitative analysis revealed that if performance were limited only by the sensitivity of the measured sensory signals, the improvements in behavioral performance would have corresponded to an unrealistically large reduction in response variability. Instead, behavioral performance was well characterized by a pooling and selection process for which the largest sensory responses, those most strongly modulated by attention, dominated the perceptual decision. This characterization predicts that high-contrast distracters that evoke large responses should negatively impact behavioral performance. We tested and confirmed this prediction. We conclude that attention enhanced behavioral performance predominantly by enabling efficient selection of the behaviorally relevant sensory signals.","DOI":"10.1016/j.neuron.2011.09.025","author":[{"family":"Pestilli","given":"Franco"},{"family":"Carrasco","given":"Marisa"},{"family":"Heeger","given":"David J"},{"family":"Gardner","given":"Justin L"}],"issued":{"date-parts":[["2011",12]]}}}],"schema":"https://github.com/citation-style-language/schema/raw/master/csl-citation.json"} </w:instrText>
      </w:r>
      <w:r w:rsidR="009E38A7" w:rsidRPr="00D76160">
        <w:rPr>
          <w:rFonts w:eastAsiaTheme="minorEastAsia"/>
        </w:rPr>
        <w:fldChar w:fldCharType="separate"/>
      </w:r>
      <w:r w:rsidR="009E38A7" w:rsidRPr="00D76160">
        <w:rPr>
          <w:rFonts w:ascii="Calibri" w:hAnsi="Calibri"/>
        </w:rPr>
        <w:t>(Pestilli et al., 2011)</w:t>
      </w:r>
      <w:r w:rsidR="009E38A7" w:rsidRPr="00D76160">
        <w:rPr>
          <w:rFonts w:eastAsiaTheme="minorEastAsia"/>
        </w:rPr>
        <w:fldChar w:fldCharType="end"/>
      </w:r>
      <w:r w:rsidR="009E38A7" w:rsidRPr="00D76160">
        <w:rPr>
          <w:rFonts w:eastAsiaTheme="minorEastAsia"/>
        </w:rPr>
        <w:t>, we will also test whether this model is a better explanation of our cueing results.</w:t>
      </w:r>
      <w:r w:rsidR="00FF3BA0" w:rsidRPr="00D76160">
        <w:rPr>
          <w:rFonts w:eastAsiaTheme="minorEastAsia"/>
        </w:rPr>
        <w:t xml:space="preserve"> </w:t>
      </w:r>
    </w:p>
    <w:p w14:paraId="18EB1A48" w14:textId="77777777" w:rsidR="00627AA1" w:rsidRDefault="00627AA1" w:rsidP="00C20F60"/>
    <w:p w14:paraId="2EAE8E0F" w14:textId="77777777" w:rsidR="00115626" w:rsidRDefault="00115626" w:rsidP="00C20F60"/>
    <w:p w14:paraId="1BB0316A" w14:textId="77777777" w:rsidR="00760F38" w:rsidRDefault="00760F38" w:rsidP="00C20F60"/>
    <w:p w14:paraId="634AF01E" w14:textId="79EC396F" w:rsidR="00140B8C" w:rsidRPr="00760F38" w:rsidRDefault="00140B8C" w:rsidP="00C20F60">
      <w:pPr>
        <w:rPr>
          <w:b/>
        </w:rPr>
      </w:pPr>
      <w:r w:rsidRPr="00760F38">
        <w:rPr>
          <w:b/>
        </w:rPr>
        <w:lastRenderedPageBreak/>
        <w:t>Results</w:t>
      </w:r>
    </w:p>
    <w:p w14:paraId="4CEA982C" w14:textId="215C24EC" w:rsidR="00140B8C" w:rsidRPr="00140B8C" w:rsidRDefault="00B31615" w:rsidP="00760F38">
      <w:pPr>
        <w:ind w:firstLine="720"/>
        <w:jc w:val="both"/>
      </w:pPr>
      <w:r>
        <w:t xml:space="preserve">Participants in our experiment performed a </w:t>
      </w:r>
      <w:r w:rsidR="008C1F32">
        <w:t>2-AFC</w:t>
      </w:r>
      <w:r>
        <w:t xml:space="preserve"> choice discrimination. Subjects compared two patches of dots and responded about which patch they perceived as having the higher contrast or motion coherence, depending on the </w:t>
      </w:r>
      <w:r w:rsidR="00F43302">
        <w:t>trial type</w:t>
      </w:r>
      <w:r>
        <w:t xml:space="preserve">. Each participant </w:t>
      </w:r>
      <w:r w:rsidR="00570B77">
        <w:t xml:space="preserve">was cued at the start of the run about which feature they should attend to. Participants </w:t>
      </w:r>
      <w:r>
        <w:t xml:space="preserve">performed control runs during which they were only asked to discriminate one of the two features, as well as task runs where on 15% of trials the subjects were told, after stimulus presentation, to respond about the un-cued feature. </w:t>
      </w:r>
      <w:r w:rsidR="00485E78">
        <w:t xml:space="preserve">Subjects performed training runs for one to two hours or until their contrast and coherence thresholds stabilized. We found that subjects were able to immediately perform the contrast task at near maximal performance, but took between 30 and </w:t>
      </w:r>
      <w:r w:rsidR="00D60BD7">
        <w:t>120</w:t>
      </w:r>
      <w:r w:rsidR="00485E78">
        <w:t xml:space="preserve"> minutes to learn and perform the coherence discrimination task successfully. Subjects then completed as many runs of as possible, alternating between control runs where they were told that no miscued trials would occur, and task </w:t>
      </w:r>
      <w:r w:rsidR="005A793A">
        <w:t>runs that</w:t>
      </w:r>
      <w:r w:rsidR="00485E78">
        <w:t xml:space="preserve"> included miscued trials.  </w:t>
      </w:r>
      <w:r w:rsidR="00366327">
        <w:t>Every subject performed more than 1000 trials</w:t>
      </w:r>
      <w:r w:rsidR="00485E78">
        <w:t xml:space="preserve">. Subject 300 additionally performed </w:t>
      </w:r>
      <w:r w:rsidR="005A793A">
        <w:t>~1300 tri</w:t>
      </w:r>
      <w:r w:rsidR="00FF2A67">
        <w:t>als during scanning in 26 runs, plus a four minute motion localizer.</w:t>
      </w:r>
    </w:p>
    <w:p w14:paraId="6CB0D92C" w14:textId="77777777" w:rsidR="00A143FC" w:rsidRDefault="005A793A" w:rsidP="00760F38">
      <w:pPr>
        <w:ind w:firstLine="720"/>
        <w:jc w:val="both"/>
      </w:pPr>
      <w:r>
        <w:t>Figure 1 shows the estimated thresholds for each participant during each of the different run conditions estimated across all of the staircases that were run for that participant.</w:t>
      </w:r>
      <w:r w:rsidR="00165925">
        <w:t xml:space="preserve"> We expected two notable patterns to emerge in these data: (1) performance on each task should be equal during control runs and task cued trials, when participants are attending to one feature and responding about that feature, (2) performance on task miscued trials should be significantly lower (i.e. a higher discrimination threshold) than in either of the other conditions. We expected (1) to be true only if participants were not “splitting” their attention between tasks during the task cued condition. The weaker performance of subjects 21 and 302 on task cued trials for coherence, for example, suggests that they did split their attention to some extent. We expected (2) to be true based on the large wealth of dual-task experiments that show that attention enhances performance on visual perception tasks. Our results corroborate these findings and show that when participants are miscued about the relevant response type this reduces their ability to respond correctly. This result is most pronounced for coherence, but quantitative comparisons cannot be made between tasks in this </w:t>
      </w:r>
      <w:r w:rsidR="00F01345">
        <w:t>figure</w:t>
      </w:r>
      <w:r w:rsidR="00165925">
        <w:t xml:space="preserve">. We chose to normalize the results by the performance in the control runs to better estimate </w:t>
      </w:r>
      <w:r w:rsidR="00DE2CC3">
        <w:t>the relativ</w:t>
      </w:r>
      <w:r w:rsidR="00A143FC">
        <w:t>e performance on the task runs.</w:t>
      </w:r>
    </w:p>
    <w:p w14:paraId="613BBADA" w14:textId="6A2FA6C7" w:rsidR="00860C51" w:rsidRDefault="00466E37" w:rsidP="00760F38">
      <w:pPr>
        <w:ind w:firstLine="720"/>
        <w:jc w:val="both"/>
      </w:pPr>
      <w:r>
        <w:t xml:space="preserve">To compare the normalized results we plot in Figure 2 the feature-discrimination functions for subject 300. These functions are a measurement of performance (% correct) at increasing differences of feature intensity between the two dot patches. </w:t>
      </w:r>
      <w:r w:rsidR="002F0535">
        <w:t>The “threshold” in Figure 1 corresponds to a</w:t>
      </w:r>
      <w:r w:rsidR="00960B97">
        <w:t xml:space="preserve"> single</w:t>
      </w:r>
      <w:r w:rsidR="002F0535">
        <w:t xml:space="preserve"> point along this function. </w:t>
      </w:r>
      <w:r w:rsidR="00C12E59">
        <w:t>We found that there was a variable but consistent effect showing that, across subjects (Figure 2, inset)</w:t>
      </w:r>
      <w:r w:rsidR="00BE1CE1">
        <w:t>,</w:t>
      </w:r>
      <w:r w:rsidR="00C12E59">
        <w:t xml:space="preserve"> the normalized performance for contrast when miscued was within the same range as the performance w</w:t>
      </w:r>
      <w:r w:rsidR="00442325">
        <w:t xml:space="preserve">hen cued or during control runs. In contrast, performance on motion coherence discrimination suffered dramatically during the task miscued trials. We also observed a difference in performance between the task cued and control performance for motion coherence. </w:t>
      </w:r>
      <w:r w:rsidR="00313907">
        <w:t>We focused the remaining analysis on the performance curves of subject 300</w:t>
      </w:r>
      <w:r w:rsidR="00442325">
        <w:t xml:space="preserve"> </w:t>
      </w:r>
      <w:r w:rsidR="00313907">
        <w:t>who also performed the functional imaging experiment.</w:t>
      </w:r>
      <w:r w:rsidR="001A1356">
        <w:t xml:space="preserve"> </w:t>
      </w:r>
      <w:r w:rsidR="009D09F2">
        <w:t xml:space="preserve">Subject 300 shows the typical feature-discrimination function shape observed across the experimental population. Performance on miscued contrast trials does not suffer as </w:t>
      </w:r>
      <w:r w:rsidR="009D09F2">
        <w:lastRenderedPageBreak/>
        <w:t xml:space="preserve">much as performance on miscued coherence trials. </w:t>
      </w:r>
      <w:r w:rsidR="00AE1DDF">
        <w:t>For subject 300 we did not observe any change in cued coherence trials bet</w:t>
      </w:r>
      <w:r w:rsidR="00A13E87">
        <w:t>ween the control and task runs.</w:t>
      </w:r>
    </w:p>
    <w:p w14:paraId="2D31FA1A" w14:textId="3B328317" w:rsidR="00B5781A" w:rsidRDefault="00B5781A" w:rsidP="00C20F60">
      <w:r>
        <w:tab/>
        <w:t xml:space="preserve">The eye tracking analysis hasn’t been completed (as </w:t>
      </w:r>
      <w:r w:rsidR="0021149C">
        <w:t>of 6/9</w:t>
      </w:r>
      <w:r>
        <w:t>/15)</w:t>
      </w:r>
      <w:r w:rsidR="0096759B">
        <w:t xml:space="preserve">, but a </w:t>
      </w:r>
      <w:proofErr w:type="spellStart"/>
      <w:r w:rsidR="0096759B">
        <w:t>heatmap</w:t>
      </w:r>
      <w:proofErr w:type="spellEnd"/>
      <w:r w:rsidR="0096759B">
        <w:t xml:space="preserve"> analysis showed that for Subj. 21 there were no deviations larger than one degree along the horizontal axis (i.e. towards one of the dot patches).</w:t>
      </w:r>
    </w:p>
    <w:p w14:paraId="12683D49" w14:textId="19159BA2" w:rsidR="00FD3AE1" w:rsidRDefault="00FD3AE1" w:rsidP="00760F38">
      <w:pPr>
        <w:jc w:val="both"/>
      </w:pPr>
      <w:r>
        <w:tab/>
        <w:t xml:space="preserve">Based on our knowledge of the functional architecture of early visual cortex </w:t>
      </w:r>
      <w:r>
        <w:fldChar w:fldCharType="begin"/>
      </w:r>
      <w:r w:rsidR="00995F03">
        <w:instrText xml:space="preserve"> ADDIN ZOTERO_ITEM CSL_CITATION {"citationID":"2fmcid5q26","properties":{"formattedCitation":"(Grill-Spector &amp; Malach, 2004)","plainCitation":"(Grill-Spector &amp; Malach, 2004)"},"citationItems":[{"id":16,"uris":["http://zotero.org/users/2176449/items/5JG4ZM7V"],"uri":["http://zotero.org/users/2176449/items/5JG4ZM7V"],"itemData":{"id":16,"type":"article-journal","title":"The Human Visual Cortex","container-title":"Annual Review of Neuroscience","page":"649-677","volume":"27","issue":"1","source":"CrossRef","DOI":"10.1146/annurev.neuro.27.070203.144220","ISSN":"0147-006X, 1545-4126","language":"en","author":[{"family":"Grill-Spector","given":"Kalanit"},{"family":"Malach","given":"Rafael"}],"issued":{"date-parts":[["2004",7,21]]},"accessed":{"date-parts":[["2014",11,30]]}}}],"schema":"https://github.com/citation-style-language/schema/raw/master/csl-citation.json"} </w:instrText>
      </w:r>
      <w:r>
        <w:fldChar w:fldCharType="separate"/>
      </w:r>
      <w:r w:rsidRPr="00FD3AE1">
        <w:rPr>
          <w:rFonts w:ascii="Calibri" w:hAnsi="Calibri"/>
        </w:rPr>
        <w:t>(Grill-Spector &amp; Malach, 2004)</w:t>
      </w:r>
      <w:r>
        <w:fldChar w:fldCharType="end"/>
      </w:r>
      <w:r w:rsidR="00ED2805">
        <w:t xml:space="preserve"> we expected to find that response amplitudes would be modulated in V1 for contrast intensity, but not for motion coherence. We expected the opposite relationship in human MT, or that an interaction would occur where both contrast and motion coherence would contribute to response amplitudes.</w:t>
      </w:r>
      <w:r w:rsidR="00CE37FC">
        <w:t xml:space="preserve"> In addition, our prediction was that the modulation of contrast response in V1 would be sufficient to account for the behavioral effect of contrast cueing. We expected that any downstream response modulations would be additionally uninformative, simply reflecting </w:t>
      </w:r>
      <w:r w:rsidR="00010947">
        <w:t xml:space="preserve">the </w:t>
      </w:r>
      <w:r w:rsidR="00CE37FC">
        <w:t xml:space="preserve">feed-forward activity from V1. </w:t>
      </w:r>
      <w:r w:rsidR="00010947">
        <w:t xml:space="preserve">Likewise, we predicted that changes in the response magnitudes in MT would be sufficient to account for the behavioral effect of motion coherence cueing. </w:t>
      </w:r>
      <w:r w:rsidR="008D2B4D">
        <w:t xml:space="preserve">We also expected to see an asymmetrical relationship—where cueing to contrast would have an effect on response amplitudes in MT but no reciprocal effect of coherence on response amplitudes in V1. This prediction is based solely on the architecture of the early visual cortex, where the vast majority of neural connections are </w:t>
      </w:r>
      <w:r w:rsidR="00B94F5A">
        <w:t>feed forward</w:t>
      </w:r>
      <w:r w:rsidR="008D2B4D">
        <w:t>.</w:t>
      </w:r>
    </w:p>
    <w:p w14:paraId="3B191635" w14:textId="49B07133" w:rsidR="005F21FF" w:rsidRDefault="005F21FF" w:rsidP="003D5500">
      <w:pPr>
        <w:jc w:val="both"/>
      </w:pPr>
      <w:r>
        <w:tab/>
        <w:t xml:space="preserve">To assess the responses of V1 and MT to stimulus of varying contrast and motion coherence intensities we first isolated the visual regions. In Figure 3 we present the results of our functional and retinotopic mappings. We found perfect overlap between the functionally defined </w:t>
      </w:r>
      <w:proofErr w:type="spellStart"/>
      <w:r>
        <w:t>hMT</w:t>
      </w:r>
      <w:proofErr w:type="spellEnd"/>
      <w:r>
        <w:t>+ and the retinotopically defined map</w:t>
      </w:r>
      <w:r w:rsidR="004E0549">
        <w:t xml:space="preserve"> and restricted voxels to the overlap for subsequent analysis</w:t>
      </w:r>
      <w:r>
        <w:t>.</w:t>
      </w:r>
      <w:r w:rsidR="006B5576">
        <w:t xml:space="preserve"> We performed a deconvolution analysis</w:t>
      </w:r>
      <w:r w:rsidR="00316857">
        <w:t xml:space="preserve"> (see Methods)</w:t>
      </w:r>
      <w:r w:rsidR="006B5576">
        <w:t xml:space="preserve"> and present the resulting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6B5576">
        <w:rPr>
          <w:rFonts w:eastAsiaTheme="minorEastAsia"/>
        </w:rPr>
        <w:t xml:space="preserve"> values in Figure 4. </w:t>
      </w:r>
      <w:r w:rsidR="004D5C20">
        <w:rPr>
          <w:rFonts w:eastAsiaTheme="minorEastAsia"/>
        </w:rPr>
        <w:t>The</w:t>
      </w:r>
      <w:r w:rsidR="00791E83">
        <w:rPr>
          <w:rFonts w:eastAsiaTheme="minorEastAsia"/>
        </w:rPr>
        <w:t xml:space="preserve"> rectangular</w:t>
      </w:r>
      <w:r w:rsidR="006B5576">
        <w:rPr>
          <w:rFonts w:eastAsiaTheme="minorEastAsia"/>
        </w:rPr>
        <w:t xml:space="preserve"> stimulus (here presented to the right visual field) appears in </w:t>
      </w:r>
      <w:r w:rsidR="006B5576">
        <w:t xml:space="preserve">a retinotopically correct subsection of V1. </w:t>
      </w:r>
      <w:r w:rsidR="00A55A9C">
        <w:t xml:space="preserve">We found voxels that were sensitive to our stimulus in all of the visual field maps, but we focus our subsequent analysis only on V1 and </w:t>
      </w:r>
      <w:proofErr w:type="spellStart"/>
      <w:r w:rsidR="00A55A9C">
        <w:t>hMT</w:t>
      </w:r>
      <w:proofErr w:type="spellEnd"/>
      <w:r w:rsidR="00A55A9C">
        <w:t>+.</w:t>
      </w:r>
    </w:p>
    <w:p w14:paraId="40110886" w14:textId="4C736583" w:rsidR="00995F03" w:rsidRDefault="00B94F5A" w:rsidP="003D5500">
      <w:pPr>
        <w:jc w:val="both"/>
      </w:pPr>
      <w:r>
        <w:tab/>
      </w:r>
      <w:r w:rsidR="008568D1">
        <w:t xml:space="preserve">Figure 5 shows an early view of the neural data regarding contrast and motion coherence representations in visual cortex. So far we have only analyzed the left visual cortex using </w:t>
      </w:r>
      <w:r w:rsidR="00460974">
        <w:t>the stimulus</w:t>
      </w:r>
      <w:r w:rsidR="008568D1">
        <w:t xml:space="preserve"> presentations to the right visual field. These early results do indicate sensitivity to motion coherence and contrast in V1 and MT, as well as possible sensitivity to the cueing conditions. We plan to extend these analyses significantly in the future to obtain a clear view of how visual cortex is representing these features. </w:t>
      </w:r>
      <w:r w:rsidR="00460974">
        <w:t xml:space="preserve">We plan on analyzing both visual cortices separately, then combining data if the HRF fit results are similar across the hemispheres. We also plan to investigate which model (Figure 6) best fits the cueing data to understand what form attentional modulation takes in these visual areas. This analysis can also be repeated in the other visual fields, but we will restrict our initial analysis to V1 and </w:t>
      </w:r>
      <w:proofErr w:type="spellStart"/>
      <w:r w:rsidR="00460974">
        <w:t>hMT</w:t>
      </w:r>
      <w:proofErr w:type="spellEnd"/>
      <w:r w:rsidR="00460974">
        <w:t>+. In addition, we will look at whether there is sufficient neural data to estimate the hemodynamic response during catch trials, where participants may have been able to attention retroactively to their memory of the stimulus.</w:t>
      </w:r>
    </w:p>
    <w:p w14:paraId="07A87228" w14:textId="3D143572" w:rsidR="00B94F5A" w:rsidRDefault="00995F03" w:rsidP="003D5500">
      <w:pPr>
        <w:ind w:firstLine="720"/>
        <w:jc w:val="both"/>
      </w:pPr>
      <w:r>
        <w:lastRenderedPageBreak/>
        <w:t xml:space="preserve">The modeling analysis hasn’t been completed (6/1/15). The possible alternative models for how attention might modulate visual cortex are presented in Figure 6. We plan to use equation 3 to map the neural responses onto the behavioral responses to estimate whether the magnitude of change in the neural response is directly related to improved behavioral performance, or whether there is a secondary mechanism involved (see e.g. </w:t>
      </w:r>
      <w:r>
        <w:fldChar w:fldCharType="begin"/>
      </w:r>
      <w:r>
        <w:instrText xml:space="preserve"> ADDIN ZOTERO_ITEM CSL_CITATION {"citationID":"2q0iubu2l3","properties":{"formattedCitation":"(Pestilli et al., 2011)","plainCitation":"(Pestilli et al., 2011)"},"citationItems":[{"id":47,"uris":["http://zotero.org/users/2176449/items/BJIUWIKG"],"uri":["http://zotero.org/users/2176449/items/BJIUWIKG"],"itemData":{"id":47,"type":"article-journal","title":"Attentional enhancement via selection and pooling of early sensory responses in human visual cortex.","container-title":"Neuron","page":"832-46","volume":"72","issue":"5","abstract":"The computational processes by which attention improves behavioral performance were characterized by measuring visual cortical activity with functional magnetic resonance imaging as humans performed a contrast-discrimination task with focal and distributed attention. Focal attention yielded robust improvements in behavioral performance accompanied by increases in cortical responses. Quantitative analysis revealed that if performance were limited only by the sensitivity of the measured sensory signals, the improvements in behavioral performance would have corresponded to an unrealistically large reduction in response variability. Instead, behavioral performance was well characterized by a pooling and selection process for which the largest sensory responses, those most strongly modulated by attention, dominated the perceptual decision. This characterization predicts that high-contrast distracters that evoke large responses should negatively impact behavioral performance. We tested and confirmed this prediction. We conclude that attention enhanced behavioral performance predominantly by enabling efficient selection of the behaviorally relevant sensory signals.","DOI":"10.1016/j.neuron.2011.09.025","author":[{"family":"Pestilli","given":"Franco"},{"family":"Carrasco","given":"Marisa"},{"family":"Heeger","given":"David J"},{"family":"Gardner","given":"Justin L"}],"issued":{"date-parts":[["2011",12]]}}}],"schema":"https://github.com/citation-style-language/schema/raw/master/csl-citation.json"} </w:instrText>
      </w:r>
      <w:r>
        <w:fldChar w:fldCharType="separate"/>
      </w:r>
      <w:r>
        <w:rPr>
          <w:noProof/>
        </w:rPr>
        <w:t>Pestilli et al., 2011)</w:t>
      </w:r>
      <w:r>
        <w:fldChar w:fldCharType="end"/>
      </w:r>
      <w:r>
        <w:t>. Our expectation is that spatial feature attention in V1 for contrast is similar to spatial attention and that our results will be well fit by a model of efficient selection on the V1 activity.</w:t>
      </w:r>
      <w:r w:rsidR="00BC5A75">
        <w:t xml:space="preserve"> We don’t have any expectation yet about how the results will map in </w:t>
      </w:r>
      <w:proofErr w:type="spellStart"/>
      <w:r w:rsidR="00BC5A75">
        <w:t>hMT</w:t>
      </w:r>
      <w:proofErr w:type="spellEnd"/>
      <w:r w:rsidR="00BC5A75">
        <w:t>+ for motion coherence, but we do expect that both contrast and motion coherence will impact responses in that region, and therefore have an impact on performance. This assumption is based on our behavioral data where we observed an interaction where cueing to contrast has a strong effect on the ability to perform motion coherence discriminations.</w:t>
      </w:r>
    </w:p>
    <w:p w14:paraId="67A50972" w14:textId="219A9BE2" w:rsidR="009F0369" w:rsidRDefault="009F0369" w:rsidP="00C20F60"/>
    <w:p w14:paraId="19BBEED7" w14:textId="77777777" w:rsidR="0044545E" w:rsidRPr="00C20F60" w:rsidRDefault="005F6587" w:rsidP="00C20F60">
      <w:pPr>
        <w:rPr>
          <w:b/>
        </w:rPr>
      </w:pPr>
      <w:r w:rsidRPr="00C20F60">
        <w:rPr>
          <w:b/>
        </w:rPr>
        <w:t>Discussion</w:t>
      </w:r>
    </w:p>
    <w:p w14:paraId="22043F71" w14:textId="5BAC94E2" w:rsidR="00A004D3" w:rsidRDefault="00FF1313" w:rsidP="001F170F">
      <w:pPr>
        <w:ind w:firstLine="720"/>
        <w:jc w:val="both"/>
      </w:pPr>
      <w:r>
        <w:t>Visual cortex in humans is organized in a hierarchical manner, from basic feature representations up to more complex representations of objects, motions, and scenes. The majority of activity in visual cortex proceeds in a feed-forward manner, from input via the lateral geniculate nucleus to V1 and upwards</w:t>
      </w:r>
      <w:r w:rsidR="00A004D3">
        <w:t xml:space="preserve"> </w:t>
      </w:r>
      <w:r w:rsidR="00A004D3">
        <w:fldChar w:fldCharType="begin"/>
      </w:r>
      <w:r w:rsidR="00995F03">
        <w:instrText xml:space="preserve"> ADDIN ZOTERO_ITEM CSL_CITATION {"citationID":"2htgnvcepk","properties":{"formattedCitation":"(Grill-Spector &amp; Malach, 2004)","plainCitation":"(Grill-Spector &amp; Malach, 2004)"},"citationItems":[{"id":16,"uris":["http://zotero.org/users/2176449/items/5JG4ZM7V"],"uri":["http://zotero.org/users/2176449/items/5JG4ZM7V"],"itemData":{"id":16,"type":"article-journal","title":"The Human Visual Cortex","container-title":"Annual Review of Neuroscience","page":"649-677","volume":"27","issue":"1","source":"CrossRef","DOI":"10.1146/annurev.neuro.27.070203.144220","ISSN":"0147-006X, 1545-4126","language":"en","author":[{"family":"Grill-Spector","given":"Kalanit"},{"family":"Malach","given":"Rafael"}],"issued":{"date-parts":[["2004",7,21]]},"accessed":{"date-parts":[["2014",11,30]]}}}],"schema":"https://github.com/citation-style-language/schema/raw/master/csl-citation.json"} </w:instrText>
      </w:r>
      <w:r w:rsidR="00A004D3">
        <w:fldChar w:fldCharType="separate"/>
      </w:r>
      <w:r w:rsidR="00A004D3" w:rsidRPr="00A004D3">
        <w:rPr>
          <w:rFonts w:ascii="Calibri" w:hAnsi="Calibri"/>
        </w:rPr>
        <w:t>(Grill-Spector &amp; Malach, 2004)</w:t>
      </w:r>
      <w:r w:rsidR="00A004D3">
        <w:fldChar w:fldCharType="end"/>
      </w:r>
      <w:r>
        <w:t xml:space="preserve">. Visual cortex also receives local inputs, inputs from other parts of visual cortex, and top-down modulation from other cortical regions. </w:t>
      </w:r>
      <w:r w:rsidR="002B7924">
        <w:t>This feed-forward connectivity predicts that there will be asymmetries in how</w:t>
      </w:r>
      <w:r w:rsidR="00A004D3">
        <w:t xml:space="preserve"> a local modulation of activity will spread through cortex</w:t>
      </w:r>
      <w:r w:rsidR="002B7924">
        <w:t xml:space="preserve">. Modulations of V1, for example, are likely to be pushed forward into other visual regions. In contrast, modulation of downstream regions such as </w:t>
      </w:r>
      <w:proofErr w:type="spellStart"/>
      <w:r w:rsidR="002B7924">
        <w:t>hMT</w:t>
      </w:r>
      <w:proofErr w:type="spellEnd"/>
      <w:r w:rsidR="002B7924">
        <w:t>+ are unlikely to spread back to the earlier visual regions.</w:t>
      </w:r>
      <w:r w:rsidR="00A004D3">
        <w:t xml:space="preserve"> </w:t>
      </w:r>
      <w:r w:rsidR="006520C7">
        <w:t xml:space="preserve">At the most extreme we can hypothesize that feature specific modulations of a cortical region, such as those introduced by covert feature-based attention, might introduce noise into other visual regions. </w:t>
      </w:r>
      <w:r w:rsidR="00AA4480">
        <w:t xml:space="preserve">We suspect that these mechanics may be responsible for a previously unexplained asymmetry in human performance on dual-tasks involving scene gist recognition. It is known that under some demanding viewing conditions subjects can recognize scene gist for an unattended scene at the same accuracy as under free-viewing </w:t>
      </w:r>
      <w:r w:rsidR="00AA4480">
        <w:fldChar w:fldCharType="begin"/>
      </w:r>
      <w:r w:rsidR="00AA4480">
        <w:instrText xml:space="preserve"> ADDIN ZOTERO_ITEM CSL_CITATION {"citationID":"2m7vi6am1l","properties":{"formattedCitation":"(Li et al., 2002)","plainCitation":"(Li et al., 2002)"},"citationItems":[{"id":"4XkRmygP/Ic0dQS6K","uris":["http://www.mendeley.com/documents/?uuid=74ca1560-2d03-4f9d-b236-cdc30cd37c67"],"uri":["http://www.mendeley.com/documents/?uuid=74ca1560-2d03-4f9d-b236-cdc30cd37c67"],"itemData":{"DOI":"10.1073/pnas.092277599","ISSN":"0027-8424","PMID":"12077298","abstract":"What can we see when we do not pay attention? It is well known that we can be \"blind\" even to major aspects of natural scenes when we attend elsewhere. The only tasks that do not need attention appear to be carried out in the early stages of the visual system. Contrary to this common belief, we report that subjects can rapidly detect animals or vehicles in briefly presented novel natural scenes while simultaneously performing another attentionally demanding task. By comparison, they are unable to discriminate large T's from L's, or bisected two-color disks from their mirror images under the same conditions. We conclude that some visual tasks associated with \"high-level\" cortical areas may proceed in the near absence of attention.","author":[{"dropping-particle":"","family":"Li","given":"Fei Fei","non-dropping-particle":"","parse-names":false,"suffix":""},{"dropping-particle":"","family":"VanRullen","given":"Rufin","non-dropping-particle":"","parse-names":false,"suffix":""},{"dropping-particle":"","family":"Koch","given":"Christof","non-dropping-particle":"","parse-names":false,"suffix":""},{"dropping-particle":"","family":"Perona","given":"Pietro","non-dropping-particle":"","parse-names":false,"suffix":""}],"container-title":"Proceedings of the National Academy of Sciences of the United States of America","id":"4XkRmygP/Ic0dQS6K","issue":"14","issued":{"year":2002,"month":7,"day":9},"page":"9596-601","title":"Rapid natural scene categorization in the near absence of attention.","type":"article-journal","volume":"99","page-first":"9596","container-title-short":"Proc. Natl. Acad. Sci. U. S. A."}}],"schema":"https://github.com/citation-style-language/schema/raw/master/csl-citation.json"} </w:instrText>
      </w:r>
      <w:r w:rsidR="00AA4480">
        <w:fldChar w:fldCharType="separate"/>
      </w:r>
      <w:r w:rsidR="00AA4480" w:rsidRPr="00AA4480">
        <w:rPr>
          <w:rFonts w:ascii="Calibri" w:hAnsi="Calibri"/>
        </w:rPr>
        <w:t>(Li et al., 2002)</w:t>
      </w:r>
      <w:r w:rsidR="00AA4480">
        <w:fldChar w:fldCharType="end"/>
      </w:r>
      <w:r w:rsidR="00AA4480">
        <w:t xml:space="preserve">. This relationship breaks down in certain specific circumstances, such as when participants attend to motion </w:t>
      </w:r>
      <w:r w:rsidR="00AA4480">
        <w:fldChar w:fldCharType="begin"/>
      </w:r>
      <w:r w:rsidR="00995F03">
        <w:instrText xml:space="preserve"> ADDIN ZOTERO_ITEM CSL_CITATION {"citationID":"2l4phe8u8g","properties":{"formattedCitation":"(Cohen et al., 2011)","plainCitation":"(Cohen et al., 2011)"},"citationItems":[{"id":67,"uris":["http://zotero.org/users/2176449/items/F72EU5QP"],"uri":["http://zotero.org/users/2176449/items/F72EU5QP"],"itemData":{"id":67,"type":"article-journal","title":"Natural-scene perception requires attention.","container-title":"Psychological science","page":"1165-72","volume":"22","issue":"9","abstract":"Is visual attention required for visual consciousness? In the past decade, many researchers have claimed that awareness can arise in the absence of attention. This claim is largely based on the notion that natural scene (or \"gist\") perception occurs without attention. This article presents evidence against this idea. We show that when observers perform a variety of demanding, sustained-attention tasks, inattentional blindness occurs for natural scenes. In addition, scene perception is impaired under dual-task conditions, but only when the primary task is sufficiently demanding. This finding suggests that previous studies that have been interpreted as demonstrating scene perception without attention failed to fully engage attention and that natural-scene perception does indeed require attention. Thus, natural-scene perception is not a preattentive process and cannot be used to support the idea of awareness without attention.","DOI":"10.1177/0956797611419168","author":[{"family":"Cohen","given":"Michael a"},{"family":"Alvarez","given":"George a"},{"family":"Nakayama","given":"Ken"}],"issued":{"date-parts":[["2011",9]]}}}],"schema":"https://github.com/citation-style-language/schema/raw/master/csl-citation.json"} </w:instrText>
      </w:r>
      <w:r w:rsidR="00AA4480">
        <w:fldChar w:fldCharType="separate"/>
      </w:r>
      <w:r w:rsidR="00AA4480" w:rsidRPr="00AA4480">
        <w:rPr>
          <w:rFonts w:ascii="Calibri" w:hAnsi="Calibri"/>
        </w:rPr>
        <w:t>(Cohen et al., 2011)</w:t>
      </w:r>
      <w:r w:rsidR="00AA4480">
        <w:fldChar w:fldCharType="end"/>
      </w:r>
      <w:r w:rsidR="00AA4480">
        <w:t>. This study was designed to test the hypothesis that hierarchical organization may be sufficient to explain similar performance asymmetries found for judgments of contrast and motion coherence.</w:t>
      </w:r>
      <w:r w:rsidR="00232D01">
        <w:t xml:space="preserve"> Explaining this apparent asymmetry would fill a gap in our understanding of how selective attention impacts visual awareness. </w:t>
      </w:r>
    </w:p>
    <w:p w14:paraId="1305BF91" w14:textId="01D63E65" w:rsidR="00122CB0" w:rsidRDefault="00A54A97" w:rsidP="001F170F">
      <w:pPr>
        <w:jc w:val="both"/>
      </w:pPr>
      <w:r>
        <w:tab/>
        <w:t>We found that</w:t>
      </w:r>
      <w:r w:rsidR="00294F66">
        <w:t xml:space="preserve"> performance did not suffer equally when participants were asked to judge contrast while cued to coherence compared to the reverse. Discrimination performance for coherence judgments was markedly reduced, while on average subjects showed </w:t>
      </w:r>
      <w:r w:rsidR="001E096E">
        <w:t>only a small</w:t>
      </w:r>
      <w:r w:rsidR="00294F66">
        <w:t xml:space="preserve"> change in contrast discrimination</w:t>
      </w:r>
      <w:r w:rsidR="001E096E">
        <w:t xml:space="preserve"> when cued to motion coherence. A portion of this effect may be due to attention “splitting” between the main motion coherence task and the un-cued contrast discrimination task. We observed that there was a difference between performance on motion coherence discrimination between these task runs, which include miscued contrast trials, and control runs which included only motion coherence trials. </w:t>
      </w:r>
      <w:r w:rsidR="004C4DF7">
        <w:t xml:space="preserve">This difference may be due in part to the relative ease of performing the </w:t>
      </w:r>
      <w:r w:rsidR="004C4DF7">
        <w:lastRenderedPageBreak/>
        <w:t xml:space="preserve">contrast discrimination relative to the motion coherence discrimination. Participants did not require training to perform contrast judgments, but all subjects required a minimum of thirty minutes and up to two hours of training before motion coherence discrimination thresholds stabilized. </w:t>
      </w:r>
      <w:r w:rsidR="00122CB0">
        <w:t xml:space="preserve">Controlling for task difficulty through </w:t>
      </w:r>
      <w:proofErr w:type="spellStart"/>
      <w:r w:rsidR="00122CB0">
        <w:t>staircasing</w:t>
      </w:r>
      <w:proofErr w:type="spellEnd"/>
      <w:r w:rsidR="00122CB0">
        <w:t xml:space="preserve"> should have eliminated most of this confound and its presence still doesn’t undermine our more general finding: coherence discriminations are particularly difficult when attention is cued to contrast. Even if this result is in part due to a lack of training (which is also testable) we still expect the neural data to match the variance in the behavioral data</w:t>
      </w:r>
    </w:p>
    <w:p w14:paraId="1C994FB7" w14:textId="06080C3C" w:rsidR="00161555" w:rsidRDefault="000271EB" w:rsidP="001F170F">
      <w:pPr>
        <w:jc w:val="both"/>
      </w:pPr>
      <w:r>
        <w:tab/>
        <w:t xml:space="preserve">We interpret our behavioral findings as support for the overall hypothesis that </w:t>
      </w:r>
      <w:r w:rsidR="008E7165">
        <w:t xml:space="preserve">there are asymmetries in how features interact during perceptual discrimination. We believe this is due to the </w:t>
      </w:r>
      <w:r>
        <w:t>hierarchical organization in cortex.</w:t>
      </w:r>
      <w:r w:rsidR="005120D3">
        <w:t xml:space="preserve"> To fully characterize this relationship we also recorded neural activity from the visual cortex. We isolated activity from two visual regions, V1 and </w:t>
      </w:r>
      <w:proofErr w:type="spellStart"/>
      <w:r w:rsidR="005120D3">
        <w:t>hMT</w:t>
      </w:r>
      <w:proofErr w:type="spellEnd"/>
      <w:r w:rsidR="005120D3">
        <w:t>+, that are likely candidates for the neural correlates of visual perception for contrast and motion coherence respectively.</w:t>
      </w:r>
      <w:r w:rsidR="002F5C16">
        <w:t xml:space="preserve"> Other studies have identified V1 activity as sufficient to fully explain behavioral performance on contrast judgments </w:t>
      </w:r>
      <w:r w:rsidR="002F5C16">
        <w:fldChar w:fldCharType="begin"/>
      </w:r>
      <w:r w:rsidR="00995F03">
        <w:instrText xml:space="preserve"> ADDIN ZOTERO_ITEM CSL_CITATION {"citationID":"2jc7qjub9e","properties":{"formattedCitation":"(Itthipuripat et al., 2014; Pestilli et al., 2011)","plainCitation":"(Itthipuripat et al., 2014; Pestilli et al., 2011)"},"citationItems":[{"id":83,"uris":["http://zotero.org/users/2176449/items/GG2ADKKD"],"uri":["http://zotero.org/users/2176449/items/GG2ADKKD"],"itemData":{"id":83,"type":"article-journal","title":"Sensory Gain Outperforms Efficient Readout Mechanisms in Predicting Attention-Related Improvements in Behavior","container-title":"Journal of Neuroscience","page":"13384-13398","volume":"34","issue":"40","DOI":"10.1523/JNEUROSCI.2277-14.2014","author":[{"family":"Itthipuripat","given":"S."},{"family":"Ester","given":"E. F."},{"family":"Deering","given":"S."},{"family":"Serences","given":"J. T."}],"issued":{"date-parts":[["2014",10]]}}},{"id":47,"uris":["http://zotero.org/users/2176449/items/BJIUWIKG"],"uri":["http://zotero.org/users/2176449/items/BJIUWIKG"],"itemData":{"id":47,"type":"article-journal","title":"Attentional enhancement via selection and pooling of early sensory responses in human visual cortex.","container-title":"Neuron","page":"832-46","volume":"72","issue":"5","abstract":"The computational processes by which attention improves behavioral performance were characterized by measuring visual cortical activity with functional magnetic resonance imaging as humans performed a contrast-discrimination task with focal and distributed attention. Focal attention yielded robust improvements in behavioral performance accompanied by increases in cortical responses. Quantitative analysis revealed that if performance were limited only by the sensitivity of the measured sensory signals, the improvements in behavioral performance would have corresponded to an unrealistically large reduction in response variability. Instead, behavioral performance was well characterized by a pooling and selection process for which the largest sensory responses, those most strongly modulated by attention, dominated the perceptual decision. This characterization predicts that high-contrast distracters that evoke large responses should negatively impact behavioral performance. We tested and confirmed this prediction. We conclude that attention enhanced behavioral performance predominantly by enabling efficient selection of the behaviorally relevant sensory signals.","DOI":"10.1016/j.neuron.2011.09.025","author":[{"family":"Pestilli","given":"Franco"},{"family":"Carrasco","given":"Marisa"},{"family":"Heeger","given":"David J"},{"family":"Gardner","given":"Justin L"}],"issued":{"date-parts":[["2011",12]]}}}],"schema":"https://github.com/citation-style-language/schema/raw/master/csl-citation.json"} </w:instrText>
      </w:r>
      <w:r w:rsidR="002F5C16">
        <w:fldChar w:fldCharType="separate"/>
      </w:r>
      <w:r w:rsidR="002F5C16" w:rsidRPr="002F5C16">
        <w:rPr>
          <w:rFonts w:ascii="Calibri" w:hAnsi="Calibri"/>
        </w:rPr>
        <w:t>(Itthipuripat et al., 2014; Pestilli et al., 2011)</w:t>
      </w:r>
      <w:r w:rsidR="002F5C16">
        <w:fldChar w:fldCharType="end"/>
      </w:r>
      <w:r w:rsidR="002F5C16">
        <w:t xml:space="preserve">. Because similar studies have not been performed for discrimination of motion coherence we plan to test our models to establish this fact for </w:t>
      </w:r>
      <w:proofErr w:type="spellStart"/>
      <w:r w:rsidR="002F5C16">
        <w:t>hMT</w:t>
      </w:r>
      <w:proofErr w:type="spellEnd"/>
      <w:r w:rsidR="002F5C16">
        <w:t xml:space="preserve">+ as well (this </w:t>
      </w:r>
      <w:r w:rsidR="00331372">
        <w:t xml:space="preserve">part of the project is in progress). </w:t>
      </w:r>
      <w:r w:rsidR="00C60836">
        <w:t xml:space="preserve">In addition, we will test whether </w:t>
      </w:r>
      <w:proofErr w:type="spellStart"/>
      <w:r w:rsidR="00C60836">
        <w:t>hMT</w:t>
      </w:r>
      <w:proofErr w:type="spellEnd"/>
      <w:r w:rsidR="00C60836">
        <w:t>+ is affected by attention to contrast, but that V1 is unaffected by attention to motion as our hierarchical model predicts.</w:t>
      </w:r>
      <w:r w:rsidR="00344DE8">
        <w:t xml:space="preserve"> Figure 5 shows our predictions about how the neural data might appear if these hypotheses turn out to be true.</w:t>
      </w:r>
    </w:p>
    <w:p w14:paraId="1E07BCA0" w14:textId="09A6DDB3" w:rsidR="007D0CA4" w:rsidRDefault="00161555" w:rsidP="001F170F">
      <w:pPr>
        <w:ind w:firstLine="720"/>
        <w:jc w:val="both"/>
      </w:pPr>
      <w:r>
        <w:t xml:space="preserve">Our full results, including the </w:t>
      </w:r>
      <w:r w:rsidR="009F493D">
        <w:t xml:space="preserve">complete neural data analysis and the </w:t>
      </w:r>
      <w:r>
        <w:t xml:space="preserve">model analysis, remains to be completed, but the initial </w:t>
      </w:r>
      <w:r w:rsidR="000040A4">
        <w:t xml:space="preserve">behavioral </w:t>
      </w:r>
      <w:r>
        <w:t xml:space="preserve">findings point towards the hypothesis we outlined. We suggested that </w:t>
      </w:r>
      <w:r w:rsidR="00B200B9">
        <w:t xml:space="preserve">taking into account the hierarchical nature of visual cortex might be sufficient account for contradictory results in the inattentional blindness literature. </w:t>
      </w:r>
      <w:r>
        <w:t xml:space="preserve">We tested </w:t>
      </w:r>
      <w:r w:rsidR="00B200B9">
        <w:t xml:space="preserve">this hypothesis using </w:t>
      </w:r>
      <w:r>
        <w:t>contrast and motion coherence, two features represented in hierarc</w:t>
      </w:r>
      <w:r w:rsidR="00011716">
        <w:t>hically distinct parts of cortex</w:t>
      </w:r>
      <w:r>
        <w:t>.</w:t>
      </w:r>
      <w:r w:rsidR="00011716">
        <w:t xml:space="preserve"> We found that our behavioral results are consistent with the overall hypothesis. It remains to be seen whether the full </w:t>
      </w:r>
      <w:r w:rsidR="00875552">
        <w:t>model analysis</w:t>
      </w:r>
      <w:r w:rsidR="00011716">
        <w:t xml:space="preserve"> as well as our neural data also point towards a cohesive view.</w:t>
      </w:r>
      <w:r>
        <w:t xml:space="preserve"> </w:t>
      </w:r>
      <w:r w:rsidR="002D620A">
        <w:t xml:space="preserve">In addition, if this is a general feature of hierarchically organized cortex we might expect a number of unexpected interactions to exist between stimulus dimensions. </w:t>
      </w:r>
      <w:r w:rsidR="006B3AFD">
        <w:t>Future work will need to extend these findings into other feature domains and test whether this is a general principle of cortical connectivity.</w:t>
      </w:r>
      <w:r w:rsidR="00FC04D6">
        <w:t xml:space="preserve"> If our results extend into other feature domains then this is strong evidence that attention and awareness are more complex than expected. The effect of ‘attention’ to any specific location or feature cannot be predicted without full knowledge of the context</w:t>
      </w:r>
      <w:r w:rsidR="00F409F7">
        <w:t xml:space="preserve">. This includes the specifics of the attended stimuli and of all unattended stimuli. This more complex picture of attention and awareness is not necessarily less understandable, but it requires taking into knowledge of the neural dynamics and cortical connectivity. </w:t>
      </w:r>
      <w:r w:rsidR="007D0CA4">
        <w:t xml:space="preserve">Further testing of this </w:t>
      </w:r>
      <w:r w:rsidR="00BB3DAC">
        <w:t xml:space="preserve">attention-awareness </w:t>
      </w:r>
      <w:r w:rsidR="007D0CA4">
        <w:t xml:space="preserve">hypothesis in other domains will help establish whether </w:t>
      </w:r>
      <w:r w:rsidR="00BB3DAC">
        <w:t>attention always interacts with perception in context specific ways, or whether there are regions of cortex where local connectivity plays a less pronounced role.</w:t>
      </w:r>
    </w:p>
    <w:p w14:paraId="3DCCEBA2" w14:textId="29DC0C69" w:rsidR="006112AC" w:rsidRDefault="006112AC" w:rsidP="00C20F60">
      <w:r>
        <w:br w:type="page"/>
      </w:r>
      <w:r w:rsidR="00331372">
        <w:lastRenderedPageBreak/>
        <w:tab/>
      </w:r>
    </w:p>
    <w:p w14:paraId="111E572A" w14:textId="11F3570F" w:rsidR="00165925" w:rsidRDefault="00165925" w:rsidP="00C20F60">
      <w:r>
        <w:rPr>
          <w:noProof/>
        </w:rPr>
        <w:drawing>
          <wp:inline distT="0" distB="0" distL="0" distR="0" wp14:anchorId="4AEBAEB9" wp14:editId="3BE66D13">
            <wp:extent cx="5939155" cy="4161790"/>
            <wp:effectExtent l="0" t="0" r="4445" b="0"/>
            <wp:docPr id="3" name="Picture 3" descr="rainbowRaid:Users:dan:proj:att_awe:analysis:figures:behav:multi_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inbowRaid:Users:dan:proj:att_awe:analysis:figures:behav:multi_plot.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4161790"/>
                    </a:xfrm>
                    <a:prstGeom prst="rect">
                      <a:avLst/>
                    </a:prstGeom>
                    <a:noFill/>
                    <a:ln>
                      <a:noFill/>
                    </a:ln>
                  </pic:spPr>
                </pic:pic>
              </a:graphicData>
            </a:graphic>
          </wp:inline>
        </w:drawing>
      </w:r>
    </w:p>
    <w:p w14:paraId="54029E14" w14:textId="15A63FCE" w:rsidR="00165925" w:rsidRDefault="00165925" w:rsidP="00C20F60">
      <w:r>
        <w:t xml:space="preserve">Figure </w:t>
      </w:r>
      <w:r w:rsidR="00B379A0">
        <w:t>1</w:t>
      </w:r>
    </w:p>
    <w:p w14:paraId="393BD862" w14:textId="0B1C3F54" w:rsidR="00165925" w:rsidRDefault="00165925" w:rsidP="00BF4732">
      <w:pPr>
        <w:ind w:firstLine="720"/>
        <w:jc w:val="both"/>
      </w:pPr>
      <w:r>
        <w:t>Estimated Discrimination Thresholds Across Participants</w:t>
      </w:r>
      <w:r w:rsidR="00F1240D">
        <w:t xml:space="preserve">. Each participant was shown several hundred trials in which two moving dot displays varied in both contrast and coherence. On each trial they made a discrimination judgment about which display had a higher feature intensity. On control runs they were cued to attend to the same feature that they discriminated. On task runs they were mostly cued to the correct feature, but 15% of trials were “miscued”: participants had to respond about the unattended feature. We fit each participant’s raw performance at different feature intensity differences to a </w:t>
      </w:r>
      <w:proofErr w:type="spellStart"/>
      <w:r w:rsidR="00F1240D">
        <w:t>Weibull</w:t>
      </w:r>
      <w:proofErr w:type="spellEnd"/>
      <w:r w:rsidR="00F1240D">
        <w:t xml:space="preserve"> function (</w:t>
      </w:r>
      <w:r w:rsidR="00C14C69">
        <w:t>equation 1</w:t>
      </w:r>
      <w:r w:rsidR="00F1240D">
        <w:t xml:space="preserve">) and extracted </w:t>
      </w:r>
      <w:r w:rsidR="00437C58">
        <w:t>“</w:t>
      </w:r>
      <w:r w:rsidR="00F1240D">
        <w:t xml:space="preserve">threshold” performance, corresponding to </w:t>
      </w:r>
      <w:r w:rsidR="00C14C69">
        <w:t>82</w:t>
      </w:r>
      <w:r w:rsidR="00F1240D">
        <w:t xml:space="preserve">% correct. </w:t>
      </w:r>
      <w:r w:rsidR="00437C58">
        <w:t>Threshold performance is plotted here by feature and condition for each subject individually. We observed a relatively stable pattern</w:t>
      </w:r>
      <w:r w:rsidR="006061E8">
        <w:t xml:space="preserve"> where</w:t>
      </w:r>
      <w:r w:rsidR="00437C58">
        <w:t xml:space="preserve"> miscued judgments about motion coherence were much more difficult (i.e. a larger difference in feature intensity was required for the same performance) than miscued judgments about contrast.</w:t>
      </w:r>
      <w:r w:rsidR="005C268C">
        <w:t xml:space="preserve"> We expected that if participants were focusing their attention entirely on the cued feature, as directed, their performance on the control and task cued trials would be identical. This was the case for contrast, but not for motion coherence where we found that performance was better during control runs compared to task cued runs. We directly compared discrimination across features by normalizing these data to the control runs, see Figure 2 and text for more details.</w:t>
      </w:r>
    </w:p>
    <w:p w14:paraId="45385DC7" w14:textId="5E07ADBC" w:rsidR="00C2533D" w:rsidRDefault="00790755" w:rsidP="00C20F60">
      <w:r>
        <w:rPr>
          <w:noProof/>
        </w:rPr>
        <w:lastRenderedPageBreak/>
        <w:drawing>
          <wp:inline distT="0" distB="0" distL="0" distR="0" wp14:anchorId="2D50D9D9" wp14:editId="13EF4A72">
            <wp:extent cx="5920105" cy="3775075"/>
            <wp:effectExtent l="0" t="0" r="0" b="9525"/>
            <wp:docPr id="1" name="Picture 1" descr="rainbowRaid:Users:dan:proj:att_awe:analysis:figures:behav:300_inse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inbowRaid:Users:dan:proj:att_awe:analysis:figures:behav:300_inset.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0105" cy="3775075"/>
                    </a:xfrm>
                    <a:prstGeom prst="rect">
                      <a:avLst/>
                    </a:prstGeom>
                    <a:noFill/>
                    <a:ln>
                      <a:noFill/>
                    </a:ln>
                  </pic:spPr>
                </pic:pic>
              </a:graphicData>
            </a:graphic>
          </wp:inline>
        </w:drawing>
      </w:r>
    </w:p>
    <w:p w14:paraId="1E7284F2" w14:textId="2F0DD8AE" w:rsidR="00C2533D" w:rsidRDefault="00AB3B51" w:rsidP="00C20F60">
      <w:r>
        <w:t>Figure 2</w:t>
      </w:r>
    </w:p>
    <w:p w14:paraId="64B82050" w14:textId="3EC9FDF2" w:rsidR="00C2533D" w:rsidRPr="00C2533D" w:rsidRDefault="00C2533D" w:rsidP="00BF4732">
      <w:pPr>
        <w:ind w:firstLine="720"/>
        <w:jc w:val="both"/>
      </w:pPr>
      <w:r>
        <w:t xml:space="preserve">Normalized </w:t>
      </w:r>
      <w:r w:rsidR="008D5708">
        <w:t xml:space="preserve">Feature-Discrimination Functions. Feature discrimination </w:t>
      </w:r>
      <w:r w:rsidR="00C14C69">
        <w:t xml:space="preserve">function fits (equation 1) </w:t>
      </w:r>
      <w:r w:rsidR="008D5708">
        <w:t>are shown for subject 300 and averaged across participants in the inset. Performance was relatively consistent for all participants in the contrast discrimination trials for both control runs, task cued trials, and task miscued trials. In contrast, motion coherence discrimination suffered during task miscued trials. Performance on motion coherence also suffered a smaller amount during task cued trials, suggesting a possible confound of task difficulty (see the text for details). Discrimination function slopes were relatively consistent across both tasks and conditions, so we compared only the estimated thresholds to determine effect size. We computed a mixed-effects analysis predicting</w:t>
      </w:r>
      <w:r w:rsidR="00B30F14">
        <w:t xml:space="preserve"> normalized</w:t>
      </w:r>
      <w:r w:rsidR="00E26B1B">
        <w:t xml:space="preserve"> thresholds </w:t>
      </w:r>
      <w:r w:rsidR="008B54A0">
        <w:t>from condition and task and their int</w:t>
      </w:r>
      <w:r w:rsidR="007D5D63">
        <w:t>eraction</w:t>
      </w:r>
      <w:r w:rsidR="0003168E">
        <w:t>.</w:t>
      </w:r>
      <w:r w:rsidR="007D5D63">
        <w:t xml:space="preserve"> </w:t>
      </w:r>
      <w:r w:rsidR="00E26B1B">
        <w:t xml:space="preserve">Thresholds were normalized within subject to account for individual variability. </w:t>
      </w:r>
      <w:r w:rsidR="007D5D63">
        <w:t>We found a significant interaction between a quadratic term estimating that task miscued thresholds were significantly higher than both control and task cued thresholds, beta = .82, t(59) = 2.08, p = .042.</w:t>
      </w:r>
      <w:r w:rsidR="00862389">
        <w:t xml:space="preserve"> The results obtained for subj. 300 during scanning were qualitatively similar to the results obtained during the behavioral runs.</w:t>
      </w:r>
    </w:p>
    <w:p w14:paraId="010C7A3C" w14:textId="034AD58C" w:rsidR="00C2533D" w:rsidRDefault="005961B1" w:rsidP="00C20F60">
      <w:r>
        <w:rPr>
          <w:noProof/>
        </w:rPr>
        <w:lastRenderedPageBreak/>
        <w:drawing>
          <wp:inline distT="0" distB="0" distL="0" distR="0" wp14:anchorId="583A7DA3" wp14:editId="07D4A1AB">
            <wp:extent cx="5939155" cy="5221605"/>
            <wp:effectExtent l="0" t="0" r="4445" b="10795"/>
            <wp:docPr id="7" name="Picture 7" descr="rainbowRaid:Users:dan:proj:att_awe:analysis:figures:roi:left_hemisphere_ROI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inbowRaid:Users:dan:proj:att_awe:analysis:figures:roi:left_hemisphere_ROIs.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5221605"/>
                    </a:xfrm>
                    <a:prstGeom prst="rect">
                      <a:avLst/>
                    </a:prstGeom>
                    <a:noFill/>
                    <a:ln>
                      <a:noFill/>
                    </a:ln>
                  </pic:spPr>
                </pic:pic>
              </a:graphicData>
            </a:graphic>
          </wp:inline>
        </w:drawing>
      </w:r>
    </w:p>
    <w:p w14:paraId="36B1EDED" w14:textId="3133B061" w:rsidR="00E451CB" w:rsidRDefault="00AB3B51" w:rsidP="00C20F60">
      <w:r>
        <w:t>Figure 3</w:t>
      </w:r>
    </w:p>
    <w:p w14:paraId="12970B25" w14:textId="220FCAE4" w:rsidR="00165925" w:rsidRDefault="005536FA" w:rsidP="00BF4732">
      <w:pPr>
        <w:ind w:firstLine="720"/>
        <w:jc w:val="both"/>
      </w:pPr>
      <w:r>
        <w:t xml:space="preserve">Surface Visualization of Left Hemisphere Regions of Interest (ROIs). Regions were first defined retinotopically on a flattened visualization of the left hemisphere occipital cortex according to established criteria </w:t>
      </w:r>
      <w:r>
        <w:fldChar w:fldCharType="begin"/>
      </w:r>
      <w:r w:rsidR="00995F03">
        <w:instrText xml:space="preserve"> ADDIN ZOTERO_ITEM CSL_CITATION {"citationID":"2k2c7sbldt","properties":{"formattedCitation":"(Wandell et al., 2007)","plainCitation":"(Wandell et al., 2007)"},"citationItems":[{"id":419,"uris":["http://zotero.org/users/2176449/items/B9MB4ZZB"],"uri":["http://zotero.org/users/2176449/items/B9MB4ZZB"],"itemData":{"id":419,"type":"article-journal","title":"Visual Field Maps in Human Cortex","container-title":"Neuron","page":"366-383","volume":"56","issue":"2","source":"CrossRef","DOI":"10.1016/j.neuron.2007.10.012","ISSN":"08966273","language":"en","author":[{"family":"Wandell","given":"Brian A."},{"family":"Dumoulin","given":"Serge O."},{"family":"Brewer","given":"Alyssa A."}],"issued":{"date-parts":[["2007",10]]},"accessed":{"date-parts":[["2015",5,28]]}}}],"schema":"https://github.com/citation-style-language/schema/raw/master/csl-citation.json"} </w:instrText>
      </w:r>
      <w:r>
        <w:fldChar w:fldCharType="separate"/>
      </w:r>
      <w:r>
        <w:rPr>
          <w:noProof/>
        </w:rPr>
        <w:t>(Wandell et al., 2007)</w:t>
      </w:r>
      <w:r>
        <w:fldChar w:fldCharType="end"/>
      </w:r>
      <w:r>
        <w:t>. First, a population receptive field model was fit to the voxels in occipital cortex. Second, visual areas were defined according to the polar angle flips at visual area boundaries. Voxels were then projected onto an inflated surface for visualization. Area MT was also defined according to a functional localizer</w:t>
      </w:r>
      <w:r w:rsidR="005961B1">
        <w:t xml:space="preserve"> by correlating BOLD activation to a 12 s ON, 12 s OFF motion stimulus with a sinusoidal wave. Area </w:t>
      </w:r>
      <w:proofErr w:type="spellStart"/>
      <w:r w:rsidR="005961B1">
        <w:t>hMT</w:t>
      </w:r>
      <w:proofErr w:type="spellEnd"/>
      <w:r w:rsidR="005961B1">
        <w:t>+ was identified by restrict</w:t>
      </w:r>
      <w:r w:rsidR="009870C9">
        <w:t xml:space="preserve">ing </w:t>
      </w:r>
      <w:r w:rsidR="00412F51">
        <w:t xml:space="preserve">the ROI to </w:t>
      </w:r>
      <w:r w:rsidR="009870C9">
        <w:t>voxel</w:t>
      </w:r>
      <w:r w:rsidR="00412F51">
        <w:t xml:space="preserve">s with a correlation </w:t>
      </w:r>
      <w:r w:rsidR="005961B1">
        <w:t xml:space="preserve">greater than 0.1 and excluding voxels in the retinotopically defined early visual areas (V1, V2, and V3). </w:t>
      </w:r>
      <w:r w:rsidR="00412F51">
        <w:t xml:space="preserve">Functionally defined </w:t>
      </w:r>
      <w:proofErr w:type="spellStart"/>
      <w:r w:rsidR="00412F51">
        <w:t>hMT</w:t>
      </w:r>
      <w:proofErr w:type="spellEnd"/>
      <w:r w:rsidR="00412F51">
        <w:t xml:space="preserve">+ overlaps completely with the retinotopically defined area. </w:t>
      </w:r>
    </w:p>
    <w:p w14:paraId="712954B2" w14:textId="6E883434" w:rsidR="002B61CB" w:rsidRDefault="00C2533D" w:rsidP="00C20F60">
      <w:r>
        <w:br w:type="page"/>
      </w:r>
    </w:p>
    <w:p w14:paraId="47853595" w14:textId="6ADC7410" w:rsidR="00C2533D" w:rsidRDefault="00366327" w:rsidP="00C20F60">
      <w:r>
        <w:rPr>
          <w:noProof/>
        </w:rPr>
        <w:lastRenderedPageBreak/>
        <w:pict w14:anchorId="0A3A76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5.45pt">
            <v:imagedata r:id="rId17" o:title="l_activation_rel_rois-01"/>
          </v:shape>
        </w:pict>
      </w:r>
    </w:p>
    <w:p w14:paraId="32A34059" w14:textId="13FB8F18" w:rsidR="002B61CB" w:rsidRDefault="00AB3B51" w:rsidP="00C20F60">
      <w:r>
        <w:t>Figure 4</w:t>
      </w:r>
    </w:p>
    <w:p w14:paraId="3AA9CD5F" w14:textId="39278D9F" w:rsidR="008D5708" w:rsidRDefault="0063721F" w:rsidP="00BF4732">
      <w:pPr>
        <w:ind w:firstLine="720"/>
        <w:jc w:val="both"/>
      </w:pPr>
      <w:r>
        <w:t>Event-Related Deconvolution Variance Explained</w:t>
      </w:r>
      <w:r w:rsidR="002B61CB">
        <w:t xml:space="preserve"> Displayed on Flattened ROIs. After performing the event-related deconvolution (see Metho</w:t>
      </w:r>
      <w:r w:rsidR="00465718">
        <w:t xml:space="preserve">ds) all voxels surviving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465718">
        <w:t xml:space="preserve"> </w:t>
      </w:r>
      <w:r w:rsidR="002B61CB">
        <w:t xml:space="preserve">threshold of 0.2 are shown relative to the </w:t>
      </w:r>
      <w:r w:rsidR="00465718">
        <w:t>retinotopically</w:t>
      </w:r>
      <w:r w:rsidR="002B61CB">
        <w:t xml:space="preserve"> defined V1 and </w:t>
      </w:r>
      <w:proofErr w:type="spellStart"/>
      <w:r w:rsidR="002B61CB">
        <w:t>hMT</w:t>
      </w:r>
      <w:proofErr w:type="spellEnd"/>
      <w:r w:rsidR="002B61CB">
        <w:t xml:space="preserve">+ ROIs in a left hemisphere occipital cortex flat map. </w:t>
      </w:r>
      <w:r w:rsidR="00465718">
        <w:t>Heat map</w:t>
      </w:r>
      <w:r w:rsidR="002B61CB">
        <w:t xml:space="preserve"> colors indicate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B61CB">
        <w:t xml:space="preserve"> values across the region. Note that the screen display was a rectangle approximately 3 to 11 de</w:t>
      </w:r>
      <w:proofErr w:type="spellStart"/>
      <w:r w:rsidR="002B61CB">
        <w:t>grees</w:t>
      </w:r>
      <w:proofErr w:type="spellEnd"/>
      <w:r w:rsidR="002B61CB">
        <w:t xml:space="preserve"> eccentric from fixation, extending 5 degrees above and </w:t>
      </w:r>
      <w:r w:rsidR="008C25BC">
        <w:t>below t</w:t>
      </w:r>
      <w:r w:rsidR="002B61CB">
        <w:t>he midline.</w:t>
      </w:r>
      <w:r w:rsidR="00465718">
        <w:t xml:space="preserve"> We see active responses as expected in V1 and both dorsal and ventral V2 and V3, as well as a patch of responses in </w:t>
      </w:r>
      <w:proofErr w:type="spellStart"/>
      <w:r w:rsidR="00465718">
        <w:t>hMT</w:t>
      </w:r>
      <w:proofErr w:type="spellEnd"/>
      <w:r w:rsidR="00465718">
        <w:t>+.</w:t>
      </w:r>
      <w:r w:rsidR="00B80C19">
        <w:t xml:space="preserve"> We also observed retinotopically consistent activation in V4, LO-1 and LO-2, and V3a/b</w:t>
      </w:r>
      <w:r w:rsidR="006A0451">
        <w:t>.</w:t>
      </w:r>
    </w:p>
    <w:p w14:paraId="3D70E46E" w14:textId="2EF8175E" w:rsidR="006A0451" w:rsidRDefault="006A0451" w:rsidP="00C20F60">
      <w:r>
        <w:br w:type="page"/>
      </w:r>
    </w:p>
    <w:p w14:paraId="42C6C435" w14:textId="493F9BAF" w:rsidR="00460F74" w:rsidRDefault="00C25B9A" w:rsidP="00C20F60">
      <w:r>
        <w:lastRenderedPageBreak/>
        <w:pict w14:anchorId="3538B286">
          <v:shape id="_x0000_i1027" type="#_x0000_t75" style="width:468pt;height:351pt">
            <v:imagedata r:id="rId18" o:title="pred_neural-01"/>
          </v:shape>
        </w:pict>
      </w:r>
    </w:p>
    <w:p w14:paraId="7EA54EF5" w14:textId="205CD1AA" w:rsidR="006A0451" w:rsidRDefault="00AB3B51" w:rsidP="00460F74">
      <w:r>
        <w:t>Figure 5</w:t>
      </w:r>
    </w:p>
    <w:p w14:paraId="4B53D529" w14:textId="0038D0C1" w:rsidR="006A0451" w:rsidRDefault="00460F74" w:rsidP="00BF4732">
      <w:pPr>
        <w:ind w:firstLine="720"/>
        <w:jc w:val="both"/>
      </w:pPr>
      <w:r w:rsidRPr="00460F74">
        <w:t>Predicted</w:t>
      </w:r>
      <w:r>
        <w:rPr>
          <w:sz w:val="20"/>
        </w:rPr>
        <w:t xml:space="preserve"> </w:t>
      </w:r>
      <w:r w:rsidR="006A0451">
        <w:t xml:space="preserve">Feature </w:t>
      </w:r>
      <w:r w:rsidR="00C14C69">
        <w:t>Response Functions. We computed the BOLD response</w:t>
      </w:r>
      <w:r w:rsidR="006A0451">
        <w:t xml:space="preserve"> in </w:t>
      </w:r>
      <w:r w:rsidR="00C14C69">
        <w:t xml:space="preserve">the average of responsive voxels in V1 and </w:t>
      </w:r>
      <w:proofErr w:type="spellStart"/>
      <w:r w:rsidR="00C14C69">
        <w:t>hMT</w:t>
      </w:r>
      <w:proofErr w:type="spellEnd"/>
      <w:r w:rsidR="00C14C69">
        <w:t>+ and then de-convolved the resp</w:t>
      </w:r>
      <w:r>
        <w:t>onse to all trials</w:t>
      </w:r>
      <w:r w:rsidR="000B508F">
        <w:t>.</w:t>
      </w:r>
      <w:r>
        <w:t xml:space="preserve"> This ‘average’ response was then refit with a GLM to estimate the amplitude for each of the different stimulus intensities presented, from 0 to 100% motion coherence and from 20 to 100% contrast. </w:t>
      </w:r>
      <w:r w:rsidR="000B508F">
        <w:t xml:space="preserve">These </w:t>
      </w:r>
      <w:r>
        <w:t xml:space="preserve">estimated </w:t>
      </w:r>
      <w:r w:rsidR="000B508F">
        <w:t xml:space="preserve">amplitudes </w:t>
      </w:r>
      <w:r w:rsidR="00C14C69">
        <w:t>values were then fit with the Naka-Rushton equation (equation 2)</w:t>
      </w:r>
      <w:r w:rsidR="000B508F">
        <w:t xml:space="preserve"> to reduce noise </w:t>
      </w:r>
      <w:r>
        <w:t>across estimates</w:t>
      </w:r>
      <w:r w:rsidR="000B508F">
        <w:t xml:space="preserve">. </w:t>
      </w:r>
      <w:r>
        <w:t>Our prediction about these equation fits is shown above. We expect to see that the intensity of contrast presented will directly influence</w:t>
      </w:r>
      <w:r w:rsidR="00C25B9A">
        <w:t xml:space="preserve"> responses in</w:t>
      </w:r>
      <w:r>
        <w:t xml:space="preserve"> both V1 and </w:t>
      </w:r>
      <w:proofErr w:type="spellStart"/>
      <w:r>
        <w:t>hMT</w:t>
      </w:r>
      <w:proofErr w:type="spellEnd"/>
      <w:r>
        <w:t xml:space="preserve">+. </w:t>
      </w:r>
      <w:r w:rsidR="00C25B9A">
        <w:t xml:space="preserve">But, we don’t expect that cueing condition will have a large effect on the responses to contrast in either cortical region. On the other hand we expect that V1 will not be responsive to motion coherence intensity, but that </w:t>
      </w:r>
      <w:proofErr w:type="spellStart"/>
      <w:r w:rsidR="00C25B9A">
        <w:t>hMT</w:t>
      </w:r>
      <w:proofErr w:type="spellEnd"/>
      <w:r w:rsidR="00C25B9A">
        <w:t>+ will. In addition, we expect (based on our behavioral results) that there is a large difference in response for motion coherence due to cueing condition. We plot here only a baseline shift, but other models of attention related changes in response also exist, see Figure 6.and text.</w:t>
      </w:r>
    </w:p>
    <w:p w14:paraId="46C5EACE" w14:textId="77777777" w:rsidR="001F6750" w:rsidRDefault="001F6750" w:rsidP="00C20F60"/>
    <w:p w14:paraId="1921EE74" w14:textId="77777777" w:rsidR="00906D29" w:rsidRDefault="00906D29" w:rsidP="00C20F60">
      <w:r>
        <w:br w:type="page"/>
      </w:r>
    </w:p>
    <w:p w14:paraId="041284CE" w14:textId="6B6966BA" w:rsidR="00FB2D28" w:rsidRDefault="00280DAE" w:rsidP="00C20F60">
      <w:r>
        <w:lastRenderedPageBreak/>
        <w:pict w14:anchorId="23EF357A">
          <v:shape id="_x0000_i1026" type="#_x0000_t75" style="width:468pt;height:343.4pt">
            <v:imagedata r:id="rId19" o:title="model_comparison"/>
          </v:shape>
        </w:pict>
      </w:r>
    </w:p>
    <w:p w14:paraId="0EC84AF9" w14:textId="6142357B" w:rsidR="00906D29" w:rsidRDefault="00AB3B51" w:rsidP="00C20F60">
      <w:r>
        <w:t>Figure 6</w:t>
      </w:r>
    </w:p>
    <w:p w14:paraId="7181C47A" w14:textId="4F329F7C" w:rsidR="001F6750" w:rsidRDefault="00B05E33" w:rsidP="00BF4732">
      <w:pPr>
        <w:ind w:firstLine="720"/>
        <w:jc w:val="both"/>
      </w:pPr>
      <w:r>
        <w:t xml:space="preserve">Models of Feature Cueing. </w:t>
      </w:r>
      <w:r w:rsidR="00955731">
        <w:t xml:space="preserve">(a) </w:t>
      </w:r>
      <w:r>
        <w:t xml:space="preserve">We modeled the response amplitude to feature-intensity according to the Naka-Rushton equation, using the de-convolved response to each feature (contrast, coherence) and cueing condition (cued, </w:t>
      </w:r>
      <w:proofErr w:type="spellStart"/>
      <w:r w:rsidR="00B87693">
        <w:t>uncued</w:t>
      </w:r>
      <w:proofErr w:type="spellEnd"/>
      <w:r>
        <w:t>).</w:t>
      </w:r>
      <w:r w:rsidR="00955731">
        <w:t xml:space="preserve"> See text for details. We expected attention to act as a signal modulator in one of four possible ways: baseline shift, feature gain, response gain, or selection.</w:t>
      </w:r>
      <w:r w:rsidR="00266A8F">
        <w:t xml:space="preserve"> The selection model makes the prediction that a downstream process will be modulated by feature attention, altering how individual feature signals are interpreted by the decision process.</w:t>
      </w:r>
      <w:r w:rsidR="00955731">
        <w:t xml:space="preserve"> (b) Baseline Shift Model. If attention modulates responses by increasing all responses across feature intensities with a constant change, we expect to fit the response gain model to the output. (c) </w:t>
      </w:r>
      <w:r w:rsidR="00067042">
        <w:t xml:space="preserve">The feature gain model predicts a </w:t>
      </w:r>
      <w:r w:rsidR="00955731">
        <w:t xml:space="preserve">horizontal shift in the </w:t>
      </w:r>
      <w:r w:rsidR="00067042">
        <w:t xml:space="preserve">response </w:t>
      </w:r>
      <w:r w:rsidR="00B5781A">
        <w:t>function;</w:t>
      </w:r>
      <w:r w:rsidR="007C65DF">
        <w:t xml:space="preserve"> this is equivalent to changing the perceived feature intensity at </w:t>
      </w:r>
      <w:r w:rsidR="00B5781A">
        <w:t>constant</w:t>
      </w:r>
      <w:r w:rsidR="007C65DF">
        <w:t xml:space="preserve"> response amplitude.</w:t>
      </w:r>
      <w:r w:rsidR="00955731">
        <w:t xml:space="preserve"> (d) </w:t>
      </w:r>
      <w:r w:rsidR="001838B2">
        <w:t>The response gain model predicts that feature intensity will cause a multiplicative gain in response amplitudes during cueing.</w:t>
      </w:r>
      <w:r w:rsidR="00901656">
        <w:t xml:space="preserve"> Figure adapted from Soma et al. </w:t>
      </w:r>
      <w:r w:rsidR="00901656">
        <w:fldChar w:fldCharType="begin"/>
      </w:r>
      <w:r w:rsidR="00901656">
        <w:instrText xml:space="preserve"> ADDIN ZOTERO_ITEM CSL_CITATION {"citationID":"83n6tm2n3","properties":{"formattedCitation":"(Soma, Shimegi, Suematsu, &amp; Sato, 2013)","plainCitation":"(Soma, Shimegi, Suematsu, &amp; Sato, 2013)"},"citationItems":[{"id":429,"uris":["http://zotero.org/users/2176449/items/ZADIT3CV"],"uri":["http://zotero.org/users/2176449/items/ZADIT3CV"],"itemData":{"id":429,"type":"article-journal","title":"Cholinergic modulation of response gain in the rat primary visual cortex","container-title":"Scientific Reports","volume":"3","source":"CrossRef","URL":"http://www.nature.com/doifinder/10.1038/srep01138","DOI":"10.1038/srep01138","ISSN":"2045-2322","author":[{"family":"Soma","given":"Shogo"},{"family":"Shimegi","given":"Satoshi"},{"family":"Suematsu","given":"Naofumi"},{"family":"Sato","given":"Hiromichi"}],"issued":{"date-parts":[["2013",1,31]]},"accessed":{"date-parts":[["2015",6,1]]}}}],"schema":"https://github.com/citation-style-language/schema/raw/master/csl-citation.json"} </w:instrText>
      </w:r>
      <w:r w:rsidR="00901656">
        <w:fldChar w:fldCharType="separate"/>
      </w:r>
      <w:r w:rsidR="00901656">
        <w:rPr>
          <w:noProof/>
        </w:rPr>
        <w:t>(Soma, Shimegi, Suematsu, &amp; Sato, 2013)</w:t>
      </w:r>
      <w:r w:rsidR="00901656">
        <w:fldChar w:fldCharType="end"/>
      </w:r>
      <w:r w:rsidR="00901656">
        <w:t>.</w:t>
      </w:r>
    </w:p>
    <w:p w14:paraId="5777FFF4" w14:textId="77777777" w:rsidR="001F6750" w:rsidRDefault="001F6750" w:rsidP="00C20F60"/>
    <w:p w14:paraId="58789A83" w14:textId="1C5FD909" w:rsidR="008D5708" w:rsidRPr="00C1148B" w:rsidRDefault="008D5708" w:rsidP="00C20F60">
      <w:r>
        <w:br w:type="page"/>
      </w:r>
    </w:p>
    <w:p w14:paraId="79786CBB" w14:textId="466CFC07" w:rsidR="005F51C7" w:rsidRPr="00BF4732" w:rsidRDefault="00C44C5E" w:rsidP="00C20F60">
      <w:pPr>
        <w:rPr>
          <w:b/>
        </w:rPr>
      </w:pPr>
      <w:r w:rsidRPr="00BF4732">
        <w:rPr>
          <w:b/>
        </w:rPr>
        <w:lastRenderedPageBreak/>
        <w:t>Ref</w:t>
      </w:r>
      <w:bookmarkStart w:id="0" w:name="_GoBack"/>
      <w:bookmarkEnd w:id="0"/>
      <w:r w:rsidRPr="00BF4732">
        <w:rPr>
          <w:b/>
        </w:rPr>
        <w:t>erences</w:t>
      </w:r>
    </w:p>
    <w:p w14:paraId="3637F6F5" w14:textId="77777777" w:rsidR="00901656" w:rsidRPr="00901656" w:rsidRDefault="00C44C5E" w:rsidP="00C20F60">
      <w:pPr>
        <w:rPr>
          <w:rFonts w:ascii="Calibri" w:hAnsi="Calibri"/>
        </w:rPr>
      </w:pPr>
      <w:r>
        <w:fldChar w:fldCharType="begin"/>
      </w:r>
      <w:r w:rsidR="00260324">
        <w:instrText xml:space="preserve"> ADDIN ZOTERO_BIBL {"custom":[]} CSL_BIBLIOGRAPHY </w:instrText>
      </w:r>
      <w:r>
        <w:fldChar w:fldCharType="separate"/>
      </w:r>
      <w:r w:rsidR="00901656" w:rsidRPr="00901656">
        <w:rPr>
          <w:rFonts w:ascii="Calibri" w:hAnsi="Calibri"/>
        </w:rPr>
        <w:t xml:space="preserve">Cohen, M. a, Alvarez, G. a, &amp; Nakayama, K. (2011). Natural-scene perception requires attention. </w:t>
      </w:r>
      <w:r w:rsidR="00901656" w:rsidRPr="00901656">
        <w:rPr>
          <w:rFonts w:ascii="Calibri" w:hAnsi="Calibri"/>
          <w:i/>
          <w:iCs/>
        </w:rPr>
        <w:t>Psychological Science</w:t>
      </w:r>
      <w:r w:rsidR="00901656" w:rsidRPr="00901656">
        <w:rPr>
          <w:rFonts w:ascii="Calibri" w:hAnsi="Calibri"/>
        </w:rPr>
        <w:t xml:space="preserve">, </w:t>
      </w:r>
      <w:r w:rsidR="00901656" w:rsidRPr="00901656">
        <w:rPr>
          <w:rFonts w:ascii="Calibri" w:hAnsi="Calibri"/>
          <w:i/>
          <w:iCs/>
        </w:rPr>
        <w:t>22</w:t>
      </w:r>
      <w:r w:rsidR="00901656" w:rsidRPr="00901656">
        <w:rPr>
          <w:rFonts w:ascii="Calibri" w:hAnsi="Calibri"/>
        </w:rPr>
        <w:t>(9), 1165–72. http://doi.org/10.1177/0956797611419168</w:t>
      </w:r>
    </w:p>
    <w:p w14:paraId="1C09EC26" w14:textId="77777777" w:rsidR="00901656" w:rsidRPr="00901656" w:rsidRDefault="00901656" w:rsidP="00C20F60">
      <w:pPr>
        <w:rPr>
          <w:rFonts w:ascii="Calibri" w:hAnsi="Calibri"/>
        </w:rPr>
      </w:pPr>
      <w:r w:rsidRPr="00901656">
        <w:rPr>
          <w:rFonts w:ascii="Calibri" w:hAnsi="Calibri"/>
        </w:rPr>
        <w:t xml:space="preserve">Cutrone, E. K., Heeger, D. J., &amp; Carrasco, M. (2014). Attention enhances contrast appearance via increased input baseline of neural responses. </w:t>
      </w:r>
      <w:r w:rsidRPr="00901656">
        <w:rPr>
          <w:rFonts w:ascii="Calibri" w:hAnsi="Calibri"/>
          <w:i/>
          <w:iCs/>
        </w:rPr>
        <w:t>Journal of Vision</w:t>
      </w:r>
      <w:r w:rsidRPr="00901656">
        <w:rPr>
          <w:rFonts w:ascii="Calibri" w:hAnsi="Calibri"/>
        </w:rPr>
        <w:t xml:space="preserve">, </w:t>
      </w:r>
      <w:r w:rsidRPr="00901656">
        <w:rPr>
          <w:rFonts w:ascii="Calibri" w:hAnsi="Calibri"/>
          <w:i/>
          <w:iCs/>
        </w:rPr>
        <w:t>14</w:t>
      </w:r>
      <w:r w:rsidRPr="00901656">
        <w:rPr>
          <w:rFonts w:ascii="Calibri" w:hAnsi="Calibri"/>
        </w:rPr>
        <w:t>(14), 16.</w:t>
      </w:r>
    </w:p>
    <w:p w14:paraId="43B52ACC" w14:textId="77777777" w:rsidR="00901656" w:rsidRPr="00901656" w:rsidRDefault="00901656" w:rsidP="00C20F60">
      <w:pPr>
        <w:rPr>
          <w:rFonts w:ascii="Calibri" w:hAnsi="Calibri"/>
        </w:rPr>
      </w:pPr>
      <w:r w:rsidRPr="00901656">
        <w:rPr>
          <w:rFonts w:ascii="Calibri" w:hAnsi="Calibri"/>
        </w:rPr>
        <w:t xml:space="preserve">Dale, A. M., Fischl, B., &amp; Sereno, M. I. (1999). Cortical surface-based analysis: I. Segmentation and surface reconstruction. </w:t>
      </w:r>
      <w:r w:rsidRPr="00901656">
        <w:rPr>
          <w:rFonts w:ascii="Calibri" w:hAnsi="Calibri"/>
          <w:i/>
          <w:iCs/>
        </w:rPr>
        <w:t>Neuroimage</w:t>
      </w:r>
      <w:r w:rsidRPr="00901656">
        <w:rPr>
          <w:rFonts w:ascii="Calibri" w:hAnsi="Calibri"/>
        </w:rPr>
        <w:t xml:space="preserve">, </w:t>
      </w:r>
      <w:r w:rsidRPr="00901656">
        <w:rPr>
          <w:rFonts w:ascii="Calibri" w:hAnsi="Calibri"/>
          <w:i/>
          <w:iCs/>
        </w:rPr>
        <w:t>9</w:t>
      </w:r>
      <w:r w:rsidRPr="00901656">
        <w:rPr>
          <w:rFonts w:ascii="Calibri" w:hAnsi="Calibri"/>
        </w:rPr>
        <w:t>(2), 179–194.</w:t>
      </w:r>
    </w:p>
    <w:p w14:paraId="1837A868" w14:textId="77777777" w:rsidR="00901656" w:rsidRPr="00901656" w:rsidRDefault="00901656" w:rsidP="00C20F60">
      <w:pPr>
        <w:rPr>
          <w:rFonts w:ascii="Calibri" w:hAnsi="Calibri"/>
        </w:rPr>
      </w:pPr>
      <w:r w:rsidRPr="00901656">
        <w:rPr>
          <w:rFonts w:ascii="Calibri" w:hAnsi="Calibri"/>
        </w:rPr>
        <w:t xml:space="preserve">Dumoulin, S. O., &amp; Wandell, B. A. (2008). Population receptive field estimates in human visual cortex. </w:t>
      </w:r>
      <w:r w:rsidRPr="00901656">
        <w:rPr>
          <w:rFonts w:ascii="Calibri" w:hAnsi="Calibri"/>
          <w:i/>
          <w:iCs/>
        </w:rPr>
        <w:t>NeuroImage</w:t>
      </w:r>
      <w:r w:rsidRPr="00901656">
        <w:rPr>
          <w:rFonts w:ascii="Calibri" w:hAnsi="Calibri"/>
        </w:rPr>
        <w:t xml:space="preserve">, </w:t>
      </w:r>
      <w:r w:rsidRPr="00901656">
        <w:rPr>
          <w:rFonts w:ascii="Calibri" w:hAnsi="Calibri"/>
          <w:i/>
          <w:iCs/>
        </w:rPr>
        <w:t>39</w:t>
      </w:r>
      <w:r w:rsidRPr="00901656">
        <w:rPr>
          <w:rFonts w:ascii="Calibri" w:hAnsi="Calibri"/>
        </w:rPr>
        <w:t>(2), 647–660. http://doi.org/10.1016/j.neuroimage.2007.09.034</w:t>
      </w:r>
    </w:p>
    <w:p w14:paraId="2A445E85" w14:textId="77777777" w:rsidR="00901656" w:rsidRPr="00901656" w:rsidRDefault="00901656" w:rsidP="00C20F60">
      <w:pPr>
        <w:rPr>
          <w:rFonts w:ascii="Calibri" w:hAnsi="Calibri"/>
        </w:rPr>
      </w:pPr>
      <w:r w:rsidRPr="00901656">
        <w:rPr>
          <w:rFonts w:ascii="Calibri" w:hAnsi="Calibri"/>
        </w:rPr>
        <w:t xml:space="preserve">Feinberg, D. A., &amp; Setsompop, K. (2013). Ultra-fast MRI of the human brain with simultaneous multi-slice imaging. </w:t>
      </w:r>
      <w:r w:rsidRPr="00901656">
        <w:rPr>
          <w:rFonts w:ascii="Calibri" w:hAnsi="Calibri"/>
          <w:i/>
          <w:iCs/>
        </w:rPr>
        <w:t>Journal of Magnetic Resonance</w:t>
      </w:r>
      <w:r w:rsidRPr="00901656">
        <w:rPr>
          <w:rFonts w:ascii="Calibri" w:hAnsi="Calibri"/>
        </w:rPr>
        <w:t xml:space="preserve">, </w:t>
      </w:r>
      <w:r w:rsidRPr="00901656">
        <w:rPr>
          <w:rFonts w:ascii="Calibri" w:hAnsi="Calibri"/>
          <w:i/>
          <w:iCs/>
        </w:rPr>
        <w:t>229</w:t>
      </w:r>
      <w:r w:rsidRPr="00901656">
        <w:rPr>
          <w:rFonts w:ascii="Calibri" w:hAnsi="Calibri"/>
        </w:rPr>
        <w:t>, 90–100. http://doi.org/10.1016/j.jmr.2013.02.002</w:t>
      </w:r>
    </w:p>
    <w:p w14:paraId="1BEAEBC3" w14:textId="77777777" w:rsidR="00901656" w:rsidRPr="00901656" w:rsidRDefault="00901656" w:rsidP="00C20F60">
      <w:pPr>
        <w:rPr>
          <w:rFonts w:ascii="Calibri" w:hAnsi="Calibri"/>
        </w:rPr>
      </w:pPr>
      <w:r w:rsidRPr="00901656">
        <w:rPr>
          <w:rFonts w:ascii="Calibri" w:hAnsi="Calibri"/>
        </w:rPr>
        <w:t xml:space="preserve">Gardner, J. L., Sun, P., Waggoner, R. A., Ueno, K., Tanaka, K., &amp; Cheng, K. (2005). Contrast adaptation and representation in human early visual cortex. </w:t>
      </w:r>
      <w:r w:rsidRPr="00901656">
        <w:rPr>
          <w:rFonts w:ascii="Calibri" w:hAnsi="Calibri"/>
          <w:i/>
          <w:iCs/>
        </w:rPr>
        <w:t>Neuron</w:t>
      </w:r>
      <w:r w:rsidRPr="00901656">
        <w:rPr>
          <w:rFonts w:ascii="Calibri" w:hAnsi="Calibri"/>
        </w:rPr>
        <w:t xml:space="preserve">, </w:t>
      </w:r>
      <w:r w:rsidRPr="00901656">
        <w:rPr>
          <w:rFonts w:ascii="Calibri" w:hAnsi="Calibri"/>
          <w:i/>
          <w:iCs/>
        </w:rPr>
        <w:t>47</w:t>
      </w:r>
      <w:r w:rsidRPr="00901656">
        <w:rPr>
          <w:rFonts w:ascii="Calibri" w:hAnsi="Calibri"/>
        </w:rPr>
        <w:t>(4), 607–20. http://doi.org/10.1016/j.neuron.2005.07.016</w:t>
      </w:r>
    </w:p>
    <w:p w14:paraId="1E634A58" w14:textId="77777777" w:rsidR="00901656" w:rsidRPr="00901656" w:rsidRDefault="00901656" w:rsidP="00C20F60">
      <w:pPr>
        <w:rPr>
          <w:rFonts w:ascii="Calibri" w:hAnsi="Calibri"/>
        </w:rPr>
      </w:pPr>
      <w:r w:rsidRPr="00901656">
        <w:rPr>
          <w:rFonts w:ascii="Calibri" w:hAnsi="Calibri"/>
        </w:rPr>
        <w:t xml:space="preserve">Grill-Spector, K., &amp; Malach, R. (2004). The Human Visual Cortex. </w:t>
      </w:r>
      <w:r w:rsidRPr="00901656">
        <w:rPr>
          <w:rFonts w:ascii="Calibri" w:hAnsi="Calibri"/>
          <w:i/>
          <w:iCs/>
        </w:rPr>
        <w:t>Annual Review of Neuroscience</w:t>
      </w:r>
      <w:r w:rsidRPr="00901656">
        <w:rPr>
          <w:rFonts w:ascii="Calibri" w:hAnsi="Calibri"/>
        </w:rPr>
        <w:t xml:space="preserve">, </w:t>
      </w:r>
      <w:r w:rsidRPr="00901656">
        <w:rPr>
          <w:rFonts w:ascii="Calibri" w:hAnsi="Calibri"/>
          <w:i/>
          <w:iCs/>
        </w:rPr>
        <w:t>27</w:t>
      </w:r>
      <w:r w:rsidRPr="00901656">
        <w:rPr>
          <w:rFonts w:ascii="Calibri" w:hAnsi="Calibri"/>
        </w:rPr>
        <w:t>(1), 649–677. http://doi.org/10.1146/annurev.neuro.27.070203.144220</w:t>
      </w:r>
    </w:p>
    <w:p w14:paraId="6227D5C7" w14:textId="77777777" w:rsidR="00901656" w:rsidRPr="00901656" w:rsidRDefault="00901656" w:rsidP="00C20F60">
      <w:pPr>
        <w:rPr>
          <w:rFonts w:ascii="Calibri" w:hAnsi="Calibri"/>
        </w:rPr>
      </w:pPr>
      <w:r w:rsidRPr="00901656">
        <w:rPr>
          <w:rFonts w:ascii="Calibri" w:hAnsi="Calibri"/>
        </w:rPr>
        <w:t xml:space="preserve">Huk, A. C., Dougherty, R. F., &amp; Heeger, D. J. (2002). Retinotopy and functional subdivision of human areas MT and MST. </w:t>
      </w:r>
      <w:r w:rsidRPr="00901656">
        <w:rPr>
          <w:rFonts w:ascii="Calibri" w:hAnsi="Calibri"/>
          <w:i/>
          <w:iCs/>
        </w:rPr>
        <w:t>The Journal of Neuroscience</w:t>
      </w:r>
      <w:r w:rsidRPr="00901656">
        <w:rPr>
          <w:rFonts w:ascii="Calibri" w:hAnsi="Calibri"/>
        </w:rPr>
        <w:t xml:space="preserve">, </w:t>
      </w:r>
      <w:r w:rsidRPr="00901656">
        <w:rPr>
          <w:rFonts w:ascii="Calibri" w:hAnsi="Calibri"/>
          <w:i/>
          <w:iCs/>
        </w:rPr>
        <w:t>22</w:t>
      </w:r>
      <w:r w:rsidRPr="00901656">
        <w:rPr>
          <w:rFonts w:ascii="Calibri" w:hAnsi="Calibri"/>
        </w:rPr>
        <w:t>(16), 7195–7205.</w:t>
      </w:r>
    </w:p>
    <w:p w14:paraId="2D411BE5" w14:textId="77777777" w:rsidR="00901656" w:rsidRPr="00901656" w:rsidRDefault="00901656" w:rsidP="00C20F60">
      <w:pPr>
        <w:rPr>
          <w:rFonts w:ascii="Calibri" w:hAnsi="Calibri"/>
        </w:rPr>
      </w:pPr>
      <w:r w:rsidRPr="00901656">
        <w:rPr>
          <w:rFonts w:ascii="Calibri" w:hAnsi="Calibri"/>
        </w:rPr>
        <w:t xml:space="preserve">Itthipuripat, S., Ester, E. F., Deering, S., &amp; Serences, J. T. (2014). Sensory Gain Outperforms Efficient Readout Mechanisms in Predicting Attention-Related Improvements in Behavior. </w:t>
      </w:r>
      <w:r w:rsidRPr="00901656">
        <w:rPr>
          <w:rFonts w:ascii="Calibri" w:hAnsi="Calibri"/>
          <w:i/>
          <w:iCs/>
        </w:rPr>
        <w:t>Journal of Neuroscience</w:t>
      </w:r>
      <w:r w:rsidRPr="00901656">
        <w:rPr>
          <w:rFonts w:ascii="Calibri" w:hAnsi="Calibri"/>
        </w:rPr>
        <w:t xml:space="preserve">, </w:t>
      </w:r>
      <w:r w:rsidRPr="00901656">
        <w:rPr>
          <w:rFonts w:ascii="Calibri" w:hAnsi="Calibri"/>
          <w:i/>
          <w:iCs/>
        </w:rPr>
        <w:t>34</w:t>
      </w:r>
      <w:r w:rsidRPr="00901656">
        <w:rPr>
          <w:rFonts w:ascii="Calibri" w:hAnsi="Calibri"/>
        </w:rPr>
        <w:t>(40), 13384–13398. http://doi.org/10.1523/JNEUROSCI.2277-14.2014</w:t>
      </w:r>
    </w:p>
    <w:p w14:paraId="35D7E98C" w14:textId="77777777" w:rsidR="00901656" w:rsidRPr="00901656" w:rsidRDefault="00901656" w:rsidP="00C20F60">
      <w:pPr>
        <w:rPr>
          <w:rFonts w:ascii="Calibri" w:hAnsi="Calibri"/>
        </w:rPr>
      </w:pPr>
      <w:r w:rsidRPr="00901656">
        <w:rPr>
          <w:rFonts w:ascii="Calibri" w:hAnsi="Calibri"/>
        </w:rPr>
        <w:t xml:space="preserve">Koch, C., &amp; Tsuchiya, N. (2007). Attention and consciousness: two distinct brain processes. </w:t>
      </w:r>
      <w:r w:rsidRPr="00901656">
        <w:rPr>
          <w:rFonts w:ascii="Calibri" w:hAnsi="Calibri"/>
          <w:i/>
          <w:iCs/>
        </w:rPr>
        <w:t>Trends in Cognitive Sciences</w:t>
      </w:r>
      <w:r w:rsidRPr="00901656">
        <w:rPr>
          <w:rFonts w:ascii="Calibri" w:hAnsi="Calibri"/>
        </w:rPr>
        <w:t xml:space="preserve">, </w:t>
      </w:r>
      <w:r w:rsidRPr="00901656">
        <w:rPr>
          <w:rFonts w:ascii="Calibri" w:hAnsi="Calibri"/>
          <w:i/>
          <w:iCs/>
        </w:rPr>
        <w:t>11</w:t>
      </w:r>
      <w:r w:rsidRPr="00901656">
        <w:rPr>
          <w:rFonts w:ascii="Calibri" w:hAnsi="Calibri"/>
        </w:rPr>
        <w:t>(1). http://doi.org/10.1016/j.tics.2006.10.012</w:t>
      </w:r>
    </w:p>
    <w:p w14:paraId="37277308" w14:textId="77777777" w:rsidR="00901656" w:rsidRPr="00901656" w:rsidRDefault="00901656" w:rsidP="00C20F60">
      <w:pPr>
        <w:rPr>
          <w:rFonts w:ascii="Calibri" w:hAnsi="Calibri"/>
        </w:rPr>
      </w:pPr>
      <w:r w:rsidRPr="00901656">
        <w:rPr>
          <w:rFonts w:ascii="Calibri" w:hAnsi="Calibri"/>
        </w:rPr>
        <w:t xml:space="preserve">Kontsevich, L. L., &amp; Tyler, C. W. (1999). Bayesian adaptive estimation of psychometric slope and threshold. </w:t>
      </w:r>
      <w:r w:rsidRPr="00901656">
        <w:rPr>
          <w:rFonts w:ascii="Calibri" w:hAnsi="Calibri"/>
          <w:i/>
          <w:iCs/>
        </w:rPr>
        <w:t>Vision Research</w:t>
      </w:r>
      <w:r w:rsidRPr="00901656">
        <w:rPr>
          <w:rFonts w:ascii="Calibri" w:hAnsi="Calibri"/>
        </w:rPr>
        <w:t xml:space="preserve">, </w:t>
      </w:r>
      <w:r w:rsidRPr="00901656">
        <w:rPr>
          <w:rFonts w:ascii="Calibri" w:hAnsi="Calibri"/>
          <w:i/>
          <w:iCs/>
        </w:rPr>
        <w:t>39</w:t>
      </w:r>
      <w:r w:rsidRPr="00901656">
        <w:rPr>
          <w:rFonts w:ascii="Calibri" w:hAnsi="Calibri"/>
        </w:rPr>
        <w:t>(16), 2729–2737.</w:t>
      </w:r>
    </w:p>
    <w:p w14:paraId="7F74C535" w14:textId="77777777" w:rsidR="00901656" w:rsidRPr="00901656" w:rsidRDefault="00901656" w:rsidP="00C20F60">
      <w:pPr>
        <w:rPr>
          <w:rFonts w:ascii="Calibri" w:hAnsi="Calibri"/>
        </w:rPr>
      </w:pPr>
      <w:r w:rsidRPr="00901656">
        <w:rPr>
          <w:rFonts w:ascii="Calibri" w:hAnsi="Calibri"/>
        </w:rPr>
        <w:t xml:space="preserve">Li, F. F., VanRullen, R., Koch, C., &amp; Perona, P. (2002). Rapid natural scene categorization in the near absence of attention. </w:t>
      </w:r>
      <w:r w:rsidRPr="00901656">
        <w:rPr>
          <w:rFonts w:ascii="Calibri" w:hAnsi="Calibri"/>
          <w:i/>
          <w:iCs/>
        </w:rPr>
        <w:t>Proceedings of the National Academy of Sciences of the United States of America</w:t>
      </w:r>
      <w:r w:rsidRPr="00901656">
        <w:rPr>
          <w:rFonts w:ascii="Calibri" w:hAnsi="Calibri"/>
        </w:rPr>
        <w:t xml:space="preserve">, </w:t>
      </w:r>
      <w:r w:rsidRPr="00901656">
        <w:rPr>
          <w:rFonts w:ascii="Calibri" w:hAnsi="Calibri"/>
          <w:i/>
          <w:iCs/>
        </w:rPr>
        <w:t>99</w:t>
      </w:r>
      <w:r w:rsidRPr="00901656">
        <w:rPr>
          <w:rFonts w:ascii="Calibri" w:hAnsi="Calibri"/>
        </w:rPr>
        <w:t>(14), 9596–601. http://doi.org/10.1073/pnas.092277599</w:t>
      </w:r>
    </w:p>
    <w:p w14:paraId="3DBE7126" w14:textId="77777777" w:rsidR="00901656" w:rsidRPr="00901656" w:rsidRDefault="00901656" w:rsidP="00C20F60">
      <w:pPr>
        <w:rPr>
          <w:rFonts w:ascii="Calibri" w:hAnsi="Calibri"/>
        </w:rPr>
      </w:pPr>
      <w:r w:rsidRPr="00901656">
        <w:rPr>
          <w:rFonts w:ascii="Calibri" w:hAnsi="Calibri"/>
        </w:rPr>
        <w:t xml:space="preserve">Mack, A., &amp; Clarke, J. (2012). Gist perception requires attention. </w:t>
      </w:r>
      <w:r w:rsidRPr="00901656">
        <w:rPr>
          <w:rFonts w:ascii="Calibri" w:hAnsi="Calibri"/>
          <w:i/>
          <w:iCs/>
        </w:rPr>
        <w:t>Visual Cognition</w:t>
      </w:r>
      <w:r w:rsidRPr="00901656">
        <w:rPr>
          <w:rFonts w:ascii="Calibri" w:hAnsi="Calibri"/>
        </w:rPr>
        <w:t xml:space="preserve">, </w:t>
      </w:r>
      <w:r w:rsidRPr="00901656">
        <w:rPr>
          <w:rFonts w:ascii="Calibri" w:hAnsi="Calibri"/>
          <w:i/>
          <w:iCs/>
        </w:rPr>
        <w:t>20</w:t>
      </w:r>
      <w:r w:rsidRPr="00901656">
        <w:rPr>
          <w:rFonts w:ascii="Calibri" w:hAnsi="Calibri"/>
        </w:rPr>
        <w:t>(3), 300–327. http://doi.org/10.1080/13506285.2012.666578</w:t>
      </w:r>
    </w:p>
    <w:p w14:paraId="4E07920D" w14:textId="77777777" w:rsidR="00901656" w:rsidRPr="00901656" w:rsidRDefault="00901656" w:rsidP="00C20F60">
      <w:pPr>
        <w:rPr>
          <w:rFonts w:ascii="Calibri" w:hAnsi="Calibri"/>
        </w:rPr>
      </w:pPr>
      <w:r w:rsidRPr="00901656">
        <w:rPr>
          <w:rFonts w:ascii="Calibri" w:hAnsi="Calibri"/>
        </w:rPr>
        <w:t xml:space="preserve">Mack, Arien, &amp; Rock, Irvin. (1998). </w:t>
      </w:r>
      <w:r w:rsidRPr="00901656">
        <w:rPr>
          <w:rFonts w:ascii="Calibri" w:hAnsi="Calibri"/>
          <w:i/>
          <w:iCs/>
        </w:rPr>
        <w:t>Inattentional Blindness.</w:t>
      </w:r>
      <w:r w:rsidRPr="00901656">
        <w:rPr>
          <w:rFonts w:ascii="Calibri" w:hAnsi="Calibri"/>
        </w:rPr>
        <w:t xml:space="preserve"> The MIT Press.</w:t>
      </w:r>
    </w:p>
    <w:p w14:paraId="137ACEFF" w14:textId="77777777" w:rsidR="00901656" w:rsidRPr="00901656" w:rsidRDefault="00901656" w:rsidP="00C20F60">
      <w:pPr>
        <w:rPr>
          <w:rFonts w:ascii="Calibri" w:hAnsi="Calibri"/>
        </w:rPr>
      </w:pPr>
      <w:r w:rsidRPr="00901656">
        <w:rPr>
          <w:rFonts w:ascii="Calibri" w:hAnsi="Calibri"/>
        </w:rPr>
        <w:lastRenderedPageBreak/>
        <w:t xml:space="preserve">Nestares, O., &amp; Heeger, D. J. (2000). Robust multiresolution alignment of MRI brain volumes. </w:t>
      </w:r>
      <w:r w:rsidRPr="00901656">
        <w:rPr>
          <w:rFonts w:ascii="Calibri" w:hAnsi="Calibri"/>
          <w:i/>
          <w:iCs/>
        </w:rPr>
        <w:t>Magnetic Resonance in Medicine</w:t>
      </w:r>
      <w:r w:rsidRPr="00901656">
        <w:rPr>
          <w:rFonts w:ascii="Calibri" w:hAnsi="Calibri"/>
        </w:rPr>
        <w:t xml:space="preserve">, </w:t>
      </w:r>
      <w:r w:rsidRPr="00901656">
        <w:rPr>
          <w:rFonts w:ascii="Calibri" w:hAnsi="Calibri"/>
          <w:i/>
          <w:iCs/>
        </w:rPr>
        <w:t>43</w:t>
      </w:r>
      <w:r w:rsidRPr="00901656">
        <w:rPr>
          <w:rFonts w:ascii="Calibri" w:hAnsi="Calibri"/>
        </w:rPr>
        <w:t>(5), 705–715.</w:t>
      </w:r>
    </w:p>
    <w:p w14:paraId="6963D10B" w14:textId="77777777" w:rsidR="00901656" w:rsidRPr="00901656" w:rsidRDefault="00901656" w:rsidP="00C20F60">
      <w:pPr>
        <w:rPr>
          <w:rFonts w:ascii="Calibri" w:hAnsi="Calibri"/>
        </w:rPr>
      </w:pPr>
      <w:r w:rsidRPr="00901656">
        <w:rPr>
          <w:rFonts w:ascii="Calibri" w:hAnsi="Calibri"/>
        </w:rPr>
        <w:t xml:space="preserve">Pestilli, F., Carrasco, M., Heeger, D. J., &amp; Gardner, J. L. (2011). Attentional enhancement via selection and pooling of early sensory responses in human visual cortex. </w:t>
      </w:r>
      <w:r w:rsidRPr="00901656">
        <w:rPr>
          <w:rFonts w:ascii="Calibri" w:hAnsi="Calibri"/>
          <w:i/>
          <w:iCs/>
        </w:rPr>
        <w:t>Neuron</w:t>
      </w:r>
      <w:r w:rsidRPr="00901656">
        <w:rPr>
          <w:rFonts w:ascii="Calibri" w:hAnsi="Calibri"/>
        </w:rPr>
        <w:t xml:space="preserve">, </w:t>
      </w:r>
      <w:r w:rsidRPr="00901656">
        <w:rPr>
          <w:rFonts w:ascii="Calibri" w:hAnsi="Calibri"/>
          <w:i/>
          <w:iCs/>
        </w:rPr>
        <w:t>72</w:t>
      </w:r>
      <w:r w:rsidRPr="00901656">
        <w:rPr>
          <w:rFonts w:ascii="Calibri" w:hAnsi="Calibri"/>
        </w:rPr>
        <w:t>(5), 832–46. http://doi.org/10.1016/j.neuron.2011.09.025</w:t>
      </w:r>
    </w:p>
    <w:p w14:paraId="35578CFB" w14:textId="77777777" w:rsidR="00901656" w:rsidRPr="00901656" w:rsidRDefault="00901656" w:rsidP="00C20F60">
      <w:pPr>
        <w:rPr>
          <w:rFonts w:ascii="Calibri" w:hAnsi="Calibri"/>
        </w:rPr>
      </w:pPr>
      <w:r w:rsidRPr="00901656">
        <w:rPr>
          <w:rFonts w:ascii="Calibri" w:hAnsi="Calibri"/>
        </w:rPr>
        <w:t xml:space="preserve">Soma, S., Shimegi, S., Suematsu, N., &amp; Sato, H. (2013). Cholinergic modulation of response gain in the rat primary visual cortex. </w:t>
      </w:r>
      <w:r w:rsidRPr="00901656">
        <w:rPr>
          <w:rFonts w:ascii="Calibri" w:hAnsi="Calibri"/>
          <w:i/>
          <w:iCs/>
        </w:rPr>
        <w:t>Scientific Reports</w:t>
      </w:r>
      <w:r w:rsidRPr="00901656">
        <w:rPr>
          <w:rFonts w:ascii="Calibri" w:hAnsi="Calibri"/>
        </w:rPr>
        <w:t xml:space="preserve">, </w:t>
      </w:r>
      <w:r w:rsidRPr="00901656">
        <w:rPr>
          <w:rFonts w:ascii="Calibri" w:hAnsi="Calibri"/>
          <w:i/>
          <w:iCs/>
        </w:rPr>
        <w:t>3</w:t>
      </w:r>
      <w:r w:rsidRPr="00901656">
        <w:rPr>
          <w:rFonts w:ascii="Calibri" w:hAnsi="Calibri"/>
        </w:rPr>
        <w:t>. http://doi.org/10.1038/srep01138</w:t>
      </w:r>
    </w:p>
    <w:p w14:paraId="7AC847EE" w14:textId="77777777" w:rsidR="00901656" w:rsidRPr="00901656" w:rsidRDefault="00901656" w:rsidP="00C20F60">
      <w:pPr>
        <w:rPr>
          <w:rFonts w:ascii="Calibri" w:hAnsi="Calibri"/>
        </w:rPr>
      </w:pPr>
      <w:r w:rsidRPr="00901656">
        <w:rPr>
          <w:rFonts w:ascii="Calibri" w:hAnsi="Calibri"/>
        </w:rPr>
        <w:t xml:space="preserve">Taylor, M., &amp; Creelman, C. D. (1967). PEST: Efficient estimates on probability functions. </w:t>
      </w:r>
      <w:r w:rsidRPr="00901656">
        <w:rPr>
          <w:rFonts w:ascii="Calibri" w:hAnsi="Calibri"/>
          <w:i/>
          <w:iCs/>
        </w:rPr>
        <w:t>The Journal of the Acoustical Society of America</w:t>
      </w:r>
      <w:r w:rsidRPr="00901656">
        <w:rPr>
          <w:rFonts w:ascii="Calibri" w:hAnsi="Calibri"/>
        </w:rPr>
        <w:t xml:space="preserve">, </w:t>
      </w:r>
      <w:r w:rsidRPr="00901656">
        <w:rPr>
          <w:rFonts w:ascii="Calibri" w:hAnsi="Calibri"/>
          <w:i/>
          <w:iCs/>
        </w:rPr>
        <w:t>41</w:t>
      </w:r>
      <w:r w:rsidRPr="00901656">
        <w:rPr>
          <w:rFonts w:ascii="Calibri" w:hAnsi="Calibri"/>
        </w:rPr>
        <w:t>(4A), 782–787.</w:t>
      </w:r>
    </w:p>
    <w:p w14:paraId="707C71FD" w14:textId="77777777" w:rsidR="00901656" w:rsidRPr="00901656" w:rsidRDefault="00901656" w:rsidP="00C20F60">
      <w:pPr>
        <w:rPr>
          <w:rFonts w:ascii="Calibri" w:hAnsi="Calibri"/>
        </w:rPr>
      </w:pPr>
      <w:r w:rsidRPr="00901656">
        <w:rPr>
          <w:rFonts w:ascii="Calibri" w:hAnsi="Calibri"/>
        </w:rPr>
        <w:t xml:space="preserve">Wandell, B. A., Dumoulin, S. O., &amp; Brewer, A. A. (2007). Visual Field Maps in Human Cortex. </w:t>
      </w:r>
      <w:r w:rsidRPr="00901656">
        <w:rPr>
          <w:rFonts w:ascii="Calibri" w:hAnsi="Calibri"/>
          <w:i/>
          <w:iCs/>
        </w:rPr>
        <w:t>Neuron</w:t>
      </w:r>
      <w:r w:rsidRPr="00901656">
        <w:rPr>
          <w:rFonts w:ascii="Calibri" w:hAnsi="Calibri"/>
        </w:rPr>
        <w:t xml:space="preserve">, </w:t>
      </w:r>
      <w:r w:rsidRPr="00901656">
        <w:rPr>
          <w:rFonts w:ascii="Calibri" w:hAnsi="Calibri"/>
          <w:i/>
          <w:iCs/>
        </w:rPr>
        <w:t>56</w:t>
      </w:r>
      <w:r w:rsidRPr="00901656">
        <w:rPr>
          <w:rFonts w:ascii="Calibri" w:hAnsi="Calibri"/>
        </w:rPr>
        <w:t>(2), 366–383. http://doi.org/10.1016/j.neuron.2007.10.012</w:t>
      </w:r>
    </w:p>
    <w:p w14:paraId="712DF2EA" w14:textId="77777777" w:rsidR="00901656" w:rsidRPr="00901656" w:rsidRDefault="00901656" w:rsidP="00C20F60">
      <w:pPr>
        <w:rPr>
          <w:rFonts w:ascii="Calibri" w:hAnsi="Calibri"/>
        </w:rPr>
      </w:pPr>
      <w:r w:rsidRPr="00901656">
        <w:rPr>
          <w:rFonts w:ascii="Calibri" w:hAnsi="Calibri"/>
        </w:rPr>
        <w:t xml:space="preserve">Weibull, W. (1951). A Statistical Distribution Function of Wide Applicability. </w:t>
      </w:r>
      <w:r w:rsidRPr="00901656">
        <w:rPr>
          <w:rFonts w:ascii="Calibri" w:hAnsi="Calibri"/>
          <w:i/>
          <w:iCs/>
        </w:rPr>
        <w:t>Journal of Applied Mechanics</w:t>
      </w:r>
      <w:r w:rsidRPr="00901656">
        <w:rPr>
          <w:rFonts w:ascii="Calibri" w:hAnsi="Calibri"/>
        </w:rPr>
        <w:t>.</w:t>
      </w:r>
    </w:p>
    <w:p w14:paraId="0ACCEC87" w14:textId="77777777" w:rsidR="00901656" w:rsidRPr="00901656" w:rsidRDefault="00901656" w:rsidP="00C20F60">
      <w:pPr>
        <w:rPr>
          <w:rFonts w:ascii="Calibri" w:hAnsi="Calibri"/>
        </w:rPr>
      </w:pPr>
      <w:r w:rsidRPr="00901656">
        <w:rPr>
          <w:rFonts w:ascii="Calibri" w:hAnsi="Calibri"/>
        </w:rPr>
        <w:t xml:space="preserve">Wichmann, F. A., &amp; Hill, N. J. (2001). The psychometric function I: Fitting, sampling, and goodness of fit. </w:t>
      </w:r>
      <w:r w:rsidRPr="00901656">
        <w:rPr>
          <w:rFonts w:ascii="Calibri" w:hAnsi="Calibri"/>
          <w:i/>
          <w:iCs/>
        </w:rPr>
        <w:t>Perception &amp; Psychophysics</w:t>
      </w:r>
      <w:r w:rsidRPr="00901656">
        <w:rPr>
          <w:rFonts w:ascii="Calibri" w:hAnsi="Calibri"/>
        </w:rPr>
        <w:t>.</w:t>
      </w:r>
    </w:p>
    <w:p w14:paraId="6EB79285" w14:textId="2D9A196A" w:rsidR="00C44C5E" w:rsidRPr="00C44C5E" w:rsidRDefault="00C44C5E" w:rsidP="00C20F60">
      <w:r>
        <w:fldChar w:fldCharType="end"/>
      </w:r>
    </w:p>
    <w:sectPr w:rsidR="00C44C5E" w:rsidRPr="00C44C5E" w:rsidSect="000957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7B0524" w14:textId="77777777" w:rsidR="00280DAE" w:rsidRDefault="00280DAE" w:rsidP="00E321BC">
      <w:pPr>
        <w:spacing w:after="0" w:line="240" w:lineRule="auto"/>
      </w:pPr>
      <w:r>
        <w:separator/>
      </w:r>
    </w:p>
  </w:endnote>
  <w:endnote w:type="continuationSeparator" w:id="0">
    <w:p w14:paraId="2DF94B4E" w14:textId="77777777" w:rsidR="00280DAE" w:rsidRDefault="00280DAE" w:rsidP="00E32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
    <w:altName w:val="Cambria"/>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D47F5C" w14:textId="77777777" w:rsidR="00280DAE" w:rsidRDefault="00280DAE" w:rsidP="00E321BC">
      <w:pPr>
        <w:spacing w:after="0" w:line="240" w:lineRule="auto"/>
      </w:pPr>
      <w:r>
        <w:separator/>
      </w:r>
    </w:p>
  </w:footnote>
  <w:footnote w:type="continuationSeparator" w:id="0">
    <w:p w14:paraId="6C00B988" w14:textId="77777777" w:rsidR="00280DAE" w:rsidRDefault="00280DAE" w:rsidP="00E321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0B436E"/>
    <w:multiLevelType w:val="hybridMultilevel"/>
    <w:tmpl w:val="2188D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449D"/>
    <w:rsid w:val="00000FFF"/>
    <w:rsid w:val="00002A40"/>
    <w:rsid w:val="000040A4"/>
    <w:rsid w:val="000041CF"/>
    <w:rsid w:val="00006FF7"/>
    <w:rsid w:val="0000773D"/>
    <w:rsid w:val="00007E9F"/>
    <w:rsid w:val="00010947"/>
    <w:rsid w:val="00011716"/>
    <w:rsid w:val="00012B5E"/>
    <w:rsid w:val="0002526A"/>
    <w:rsid w:val="000271EB"/>
    <w:rsid w:val="0003168E"/>
    <w:rsid w:val="00033071"/>
    <w:rsid w:val="00034FEC"/>
    <w:rsid w:val="00035E6C"/>
    <w:rsid w:val="000428B4"/>
    <w:rsid w:val="0004297D"/>
    <w:rsid w:val="00042C15"/>
    <w:rsid w:val="00042D0C"/>
    <w:rsid w:val="00057B8E"/>
    <w:rsid w:val="00057FB6"/>
    <w:rsid w:val="00060CDA"/>
    <w:rsid w:val="0006345A"/>
    <w:rsid w:val="00063A02"/>
    <w:rsid w:val="000658FC"/>
    <w:rsid w:val="00067042"/>
    <w:rsid w:val="000671BA"/>
    <w:rsid w:val="00074B35"/>
    <w:rsid w:val="0007524F"/>
    <w:rsid w:val="00082755"/>
    <w:rsid w:val="00092D8A"/>
    <w:rsid w:val="00094606"/>
    <w:rsid w:val="00095701"/>
    <w:rsid w:val="00095D93"/>
    <w:rsid w:val="000A1141"/>
    <w:rsid w:val="000A44DF"/>
    <w:rsid w:val="000A4E05"/>
    <w:rsid w:val="000A67C7"/>
    <w:rsid w:val="000A75F2"/>
    <w:rsid w:val="000A7FF7"/>
    <w:rsid w:val="000B0B8F"/>
    <w:rsid w:val="000B1C85"/>
    <w:rsid w:val="000B4132"/>
    <w:rsid w:val="000B466F"/>
    <w:rsid w:val="000B508F"/>
    <w:rsid w:val="000B5232"/>
    <w:rsid w:val="000C05B7"/>
    <w:rsid w:val="000C1E23"/>
    <w:rsid w:val="000C4409"/>
    <w:rsid w:val="000C65EE"/>
    <w:rsid w:val="000D1283"/>
    <w:rsid w:val="000D513A"/>
    <w:rsid w:val="000E2A39"/>
    <w:rsid w:val="000E2D2A"/>
    <w:rsid w:val="000E4F9E"/>
    <w:rsid w:val="000E75E8"/>
    <w:rsid w:val="000F33C5"/>
    <w:rsid w:val="000F52AD"/>
    <w:rsid w:val="000F5E24"/>
    <w:rsid w:val="000F6991"/>
    <w:rsid w:val="00100AB7"/>
    <w:rsid w:val="00100CBC"/>
    <w:rsid w:val="001025EA"/>
    <w:rsid w:val="001032DB"/>
    <w:rsid w:val="00107F6E"/>
    <w:rsid w:val="00113242"/>
    <w:rsid w:val="00115626"/>
    <w:rsid w:val="00117FA7"/>
    <w:rsid w:val="001208E5"/>
    <w:rsid w:val="00121427"/>
    <w:rsid w:val="00122CB0"/>
    <w:rsid w:val="0012626D"/>
    <w:rsid w:val="001345A8"/>
    <w:rsid w:val="00140B8C"/>
    <w:rsid w:val="00140CD0"/>
    <w:rsid w:val="0014154E"/>
    <w:rsid w:val="00141A08"/>
    <w:rsid w:val="001452F4"/>
    <w:rsid w:val="001466D6"/>
    <w:rsid w:val="001468CB"/>
    <w:rsid w:val="00146C36"/>
    <w:rsid w:val="00154E96"/>
    <w:rsid w:val="0015531C"/>
    <w:rsid w:val="0015644E"/>
    <w:rsid w:val="00161555"/>
    <w:rsid w:val="00165925"/>
    <w:rsid w:val="00165B4D"/>
    <w:rsid w:val="001704C6"/>
    <w:rsid w:val="00171B10"/>
    <w:rsid w:val="0017702B"/>
    <w:rsid w:val="00183306"/>
    <w:rsid w:val="0018331A"/>
    <w:rsid w:val="0018354E"/>
    <w:rsid w:val="001838B2"/>
    <w:rsid w:val="00183AA2"/>
    <w:rsid w:val="001877CD"/>
    <w:rsid w:val="00191F98"/>
    <w:rsid w:val="00195D9D"/>
    <w:rsid w:val="001A03EB"/>
    <w:rsid w:val="001A1356"/>
    <w:rsid w:val="001A1F91"/>
    <w:rsid w:val="001A30A4"/>
    <w:rsid w:val="001A316F"/>
    <w:rsid w:val="001A432D"/>
    <w:rsid w:val="001B086F"/>
    <w:rsid w:val="001B6C79"/>
    <w:rsid w:val="001C222E"/>
    <w:rsid w:val="001C495E"/>
    <w:rsid w:val="001C4F2B"/>
    <w:rsid w:val="001C5648"/>
    <w:rsid w:val="001D44FD"/>
    <w:rsid w:val="001E096E"/>
    <w:rsid w:val="001F1158"/>
    <w:rsid w:val="001F170F"/>
    <w:rsid w:val="001F3DCF"/>
    <w:rsid w:val="001F6750"/>
    <w:rsid w:val="00200F8A"/>
    <w:rsid w:val="00201BA5"/>
    <w:rsid w:val="00202D3A"/>
    <w:rsid w:val="002031D6"/>
    <w:rsid w:val="002076D4"/>
    <w:rsid w:val="0021149C"/>
    <w:rsid w:val="00211E3A"/>
    <w:rsid w:val="00221F38"/>
    <w:rsid w:val="00222B81"/>
    <w:rsid w:val="00226CC6"/>
    <w:rsid w:val="00231415"/>
    <w:rsid w:val="00232D01"/>
    <w:rsid w:val="00235A71"/>
    <w:rsid w:val="0024052C"/>
    <w:rsid w:val="00240F5D"/>
    <w:rsid w:val="002433CB"/>
    <w:rsid w:val="0024484C"/>
    <w:rsid w:val="00245D46"/>
    <w:rsid w:val="002536F0"/>
    <w:rsid w:val="00257260"/>
    <w:rsid w:val="00260324"/>
    <w:rsid w:val="00263E4A"/>
    <w:rsid w:val="00264E65"/>
    <w:rsid w:val="00266A8F"/>
    <w:rsid w:val="00267890"/>
    <w:rsid w:val="002678FE"/>
    <w:rsid w:val="002756DC"/>
    <w:rsid w:val="00276B89"/>
    <w:rsid w:val="00280A8C"/>
    <w:rsid w:val="00280DAE"/>
    <w:rsid w:val="0028193E"/>
    <w:rsid w:val="002828EE"/>
    <w:rsid w:val="00285F38"/>
    <w:rsid w:val="00287A54"/>
    <w:rsid w:val="00293108"/>
    <w:rsid w:val="00293137"/>
    <w:rsid w:val="00293B44"/>
    <w:rsid w:val="00294F66"/>
    <w:rsid w:val="0029771D"/>
    <w:rsid w:val="002A4054"/>
    <w:rsid w:val="002A4943"/>
    <w:rsid w:val="002A5F5F"/>
    <w:rsid w:val="002A60E8"/>
    <w:rsid w:val="002B253B"/>
    <w:rsid w:val="002B330D"/>
    <w:rsid w:val="002B4367"/>
    <w:rsid w:val="002B61CB"/>
    <w:rsid w:val="002B6AA7"/>
    <w:rsid w:val="002B7924"/>
    <w:rsid w:val="002B7FBF"/>
    <w:rsid w:val="002C0556"/>
    <w:rsid w:val="002C07AF"/>
    <w:rsid w:val="002C7C8B"/>
    <w:rsid w:val="002D3248"/>
    <w:rsid w:val="002D3AE4"/>
    <w:rsid w:val="002D3D90"/>
    <w:rsid w:val="002D3EAE"/>
    <w:rsid w:val="002D44C8"/>
    <w:rsid w:val="002D620A"/>
    <w:rsid w:val="002E4706"/>
    <w:rsid w:val="002E4E45"/>
    <w:rsid w:val="002E67C7"/>
    <w:rsid w:val="002E7C60"/>
    <w:rsid w:val="002F0535"/>
    <w:rsid w:val="002F0658"/>
    <w:rsid w:val="002F4363"/>
    <w:rsid w:val="002F454D"/>
    <w:rsid w:val="002F5C16"/>
    <w:rsid w:val="002F69B8"/>
    <w:rsid w:val="00301592"/>
    <w:rsid w:val="00305A23"/>
    <w:rsid w:val="00310F38"/>
    <w:rsid w:val="00311B7B"/>
    <w:rsid w:val="00313907"/>
    <w:rsid w:val="00316857"/>
    <w:rsid w:val="00320F32"/>
    <w:rsid w:val="00323220"/>
    <w:rsid w:val="003243EF"/>
    <w:rsid w:val="00331372"/>
    <w:rsid w:val="0033482B"/>
    <w:rsid w:val="00336098"/>
    <w:rsid w:val="00336BE0"/>
    <w:rsid w:val="0033741B"/>
    <w:rsid w:val="00344DE8"/>
    <w:rsid w:val="00346510"/>
    <w:rsid w:val="003475C9"/>
    <w:rsid w:val="003506D4"/>
    <w:rsid w:val="00350E98"/>
    <w:rsid w:val="00351BF3"/>
    <w:rsid w:val="003526A4"/>
    <w:rsid w:val="003600EB"/>
    <w:rsid w:val="00360F16"/>
    <w:rsid w:val="00366327"/>
    <w:rsid w:val="0036744B"/>
    <w:rsid w:val="0037068A"/>
    <w:rsid w:val="003710D3"/>
    <w:rsid w:val="003731BB"/>
    <w:rsid w:val="00374AA2"/>
    <w:rsid w:val="00374BD8"/>
    <w:rsid w:val="003752C2"/>
    <w:rsid w:val="00380A67"/>
    <w:rsid w:val="003822F6"/>
    <w:rsid w:val="003851BF"/>
    <w:rsid w:val="003874B6"/>
    <w:rsid w:val="0038781C"/>
    <w:rsid w:val="00393713"/>
    <w:rsid w:val="00396CB1"/>
    <w:rsid w:val="003A2954"/>
    <w:rsid w:val="003A3520"/>
    <w:rsid w:val="003A366A"/>
    <w:rsid w:val="003A40A2"/>
    <w:rsid w:val="003B103E"/>
    <w:rsid w:val="003B2F46"/>
    <w:rsid w:val="003B2F70"/>
    <w:rsid w:val="003B35C2"/>
    <w:rsid w:val="003B3D09"/>
    <w:rsid w:val="003B5020"/>
    <w:rsid w:val="003B74E1"/>
    <w:rsid w:val="003B7C78"/>
    <w:rsid w:val="003C17EA"/>
    <w:rsid w:val="003C7149"/>
    <w:rsid w:val="003D3C37"/>
    <w:rsid w:val="003D4ECF"/>
    <w:rsid w:val="003D5500"/>
    <w:rsid w:val="003D550B"/>
    <w:rsid w:val="003D62B5"/>
    <w:rsid w:val="003D767A"/>
    <w:rsid w:val="003D7C38"/>
    <w:rsid w:val="003E5154"/>
    <w:rsid w:val="003E653F"/>
    <w:rsid w:val="003E7D4C"/>
    <w:rsid w:val="003F3232"/>
    <w:rsid w:val="003F48FD"/>
    <w:rsid w:val="003F7A53"/>
    <w:rsid w:val="004007D3"/>
    <w:rsid w:val="0040081A"/>
    <w:rsid w:val="00400ED2"/>
    <w:rsid w:val="00401A9A"/>
    <w:rsid w:val="00402772"/>
    <w:rsid w:val="00406D8B"/>
    <w:rsid w:val="00412F51"/>
    <w:rsid w:val="004145F8"/>
    <w:rsid w:val="00422DE4"/>
    <w:rsid w:val="00426FD6"/>
    <w:rsid w:val="00433040"/>
    <w:rsid w:val="004332C4"/>
    <w:rsid w:val="00434BB2"/>
    <w:rsid w:val="004366EF"/>
    <w:rsid w:val="00436CB5"/>
    <w:rsid w:val="00437907"/>
    <w:rsid w:val="00437C58"/>
    <w:rsid w:val="00442085"/>
    <w:rsid w:val="00442325"/>
    <w:rsid w:val="00443031"/>
    <w:rsid w:val="0044545E"/>
    <w:rsid w:val="00445CD3"/>
    <w:rsid w:val="00447D94"/>
    <w:rsid w:val="00447F0D"/>
    <w:rsid w:val="004503F4"/>
    <w:rsid w:val="00450CEE"/>
    <w:rsid w:val="00453341"/>
    <w:rsid w:val="0045451D"/>
    <w:rsid w:val="00460974"/>
    <w:rsid w:val="00460F74"/>
    <w:rsid w:val="00462038"/>
    <w:rsid w:val="00465233"/>
    <w:rsid w:val="00465718"/>
    <w:rsid w:val="004662E8"/>
    <w:rsid w:val="00466E37"/>
    <w:rsid w:val="00467C2F"/>
    <w:rsid w:val="004757C0"/>
    <w:rsid w:val="00480783"/>
    <w:rsid w:val="00485E78"/>
    <w:rsid w:val="00486DDB"/>
    <w:rsid w:val="00490787"/>
    <w:rsid w:val="0049351E"/>
    <w:rsid w:val="0049554A"/>
    <w:rsid w:val="00495E36"/>
    <w:rsid w:val="00495F53"/>
    <w:rsid w:val="004A1810"/>
    <w:rsid w:val="004A79F6"/>
    <w:rsid w:val="004B08D1"/>
    <w:rsid w:val="004B3232"/>
    <w:rsid w:val="004B5EE0"/>
    <w:rsid w:val="004B5F0E"/>
    <w:rsid w:val="004B7358"/>
    <w:rsid w:val="004C1CC9"/>
    <w:rsid w:val="004C2E29"/>
    <w:rsid w:val="004C4DF7"/>
    <w:rsid w:val="004C6C35"/>
    <w:rsid w:val="004D5AEB"/>
    <w:rsid w:val="004D5C20"/>
    <w:rsid w:val="004E0549"/>
    <w:rsid w:val="004E462E"/>
    <w:rsid w:val="004F0562"/>
    <w:rsid w:val="004F0CFB"/>
    <w:rsid w:val="004F1A5D"/>
    <w:rsid w:val="004F1D60"/>
    <w:rsid w:val="004F3596"/>
    <w:rsid w:val="004F5685"/>
    <w:rsid w:val="00510AF4"/>
    <w:rsid w:val="00510F15"/>
    <w:rsid w:val="005118D3"/>
    <w:rsid w:val="005120D3"/>
    <w:rsid w:val="00520204"/>
    <w:rsid w:val="00521183"/>
    <w:rsid w:val="005316C9"/>
    <w:rsid w:val="00532B33"/>
    <w:rsid w:val="00532F1A"/>
    <w:rsid w:val="005353AB"/>
    <w:rsid w:val="0054081E"/>
    <w:rsid w:val="00542FEC"/>
    <w:rsid w:val="005432E6"/>
    <w:rsid w:val="00545372"/>
    <w:rsid w:val="00545AF8"/>
    <w:rsid w:val="0054652F"/>
    <w:rsid w:val="00552602"/>
    <w:rsid w:val="005526E8"/>
    <w:rsid w:val="00552C0C"/>
    <w:rsid w:val="00553052"/>
    <w:rsid w:val="005536FA"/>
    <w:rsid w:val="0055518B"/>
    <w:rsid w:val="00560188"/>
    <w:rsid w:val="00561D0E"/>
    <w:rsid w:val="005673D5"/>
    <w:rsid w:val="00570B77"/>
    <w:rsid w:val="00571725"/>
    <w:rsid w:val="00571B7D"/>
    <w:rsid w:val="00573D96"/>
    <w:rsid w:val="00577640"/>
    <w:rsid w:val="00584F8D"/>
    <w:rsid w:val="005861E4"/>
    <w:rsid w:val="005875BC"/>
    <w:rsid w:val="005916AB"/>
    <w:rsid w:val="005937A4"/>
    <w:rsid w:val="0059408C"/>
    <w:rsid w:val="005961B1"/>
    <w:rsid w:val="00597030"/>
    <w:rsid w:val="00597C92"/>
    <w:rsid w:val="005A0A5D"/>
    <w:rsid w:val="005A1737"/>
    <w:rsid w:val="005A793A"/>
    <w:rsid w:val="005B11FF"/>
    <w:rsid w:val="005B1C3A"/>
    <w:rsid w:val="005B71CF"/>
    <w:rsid w:val="005C268C"/>
    <w:rsid w:val="005C3C60"/>
    <w:rsid w:val="005C6162"/>
    <w:rsid w:val="005C6919"/>
    <w:rsid w:val="005C7FEF"/>
    <w:rsid w:val="005D1FB9"/>
    <w:rsid w:val="005D260E"/>
    <w:rsid w:val="005D31BD"/>
    <w:rsid w:val="005E2C16"/>
    <w:rsid w:val="005E66FC"/>
    <w:rsid w:val="005F059D"/>
    <w:rsid w:val="005F21FF"/>
    <w:rsid w:val="005F51C7"/>
    <w:rsid w:val="005F6587"/>
    <w:rsid w:val="005F7B87"/>
    <w:rsid w:val="00600330"/>
    <w:rsid w:val="0060099F"/>
    <w:rsid w:val="006051AB"/>
    <w:rsid w:val="006061E8"/>
    <w:rsid w:val="006112AC"/>
    <w:rsid w:val="00612C9B"/>
    <w:rsid w:val="00613B3E"/>
    <w:rsid w:val="006163AD"/>
    <w:rsid w:val="00617AAB"/>
    <w:rsid w:val="006203CB"/>
    <w:rsid w:val="00621F91"/>
    <w:rsid w:val="00626728"/>
    <w:rsid w:val="00627AA1"/>
    <w:rsid w:val="00631D44"/>
    <w:rsid w:val="0063721F"/>
    <w:rsid w:val="0064177E"/>
    <w:rsid w:val="00641C9B"/>
    <w:rsid w:val="00642639"/>
    <w:rsid w:val="00643349"/>
    <w:rsid w:val="00646FC1"/>
    <w:rsid w:val="00647680"/>
    <w:rsid w:val="006520C7"/>
    <w:rsid w:val="00655899"/>
    <w:rsid w:val="0066267B"/>
    <w:rsid w:val="006646FE"/>
    <w:rsid w:val="00666E06"/>
    <w:rsid w:val="00667621"/>
    <w:rsid w:val="0068149F"/>
    <w:rsid w:val="00686C4E"/>
    <w:rsid w:val="00691157"/>
    <w:rsid w:val="006930C2"/>
    <w:rsid w:val="0069551B"/>
    <w:rsid w:val="006A0451"/>
    <w:rsid w:val="006A07BB"/>
    <w:rsid w:val="006A2020"/>
    <w:rsid w:val="006A5D14"/>
    <w:rsid w:val="006A6537"/>
    <w:rsid w:val="006B37E2"/>
    <w:rsid w:val="006B3AFD"/>
    <w:rsid w:val="006B5576"/>
    <w:rsid w:val="006B5EAD"/>
    <w:rsid w:val="006B7A56"/>
    <w:rsid w:val="006C2B6C"/>
    <w:rsid w:val="006D0D20"/>
    <w:rsid w:val="006D1331"/>
    <w:rsid w:val="006E041C"/>
    <w:rsid w:val="006E0797"/>
    <w:rsid w:val="006E359F"/>
    <w:rsid w:val="006E5A2B"/>
    <w:rsid w:val="006E7177"/>
    <w:rsid w:val="006E726A"/>
    <w:rsid w:val="006E7BFD"/>
    <w:rsid w:val="006F72E2"/>
    <w:rsid w:val="00700815"/>
    <w:rsid w:val="00700E9C"/>
    <w:rsid w:val="00703F79"/>
    <w:rsid w:val="00704DA4"/>
    <w:rsid w:val="00705562"/>
    <w:rsid w:val="00705B27"/>
    <w:rsid w:val="00710651"/>
    <w:rsid w:val="00710DDE"/>
    <w:rsid w:val="00713850"/>
    <w:rsid w:val="0071563E"/>
    <w:rsid w:val="00715D2E"/>
    <w:rsid w:val="007171B0"/>
    <w:rsid w:val="007208B9"/>
    <w:rsid w:val="00720E57"/>
    <w:rsid w:val="00722A73"/>
    <w:rsid w:val="00723106"/>
    <w:rsid w:val="0072490C"/>
    <w:rsid w:val="007332D3"/>
    <w:rsid w:val="007401A3"/>
    <w:rsid w:val="00742A96"/>
    <w:rsid w:val="00746B50"/>
    <w:rsid w:val="0075248C"/>
    <w:rsid w:val="00752588"/>
    <w:rsid w:val="00754238"/>
    <w:rsid w:val="00754BDD"/>
    <w:rsid w:val="007560FE"/>
    <w:rsid w:val="00757AA7"/>
    <w:rsid w:val="00760F38"/>
    <w:rsid w:val="00761527"/>
    <w:rsid w:val="007709C9"/>
    <w:rsid w:val="007711D8"/>
    <w:rsid w:val="00771998"/>
    <w:rsid w:val="00772156"/>
    <w:rsid w:val="00773AA9"/>
    <w:rsid w:val="00777DF1"/>
    <w:rsid w:val="0078310A"/>
    <w:rsid w:val="0078751D"/>
    <w:rsid w:val="00790755"/>
    <w:rsid w:val="00791E83"/>
    <w:rsid w:val="00792747"/>
    <w:rsid w:val="00793D34"/>
    <w:rsid w:val="0079608F"/>
    <w:rsid w:val="007A1B79"/>
    <w:rsid w:val="007A1BE0"/>
    <w:rsid w:val="007A1D4B"/>
    <w:rsid w:val="007A2774"/>
    <w:rsid w:val="007A3079"/>
    <w:rsid w:val="007B0808"/>
    <w:rsid w:val="007B1377"/>
    <w:rsid w:val="007B1964"/>
    <w:rsid w:val="007B2B19"/>
    <w:rsid w:val="007B2BD8"/>
    <w:rsid w:val="007B482E"/>
    <w:rsid w:val="007B626D"/>
    <w:rsid w:val="007C27F5"/>
    <w:rsid w:val="007C65DF"/>
    <w:rsid w:val="007C7082"/>
    <w:rsid w:val="007D0CA4"/>
    <w:rsid w:val="007D0EAB"/>
    <w:rsid w:val="007D4E0F"/>
    <w:rsid w:val="007D5D63"/>
    <w:rsid w:val="007E5A8A"/>
    <w:rsid w:val="007E7B83"/>
    <w:rsid w:val="007F7839"/>
    <w:rsid w:val="00800A3B"/>
    <w:rsid w:val="00801AEB"/>
    <w:rsid w:val="00802AE1"/>
    <w:rsid w:val="00802AE3"/>
    <w:rsid w:val="008055B1"/>
    <w:rsid w:val="0080568E"/>
    <w:rsid w:val="008145C6"/>
    <w:rsid w:val="0082052C"/>
    <w:rsid w:val="00820957"/>
    <w:rsid w:val="00823B90"/>
    <w:rsid w:val="00825E57"/>
    <w:rsid w:val="00830575"/>
    <w:rsid w:val="00831651"/>
    <w:rsid w:val="00832EF5"/>
    <w:rsid w:val="008435DE"/>
    <w:rsid w:val="00844FF8"/>
    <w:rsid w:val="0085032C"/>
    <w:rsid w:val="0085266B"/>
    <w:rsid w:val="00852CFF"/>
    <w:rsid w:val="00853C47"/>
    <w:rsid w:val="008568D1"/>
    <w:rsid w:val="008609CB"/>
    <w:rsid w:val="00860C51"/>
    <w:rsid w:val="00862389"/>
    <w:rsid w:val="00863D63"/>
    <w:rsid w:val="00864501"/>
    <w:rsid w:val="00864F53"/>
    <w:rsid w:val="00865BDA"/>
    <w:rsid w:val="008700C0"/>
    <w:rsid w:val="0087037E"/>
    <w:rsid w:val="008718E7"/>
    <w:rsid w:val="00875552"/>
    <w:rsid w:val="00875FE0"/>
    <w:rsid w:val="00875FFE"/>
    <w:rsid w:val="008765F9"/>
    <w:rsid w:val="008767A9"/>
    <w:rsid w:val="008802A7"/>
    <w:rsid w:val="008834F4"/>
    <w:rsid w:val="00884C18"/>
    <w:rsid w:val="0088625C"/>
    <w:rsid w:val="008921E2"/>
    <w:rsid w:val="008A1A9F"/>
    <w:rsid w:val="008A354F"/>
    <w:rsid w:val="008A75E5"/>
    <w:rsid w:val="008B0B93"/>
    <w:rsid w:val="008B2285"/>
    <w:rsid w:val="008B38AA"/>
    <w:rsid w:val="008B54A0"/>
    <w:rsid w:val="008B59D1"/>
    <w:rsid w:val="008B6EC8"/>
    <w:rsid w:val="008B77C3"/>
    <w:rsid w:val="008C1F32"/>
    <w:rsid w:val="008C25BC"/>
    <w:rsid w:val="008D0CA4"/>
    <w:rsid w:val="008D2B4D"/>
    <w:rsid w:val="008D3587"/>
    <w:rsid w:val="008D363E"/>
    <w:rsid w:val="008D3DC0"/>
    <w:rsid w:val="008D4D88"/>
    <w:rsid w:val="008D5708"/>
    <w:rsid w:val="008D5F5D"/>
    <w:rsid w:val="008D75E6"/>
    <w:rsid w:val="008D7A70"/>
    <w:rsid w:val="008E362F"/>
    <w:rsid w:val="008E41D9"/>
    <w:rsid w:val="008E7165"/>
    <w:rsid w:val="008F0A9F"/>
    <w:rsid w:val="008F18AC"/>
    <w:rsid w:val="008F5105"/>
    <w:rsid w:val="00901656"/>
    <w:rsid w:val="00901F50"/>
    <w:rsid w:val="0090321D"/>
    <w:rsid w:val="009041C8"/>
    <w:rsid w:val="00906D29"/>
    <w:rsid w:val="00907D66"/>
    <w:rsid w:val="00920FC2"/>
    <w:rsid w:val="0092518A"/>
    <w:rsid w:val="00936829"/>
    <w:rsid w:val="00936DBD"/>
    <w:rsid w:val="00937CF3"/>
    <w:rsid w:val="00937EB1"/>
    <w:rsid w:val="0094158C"/>
    <w:rsid w:val="00945A9D"/>
    <w:rsid w:val="00950B08"/>
    <w:rsid w:val="009521EE"/>
    <w:rsid w:val="00954F1D"/>
    <w:rsid w:val="00955397"/>
    <w:rsid w:val="00955731"/>
    <w:rsid w:val="00960B97"/>
    <w:rsid w:val="0096430A"/>
    <w:rsid w:val="009663E8"/>
    <w:rsid w:val="00966885"/>
    <w:rsid w:val="0096759B"/>
    <w:rsid w:val="00972ABD"/>
    <w:rsid w:val="00975CD5"/>
    <w:rsid w:val="009824C0"/>
    <w:rsid w:val="009870C9"/>
    <w:rsid w:val="00990EDB"/>
    <w:rsid w:val="00991DEF"/>
    <w:rsid w:val="009955AB"/>
    <w:rsid w:val="00995AE6"/>
    <w:rsid w:val="00995F03"/>
    <w:rsid w:val="009969B8"/>
    <w:rsid w:val="009A1474"/>
    <w:rsid w:val="009A61C4"/>
    <w:rsid w:val="009B29A6"/>
    <w:rsid w:val="009B3D24"/>
    <w:rsid w:val="009C67C7"/>
    <w:rsid w:val="009D09F2"/>
    <w:rsid w:val="009D449D"/>
    <w:rsid w:val="009D45B3"/>
    <w:rsid w:val="009D47C1"/>
    <w:rsid w:val="009D5A56"/>
    <w:rsid w:val="009E0EBA"/>
    <w:rsid w:val="009E2635"/>
    <w:rsid w:val="009E28BD"/>
    <w:rsid w:val="009E3106"/>
    <w:rsid w:val="009E38A7"/>
    <w:rsid w:val="009E5CCB"/>
    <w:rsid w:val="009E6BD5"/>
    <w:rsid w:val="009F0369"/>
    <w:rsid w:val="009F493D"/>
    <w:rsid w:val="009F64FE"/>
    <w:rsid w:val="00A004D3"/>
    <w:rsid w:val="00A02593"/>
    <w:rsid w:val="00A13E87"/>
    <w:rsid w:val="00A143FC"/>
    <w:rsid w:val="00A2433C"/>
    <w:rsid w:val="00A26E75"/>
    <w:rsid w:val="00A26EE2"/>
    <w:rsid w:val="00A31CFC"/>
    <w:rsid w:val="00A31EA1"/>
    <w:rsid w:val="00A320C5"/>
    <w:rsid w:val="00A3286B"/>
    <w:rsid w:val="00A33A69"/>
    <w:rsid w:val="00A36B39"/>
    <w:rsid w:val="00A45B00"/>
    <w:rsid w:val="00A52C47"/>
    <w:rsid w:val="00A54A97"/>
    <w:rsid w:val="00A55A9C"/>
    <w:rsid w:val="00A55CBB"/>
    <w:rsid w:val="00A57387"/>
    <w:rsid w:val="00A61B4D"/>
    <w:rsid w:val="00A62FA8"/>
    <w:rsid w:val="00A704E2"/>
    <w:rsid w:val="00A75593"/>
    <w:rsid w:val="00A82460"/>
    <w:rsid w:val="00A8326E"/>
    <w:rsid w:val="00A87094"/>
    <w:rsid w:val="00A94C99"/>
    <w:rsid w:val="00A9743A"/>
    <w:rsid w:val="00AA4480"/>
    <w:rsid w:val="00AA5941"/>
    <w:rsid w:val="00AA6FD0"/>
    <w:rsid w:val="00AB14FE"/>
    <w:rsid w:val="00AB2E3F"/>
    <w:rsid w:val="00AB3B51"/>
    <w:rsid w:val="00AB6A3B"/>
    <w:rsid w:val="00AC0B03"/>
    <w:rsid w:val="00AC2354"/>
    <w:rsid w:val="00AC76C2"/>
    <w:rsid w:val="00AC7763"/>
    <w:rsid w:val="00AD1D98"/>
    <w:rsid w:val="00AD41ED"/>
    <w:rsid w:val="00AE1DDF"/>
    <w:rsid w:val="00AE612F"/>
    <w:rsid w:val="00AF0655"/>
    <w:rsid w:val="00AF39AC"/>
    <w:rsid w:val="00AF636C"/>
    <w:rsid w:val="00B009E2"/>
    <w:rsid w:val="00B0130D"/>
    <w:rsid w:val="00B047A3"/>
    <w:rsid w:val="00B04A1E"/>
    <w:rsid w:val="00B05E08"/>
    <w:rsid w:val="00B05E33"/>
    <w:rsid w:val="00B06385"/>
    <w:rsid w:val="00B0638D"/>
    <w:rsid w:val="00B07A15"/>
    <w:rsid w:val="00B1094C"/>
    <w:rsid w:val="00B11FCF"/>
    <w:rsid w:val="00B13E36"/>
    <w:rsid w:val="00B17644"/>
    <w:rsid w:val="00B200B9"/>
    <w:rsid w:val="00B20E8A"/>
    <w:rsid w:val="00B234CD"/>
    <w:rsid w:val="00B23F5F"/>
    <w:rsid w:val="00B30F14"/>
    <w:rsid w:val="00B31615"/>
    <w:rsid w:val="00B3508B"/>
    <w:rsid w:val="00B35155"/>
    <w:rsid w:val="00B36ADA"/>
    <w:rsid w:val="00B36DA0"/>
    <w:rsid w:val="00B379A0"/>
    <w:rsid w:val="00B514AE"/>
    <w:rsid w:val="00B5740E"/>
    <w:rsid w:val="00B57498"/>
    <w:rsid w:val="00B5781A"/>
    <w:rsid w:val="00B64E6E"/>
    <w:rsid w:val="00B65450"/>
    <w:rsid w:val="00B7061C"/>
    <w:rsid w:val="00B72DCD"/>
    <w:rsid w:val="00B76755"/>
    <w:rsid w:val="00B8023C"/>
    <w:rsid w:val="00B80C19"/>
    <w:rsid w:val="00B81556"/>
    <w:rsid w:val="00B827C4"/>
    <w:rsid w:val="00B87693"/>
    <w:rsid w:val="00B905E0"/>
    <w:rsid w:val="00B936D2"/>
    <w:rsid w:val="00B94F5A"/>
    <w:rsid w:val="00B96690"/>
    <w:rsid w:val="00B9791D"/>
    <w:rsid w:val="00BA201F"/>
    <w:rsid w:val="00BA55BF"/>
    <w:rsid w:val="00BA5C05"/>
    <w:rsid w:val="00BB1D8E"/>
    <w:rsid w:val="00BB3DAC"/>
    <w:rsid w:val="00BC21CE"/>
    <w:rsid w:val="00BC34B9"/>
    <w:rsid w:val="00BC4C00"/>
    <w:rsid w:val="00BC5A75"/>
    <w:rsid w:val="00BC683B"/>
    <w:rsid w:val="00BC7BEB"/>
    <w:rsid w:val="00BD1653"/>
    <w:rsid w:val="00BD582A"/>
    <w:rsid w:val="00BD69D3"/>
    <w:rsid w:val="00BE1947"/>
    <w:rsid w:val="00BE1CE1"/>
    <w:rsid w:val="00BE3784"/>
    <w:rsid w:val="00BE51D0"/>
    <w:rsid w:val="00BF31C8"/>
    <w:rsid w:val="00BF4732"/>
    <w:rsid w:val="00BF6092"/>
    <w:rsid w:val="00C01014"/>
    <w:rsid w:val="00C03D17"/>
    <w:rsid w:val="00C1148B"/>
    <w:rsid w:val="00C12D66"/>
    <w:rsid w:val="00C12E59"/>
    <w:rsid w:val="00C14B16"/>
    <w:rsid w:val="00C14C69"/>
    <w:rsid w:val="00C14E04"/>
    <w:rsid w:val="00C15126"/>
    <w:rsid w:val="00C207B4"/>
    <w:rsid w:val="00C20F60"/>
    <w:rsid w:val="00C2533D"/>
    <w:rsid w:val="00C25B9A"/>
    <w:rsid w:val="00C26606"/>
    <w:rsid w:val="00C301F6"/>
    <w:rsid w:val="00C365E0"/>
    <w:rsid w:val="00C44C5E"/>
    <w:rsid w:val="00C46F20"/>
    <w:rsid w:val="00C47064"/>
    <w:rsid w:val="00C60318"/>
    <w:rsid w:val="00C60836"/>
    <w:rsid w:val="00C616CC"/>
    <w:rsid w:val="00C64369"/>
    <w:rsid w:val="00C65C68"/>
    <w:rsid w:val="00C65F64"/>
    <w:rsid w:val="00C6614A"/>
    <w:rsid w:val="00C702BB"/>
    <w:rsid w:val="00C930A6"/>
    <w:rsid w:val="00C9479D"/>
    <w:rsid w:val="00C95645"/>
    <w:rsid w:val="00CA60D5"/>
    <w:rsid w:val="00CA61CB"/>
    <w:rsid w:val="00CB11E4"/>
    <w:rsid w:val="00CB1973"/>
    <w:rsid w:val="00CB744A"/>
    <w:rsid w:val="00CC03A8"/>
    <w:rsid w:val="00CC2EE6"/>
    <w:rsid w:val="00CC4FC2"/>
    <w:rsid w:val="00CD300D"/>
    <w:rsid w:val="00CD3D86"/>
    <w:rsid w:val="00CD4ED6"/>
    <w:rsid w:val="00CD6C9B"/>
    <w:rsid w:val="00CD7F5D"/>
    <w:rsid w:val="00CE0A00"/>
    <w:rsid w:val="00CE24F1"/>
    <w:rsid w:val="00CE37FC"/>
    <w:rsid w:val="00CE64AA"/>
    <w:rsid w:val="00CF3781"/>
    <w:rsid w:val="00CF62B6"/>
    <w:rsid w:val="00D04603"/>
    <w:rsid w:val="00D05CD2"/>
    <w:rsid w:val="00D074FD"/>
    <w:rsid w:val="00D13A3A"/>
    <w:rsid w:val="00D14BD1"/>
    <w:rsid w:val="00D14DE5"/>
    <w:rsid w:val="00D153CE"/>
    <w:rsid w:val="00D15C33"/>
    <w:rsid w:val="00D21598"/>
    <w:rsid w:val="00D228BF"/>
    <w:rsid w:val="00D232F6"/>
    <w:rsid w:val="00D2426A"/>
    <w:rsid w:val="00D3085C"/>
    <w:rsid w:val="00D376B2"/>
    <w:rsid w:val="00D431CA"/>
    <w:rsid w:val="00D47651"/>
    <w:rsid w:val="00D510F0"/>
    <w:rsid w:val="00D52007"/>
    <w:rsid w:val="00D5706D"/>
    <w:rsid w:val="00D5799F"/>
    <w:rsid w:val="00D60BD7"/>
    <w:rsid w:val="00D60C26"/>
    <w:rsid w:val="00D63C3F"/>
    <w:rsid w:val="00D654EF"/>
    <w:rsid w:val="00D65663"/>
    <w:rsid w:val="00D736AD"/>
    <w:rsid w:val="00D76160"/>
    <w:rsid w:val="00D8115A"/>
    <w:rsid w:val="00D83779"/>
    <w:rsid w:val="00D90649"/>
    <w:rsid w:val="00D940DA"/>
    <w:rsid w:val="00D97B14"/>
    <w:rsid w:val="00DA2F70"/>
    <w:rsid w:val="00DA37D4"/>
    <w:rsid w:val="00DB14B8"/>
    <w:rsid w:val="00DB34E3"/>
    <w:rsid w:val="00DC14FC"/>
    <w:rsid w:val="00DC162C"/>
    <w:rsid w:val="00DC17DE"/>
    <w:rsid w:val="00DC5398"/>
    <w:rsid w:val="00DD0326"/>
    <w:rsid w:val="00DD4362"/>
    <w:rsid w:val="00DD54F8"/>
    <w:rsid w:val="00DD59CD"/>
    <w:rsid w:val="00DD7608"/>
    <w:rsid w:val="00DE0E9A"/>
    <w:rsid w:val="00DE1427"/>
    <w:rsid w:val="00DE2CC3"/>
    <w:rsid w:val="00DE6985"/>
    <w:rsid w:val="00DF1186"/>
    <w:rsid w:val="00DF1ACC"/>
    <w:rsid w:val="00DF233B"/>
    <w:rsid w:val="00DF2410"/>
    <w:rsid w:val="00DF257B"/>
    <w:rsid w:val="00DF345E"/>
    <w:rsid w:val="00DF3D1A"/>
    <w:rsid w:val="00DF7390"/>
    <w:rsid w:val="00E026C1"/>
    <w:rsid w:val="00E04B7C"/>
    <w:rsid w:val="00E11617"/>
    <w:rsid w:val="00E138DF"/>
    <w:rsid w:val="00E1450E"/>
    <w:rsid w:val="00E223EE"/>
    <w:rsid w:val="00E2464A"/>
    <w:rsid w:val="00E253CD"/>
    <w:rsid w:val="00E25B5F"/>
    <w:rsid w:val="00E25BCF"/>
    <w:rsid w:val="00E2663D"/>
    <w:rsid w:val="00E26B1B"/>
    <w:rsid w:val="00E321BC"/>
    <w:rsid w:val="00E3293C"/>
    <w:rsid w:val="00E33F1B"/>
    <w:rsid w:val="00E4409B"/>
    <w:rsid w:val="00E451CB"/>
    <w:rsid w:val="00E45F71"/>
    <w:rsid w:val="00E469CE"/>
    <w:rsid w:val="00E5240D"/>
    <w:rsid w:val="00E54A0B"/>
    <w:rsid w:val="00E551A5"/>
    <w:rsid w:val="00E55208"/>
    <w:rsid w:val="00E553B7"/>
    <w:rsid w:val="00E55F63"/>
    <w:rsid w:val="00E57367"/>
    <w:rsid w:val="00E63A65"/>
    <w:rsid w:val="00E64F82"/>
    <w:rsid w:val="00E65594"/>
    <w:rsid w:val="00E70CF1"/>
    <w:rsid w:val="00E71571"/>
    <w:rsid w:val="00E74169"/>
    <w:rsid w:val="00E74517"/>
    <w:rsid w:val="00E77180"/>
    <w:rsid w:val="00E83CEA"/>
    <w:rsid w:val="00E8552E"/>
    <w:rsid w:val="00E867F9"/>
    <w:rsid w:val="00E93359"/>
    <w:rsid w:val="00E942F6"/>
    <w:rsid w:val="00E947BF"/>
    <w:rsid w:val="00E96DCC"/>
    <w:rsid w:val="00EA1A0D"/>
    <w:rsid w:val="00EA696A"/>
    <w:rsid w:val="00EC0CD7"/>
    <w:rsid w:val="00EC2042"/>
    <w:rsid w:val="00EC7420"/>
    <w:rsid w:val="00ED25DB"/>
    <w:rsid w:val="00ED2805"/>
    <w:rsid w:val="00ED457B"/>
    <w:rsid w:val="00EE25A4"/>
    <w:rsid w:val="00EE64E1"/>
    <w:rsid w:val="00EE71BA"/>
    <w:rsid w:val="00EF1D9D"/>
    <w:rsid w:val="00EF6403"/>
    <w:rsid w:val="00F01345"/>
    <w:rsid w:val="00F020A6"/>
    <w:rsid w:val="00F057C8"/>
    <w:rsid w:val="00F06AF0"/>
    <w:rsid w:val="00F10F55"/>
    <w:rsid w:val="00F1240D"/>
    <w:rsid w:val="00F14A6A"/>
    <w:rsid w:val="00F15DFD"/>
    <w:rsid w:val="00F219FF"/>
    <w:rsid w:val="00F2223E"/>
    <w:rsid w:val="00F2400D"/>
    <w:rsid w:val="00F249AA"/>
    <w:rsid w:val="00F27157"/>
    <w:rsid w:val="00F27FB6"/>
    <w:rsid w:val="00F32A1E"/>
    <w:rsid w:val="00F36538"/>
    <w:rsid w:val="00F37DB9"/>
    <w:rsid w:val="00F408DE"/>
    <w:rsid w:val="00F409F7"/>
    <w:rsid w:val="00F428E6"/>
    <w:rsid w:val="00F42E1C"/>
    <w:rsid w:val="00F43302"/>
    <w:rsid w:val="00F450F2"/>
    <w:rsid w:val="00F454EC"/>
    <w:rsid w:val="00F46A58"/>
    <w:rsid w:val="00F51238"/>
    <w:rsid w:val="00F54150"/>
    <w:rsid w:val="00F6081F"/>
    <w:rsid w:val="00F61664"/>
    <w:rsid w:val="00F655FC"/>
    <w:rsid w:val="00F66172"/>
    <w:rsid w:val="00F70B78"/>
    <w:rsid w:val="00F724B3"/>
    <w:rsid w:val="00F73B75"/>
    <w:rsid w:val="00F74D37"/>
    <w:rsid w:val="00F751A1"/>
    <w:rsid w:val="00F809C9"/>
    <w:rsid w:val="00F822E9"/>
    <w:rsid w:val="00F85101"/>
    <w:rsid w:val="00F863A0"/>
    <w:rsid w:val="00F87CD9"/>
    <w:rsid w:val="00F91CB7"/>
    <w:rsid w:val="00F9399A"/>
    <w:rsid w:val="00F93CBA"/>
    <w:rsid w:val="00F96002"/>
    <w:rsid w:val="00FA4A34"/>
    <w:rsid w:val="00FA730C"/>
    <w:rsid w:val="00FA7463"/>
    <w:rsid w:val="00FA77EC"/>
    <w:rsid w:val="00FB2D28"/>
    <w:rsid w:val="00FB3711"/>
    <w:rsid w:val="00FB4DB1"/>
    <w:rsid w:val="00FB5EC8"/>
    <w:rsid w:val="00FC04D6"/>
    <w:rsid w:val="00FC2230"/>
    <w:rsid w:val="00FC57F7"/>
    <w:rsid w:val="00FC615A"/>
    <w:rsid w:val="00FC7631"/>
    <w:rsid w:val="00FD3AE1"/>
    <w:rsid w:val="00FD42A6"/>
    <w:rsid w:val="00FE07E0"/>
    <w:rsid w:val="00FE50F4"/>
    <w:rsid w:val="00FE5254"/>
    <w:rsid w:val="00FE542E"/>
    <w:rsid w:val="00FF0603"/>
    <w:rsid w:val="00FF1313"/>
    <w:rsid w:val="00FF2A67"/>
    <w:rsid w:val="00FF323B"/>
    <w:rsid w:val="00FF3BA0"/>
    <w:rsid w:val="00FF56D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2ED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A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426A"/>
    <w:rPr>
      <w:sz w:val="18"/>
      <w:szCs w:val="18"/>
    </w:rPr>
  </w:style>
  <w:style w:type="paragraph" w:styleId="CommentText">
    <w:name w:val="annotation text"/>
    <w:basedOn w:val="Normal"/>
    <w:link w:val="CommentTextChar"/>
    <w:uiPriority w:val="99"/>
    <w:unhideWhenUsed/>
    <w:rsid w:val="00D2426A"/>
    <w:pPr>
      <w:spacing w:line="240" w:lineRule="auto"/>
    </w:pPr>
    <w:rPr>
      <w:sz w:val="24"/>
      <w:szCs w:val="24"/>
    </w:rPr>
  </w:style>
  <w:style w:type="character" w:customStyle="1" w:styleId="CommentTextChar">
    <w:name w:val="Comment Text Char"/>
    <w:basedOn w:val="DefaultParagraphFont"/>
    <w:link w:val="CommentText"/>
    <w:uiPriority w:val="99"/>
    <w:rsid w:val="00D2426A"/>
    <w:rPr>
      <w:sz w:val="24"/>
      <w:szCs w:val="24"/>
    </w:rPr>
  </w:style>
  <w:style w:type="paragraph" w:styleId="CommentSubject">
    <w:name w:val="annotation subject"/>
    <w:basedOn w:val="CommentText"/>
    <w:next w:val="CommentText"/>
    <w:link w:val="CommentSubjectChar"/>
    <w:uiPriority w:val="99"/>
    <w:semiHidden/>
    <w:unhideWhenUsed/>
    <w:rsid w:val="00D2426A"/>
    <w:rPr>
      <w:b/>
      <w:bCs/>
      <w:sz w:val="20"/>
      <w:szCs w:val="20"/>
    </w:rPr>
  </w:style>
  <w:style w:type="character" w:customStyle="1" w:styleId="CommentSubjectChar">
    <w:name w:val="Comment Subject Char"/>
    <w:basedOn w:val="CommentTextChar"/>
    <w:link w:val="CommentSubject"/>
    <w:uiPriority w:val="99"/>
    <w:semiHidden/>
    <w:rsid w:val="00D2426A"/>
    <w:rPr>
      <w:b/>
      <w:bCs/>
      <w:sz w:val="20"/>
      <w:szCs w:val="20"/>
    </w:rPr>
  </w:style>
  <w:style w:type="paragraph" w:styleId="BalloonText">
    <w:name w:val="Balloon Text"/>
    <w:basedOn w:val="Normal"/>
    <w:link w:val="BalloonTextChar"/>
    <w:uiPriority w:val="99"/>
    <w:semiHidden/>
    <w:unhideWhenUsed/>
    <w:rsid w:val="00D2426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2426A"/>
    <w:rPr>
      <w:rFonts w:ascii="Lucida Grande" w:hAnsi="Lucida Grande"/>
      <w:sz w:val="18"/>
      <w:szCs w:val="18"/>
    </w:rPr>
  </w:style>
  <w:style w:type="paragraph" w:styleId="ListParagraph">
    <w:name w:val="List Paragraph"/>
    <w:basedOn w:val="Normal"/>
    <w:uiPriority w:val="34"/>
    <w:qFormat/>
    <w:rsid w:val="00AC2354"/>
    <w:pPr>
      <w:ind w:left="720"/>
      <w:contextualSpacing/>
    </w:pPr>
  </w:style>
  <w:style w:type="character" w:styleId="Hyperlink">
    <w:name w:val="Hyperlink"/>
    <w:basedOn w:val="DefaultParagraphFont"/>
    <w:uiPriority w:val="99"/>
    <w:unhideWhenUsed/>
    <w:rsid w:val="00F96002"/>
    <w:rPr>
      <w:color w:val="0000FF" w:themeColor="hyperlink"/>
      <w:u w:val="single"/>
    </w:rPr>
  </w:style>
  <w:style w:type="paragraph" w:styleId="Bibliography">
    <w:name w:val="Bibliography"/>
    <w:basedOn w:val="Normal"/>
    <w:next w:val="Normal"/>
    <w:uiPriority w:val="37"/>
    <w:unhideWhenUsed/>
    <w:rsid w:val="00C44C5E"/>
    <w:pPr>
      <w:spacing w:after="0" w:line="480" w:lineRule="auto"/>
      <w:ind w:left="720" w:hanging="720"/>
    </w:pPr>
  </w:style>
  <w:style w:type="character" w:styleId="PlaceholderText">
    <w:name w:val="Placeholder Text"/>
    <w:basedOn w:val="DefaultParagraphFont"/>
    <w:uiPriority w:val="99"/>
    <w:semiHidden/>
    <w:rsid w:val="00E77180"/>
    <w:rPr>
      <w:color w:val="808080"/>
    </w:rPr>
  </w:style>
  <w:style w:type="paragraph" w:styleId="FootnoteText">
    <w:name w:val="footnote text"/>
    <w:basedOn w:val="Normal"/>
    <w:link w:val="FootnoteTextChar"/>
    <w:uiPriority w:val="99"/>
    <w:semiHidden/>
    <w:unhideWhenUsed/>
    <w:rsid w:val="00E321B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21BC"/>
    <w:rPr>
      <w:sz w:val="20"/>
      <w:szCs w:val="20"/>
    </w:rPr>
  </w:style>
  <w:style w:type="character" w:styleId="FootnoteReference">
    <w:name w:val="footnote reference"/>
    <w:basedOn w:val="DefaultParagraphFont"/>
    <w:uiPriority w:val="99"/>
    <w:semiHidden/>
    <w:unhideWhenUsed/>
    <w:rsid w:val="00E321BC"/>
    <w:rPr>
      <w:vertAlign w:val="superscript"/>
    </w:rPr>
  </w:style>
  <w:style w:type="paragraph" w:styleId="Caption">
    <w:name w:val="caption"/>
    <w:basedOn w:val="Normal"/>
    <w:next w:val="Normal"/>
    <w:uiPriority w:val="35"/>
    <w:unhideWhenUsed/>
    <w:qFormat/>
    <w:rsid w:val="00FF56D6"/>
    <w:pPr>
      <w:spacing w:line="240" w:lineRule="auto"/>
    </w:pPr>
    <w:rPr>
      <w:b/>
      <w:bCs/>
      <w:color w:val="4F81BD" w:themeColor="accent1"/>
      <w:sz w:val="18"/>
      <w:szCs w:val="18"/>
    </w:rPr>
  </w:style>
  <w:style w:type="table" w:styleId="TableGrid">
    <w:name w:val="Table Grid"/>
    <w:basedOn w:val="TableNormal"/>
    <w:uiPriority w:val="59"/>
    <w:rsid w:val="00FF56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66327"/>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A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426A"/>
    <w:rPr>
      <w:sz w:val="18"/>
      <w:szCs w:val="18"/>
    </w:rPr>
  </w:style>
  <w:style w:type="paragraph" w:styleId="CommentText">
    <w:name w:val="annotation text"/>
    <w:basedOn w:val="Normal"/>
    <w:link w:val="CommentTextChar"/>
    <w:uiPriority w:val="99"/>
    <w:unhideWhenUsed/>
    <w:rsid w:val="00D2426A"/>
    <w:pPr>
      <w:spacing w:line="240" w:lineRule="auto"/>
    </w:pPr>
    <w:rPr>
      <w:sz w:val="24"/>
      <w:szCs w:val="24"/>
    </w:rPr>
  </w:style>
  <w:style w:type="character" w:customStyle="1" w:styleId="CommentTextChar">
    <w:name w:val="Comment Text Char"/>
    <w:basedOn w:val="DefaultParagraphFont"/>
    <w:link w:val="CommentText"/>
    <w:uiPriority w:val="99"/>
    <w:rsid w:val="00D2426A"/>
    <w:rPr>
      <w:sz w:val="24"/>
      <w:szCs w:val="24"/>
    </w:rPr>
  </w:style>
  <w:style w:type="paragraph" w:styleId="CommentSubject">
    <w:name w:val="annotation subject"/>
    <w:basedOn w:val="CommentText"/>
    <w:next w:val="CommentText"/>
    <w:link w:val="CommentSubjectChar"/>
    <w:uiPriority w:val="99"/>
    <w:semiHidden/>
    <w:unhideWhenUsed/>
    <w:rsid w:val="00D2426A"/>
    <w:rPr>
      <w:b/>
      <w:bCs/>
      <w:sz w:val="20"/>
      <w:szCs w:val="20"/>
    </w:rPr>
  </w:style>
  <w:style w:type="character" w:customStyle="1" w:styleId="CommentSubjectChar">
    <w:name w:val="Comment Subject Char"/>
    <w:basedOn w:val="CommentTextChar"/>
    <w:link w:val="CommentSubject"/>
    <w:uiPriority w:val="99"/>
    <w:semiHidden/>
    <w:rsid w:val="00D2426A"/>
    <w:rPr>
      <w:b/>
      <w:bCs/>
      <w:sz w:val="20"/>
      <w:szCs w:val="20"/>
    </w:rPr>
  </w:style>
  <w:style w:type="paragraph" w:styleId="BalloonText">
    <w:name w:val="Balloon Text"/>
    <w:basedOn w:val="Normal"/>
    <w:link w:val="BalloonTextChar"/>
    <w:uiPriority w:val="99"/>
    <w:semiHidden/>
    <w:unhideWhenUsed/>
    <w:rsid w:val="00D2426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2426A"/>
    <w:rPr>
      <w:rFonts w:ascii="Lucida Grande" w:hAnsi="Lucida Grande"/>
      <w:sz w:val="18"/>
      <w:szCs w:val="18"/>
    </w:rPr>
  </w:style>
  <w:style w:type="paragraph" w:styleId="ListParagraph">
    <w:name w:val="List Paragraph"/>
    <w:basedOn w:val="Normal"/>
    <w:uiPriority w:val="34"/>
    <w:qFormat/>
    <w:rsid w:val="00AC2354"/>
    <w:pPr>
      <w:ind w:left="720"/>
      <w:contextualSpacing/>
    </w:pPr>
  </w:style>
  <w:style w:type="character" w:styleId="Hyperlink">
    <w:name w:val="Hyperlink"/>
    <w:basedOn w:val="DefaultParagraphFont"/>
    <w:uiPriority w:val="99"/>
    <w:unhideWhenUsed/>
    <w:rsid w:val="00F96002"/>
    <w:rPr>
      <w:color w:val="0000FF" w:themeColor="hyperlink"/>
      <w:u w:val="single"/>
    </w:rPr>
  </w:style>
  <w:style w:type="paragraph" w:styleId="Bibliography">
    <w:name w:val="Bibliography"/>
    <w:basedOn w:val="Normal"/>
    <w:next w:val="Normal"/>
    <w:uiPriority w:val="37"/>
    <w:unhideWhenUsed/>
    <w:rsid w:val="00C44C5E"/>
    <w:pPr>
      <w:spacing w:after="0" w:line="480" w:lineRule="auto"/>
      <w:ind w:left="720" w:hanging="720"/>
    </w:pPr>
  </w:style>
  <w:style w:type="character" w:styleId="PlaceholderText">
    <w:name w:val="Placeholder Text"/>
    <w:basedOn w:val="DefaultParagraphFont"/>
    <w:uiPriority w:val="99"/>
    <w:semiHidden/>
    <w:rsid w:val="00E77180"/>
    <w:rPr>
      <w:color w:val="808080"/>
    </w:rPr>
  </w:style>
  <w:style w:type="paragraph" w:styleId="FootnoteText">
    <w:name w:val="footnote text"/>
    <w:basedOn w:val="Normal"/>
    <w:link w:val="FootnoteTextChar"/>
    <w:uiPriority w:val="99"/>
    <w:semiHidden/>
    <w:unhideWhenUsed/>
    <w:rsid w:val="00E321B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21BC"/>
    <w:rPr>
      <w:sz w:val="20"/>
      <w:szCs w:val="20"/>
    </w:rPr>
  </w:style>
  <w:style w:type="character" w:styleId="FootnoteReference">
    <w:name w:val="footnote reference"/>
    <w:basedOn w:val="DefaultParagraphFont"/>
    <w:uiPriority w:val="99"/>
    <w:semiHidden/>
    <w:unhideWhenUsed/>
    <w:rsid w:val="00E321BC"/>
    <w:rPr>
      <w:vertAlign w:val="superscript"/>
    </w:rPr>
  </w:style>
  <w:style w:type="paragraph" w:styleId="Caption">
    <w:name w:val="caption"/>
    <w:basedOn w:val="Normal"/>
    <w:next w:val="Normal"/>
    <w:uiPriority w:val="35"/>
    <w:unhideWhenUsed/>
    <w:qFormat/>
    <w:rsid w:val="00FF56D6"/>
    <w:pPr>
      <w:spacing w:line="240" w:lineRule="auto"/>
    </w:pPr>
    <w:rPr>
      <w:b/>
      <w:bCs/>
      <w:color w:val="4F81BD" w:themeColor="accent1"/>
      <w:sz w:val="18"/>
      <w:szCs w:val="18"/>
    </w:rPr>
  </w:style>
  <w:style w:type="table" w:styleId="TableGrid">
    <w:name w:val="Table Grid"/>
    <w:basedOn w:val="TableNormal"/>
    <w:uiPriority w:val="59"/>
    <w:rsid w:val="00FF56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6632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dbirman/att_awe"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gru.stanford.edu/doku.php/mrTools/overview"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ni.stanford.edu/wiki/MUX_EPI" TargetMode="External"/><Relationship Id="rId5" Type="http://schemas.openxmlformats.org/officeDocument/2006/relationships/settings" Target="settings.xml"/><Relationship Id="rId15" Type="http://schemas.openxmlformats.org/officeDocument/2006/relationships/image" Target="media/image2.jpeg"/><Relationship Id="rId10" Type="http://schemas.openxmlformats.org/officeDocument/2006/relationships/hyperlink" Target="https://github.com/justingardner/grustim" TargetMode="External"/><Relationship Id="rId19" Type="http://schemas.openxmlformats.org/officeDocument/2006/relationships/image" Target="media/image6.wmf"/><Relationship Id="rId4" Type="http://schemas.microsoft.com/office/2007/relationships/stylesWithEffects" Target="stylesWithEffects.xml"/><Relationship Id="rId9" Type="http://schemas.openxmlformats.org/officeDocument/2006/relationships/hyperlink" Target="http://gru.stanford.edu/doku.php/mgl/overview" TargetMode="External"/><Relationship Id="rId1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18046-D72B-41B8-886A-031E66762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Pages>
  <Words>13977</Words>
  <Characters>79675</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Yuko Hara</dc:creator>
  <cp:lastModifiedBy>DB</cp:lastModifiedBy>
  <cp:revision>40</cp:revision>
  <cp:lastPrinted>2015-06-09T18:50:00Z</cp:lastPrinted>
  <dcterms:created xsi:type="dcterms:W3CDTF">2015-06-01T23:55:00Z</dcterms:created>
  <dcterms:modified xsi:type="dcterms:W3CDTF">2015-06-09T18:50:00Z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danbirman@gmail.com@www.mendeley.com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http://csl.mendeley.com/styles/17714781/pnas-2</vt:lpwstr>
  </property>
  <property fmtid="{D5CDD505-2E9C-101B-9397-08002B2CF9AE}" pid="20" name="Mendeley Recent Style Name 7_1">
    <vt:lpwstr>Proceedings of the National Academy of Sciences of the United States of America - Daniel Birman</vt:lpwstr>
  </property>
  <property fmtid="{D5CDD505-2E9C-101B-9397-08002B2CF9AE}" pid="21" name="Mendeley Recent Style Id 8_1">
    <vt:lpwstr>http://www.zotero.org/styles/science-without-titles</vt:lpwstr>
  </property>
  <property fmtid="{D5CDD505-2E9C-101B-9397-08002B2CF9AE}" pid="22" name="Mendeley Recent Style Name 8_1">
    <vt:lpwstr>Science (without titles)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ZOTERO_PREF_1">
    <vt:lpwstr>&lt;data data-version="3" zotero-version="4.0.26.3"&gt;&lt;session id="aUTtvdKh"/&gt;&lt;style id="http://www.zotero.org/styles/apa" hasBibliography="1" bibliographyStyleHasBeenSet="1"/&gt;&lt;prefs&gt;&lt;pref name="fieldType" value="Field"/&gt;&lt;pref name="storeReferences" value="tru</vt:lpwstr>
  </property>
  <property fmtid="{D5CDD505-2E9C-101B-9397-08002B2CF9AE}" pid="26" name="ZOTERO_PREF_2">
    <vt:lpwstr>e"/&gt;&lt;pref name="automaticJournalAbbreviations" value="true"/&gt;&lt;pref name="noteType" value="0"/&gt;&lt;/prefs&gt;&lt;/data&gt;</vt:lpwstr>
  </property>
</Properties>
</file>