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68B78" w14:textId="77777777" w:rsidR="005D03F4" w:rsidRDefault="005D03F4" w:rsidP="005D03F4">
      <w:pPr>
        <w:ind w:left="-567"/>
      </w:pPr>
      <w:r>
        <w:t>Dan Birman</w:t>
      </w:r>
      <w:r w:rsidR="00E00EEC">
        <w:t xml:space="preserve"> </w:t>
      </w:r>
    </w:p>
    <w:p w14:paraId="24215675" w14:textId="77777777" w:rsidR="005D03F4" w:rsidRPr="005D03F4" w:rsidRDefault="005D03F4" w:rsidP="005D03F4">
      <w:pPr>
        <w:ind w:left="-567"/>
      </w:pPr>
      <w:r>
        <w:t>Psych 254: Michael Frank</w:t>
      </w:r>
    </w:p>
    <w:p w14:paraId="2DFE9481" w14:textId="77777777" w:rsidR="005D03F4" w:rsidRDefault="005D03F4" w:rsidP="005D03F4">
      <w:pPr>
        <w:ind w:left="-567"/>
        <w:rPr>
          <w:b/>
        </w:rPr>
      </w:pPr>
    </w:p>
    <w:p w14:paraId="1A93F614" w14:textId="77777777" w:rsidR="009713F4" w:rsidRDefault="005D03F4" w:rsidP="005D03F4">
      <w:pPr>
        <w:ind w:left="-567"/>
      </w:pPr>
      <w:r>
        <w:rPr>
          <w:b/>
        </w:rPr>
        <w:t>Overview:</w:t>
      </w:r>
      <w:r>
        <w:t xml:space="preserve"> </w:t>
      </w:r>
    </w:p>
    <w:p w14:paraId="4AA21F02" w14:textId="77777777" w:rsidR="00242495" w:rsidRDefault="005D03F4" w:rsidP="009713F4">
      <w:pPr>
        <w:ind w:left="-567" w:firstLine="567"/>
      </w:pPr>
      <w:r>
        <w:t>This is a design draft for a replication of Cohen et al. 2011</w:t>
      </w:r>
      <w:r w:rsidR="009F2191">
        <w:t xml:space="preserve"> </w:t>
      </w:r>
      <w:r w:rsidR="009F2191">
        <w:fldChar w:fldCharType="begin"/>
      </w:r>
      <w:r w:rsidR="009F2191">
        <w:instrText xml:space="preserve"> ADDIN ZOTERO_ITEM CSL_CITATION {"citationID":"1pn9hotctg","properties":{"formattedCitation":"(Cohen, Alvarez, &amp; Nakayama, 2011)","plainCitation":"(Cohen, Alvarez, &amp; Nakayama,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009F2191">
        <w:fldChar w:fldCharType="separate"/>
      </w:r>
      <w:r w:rsidR="009F2191">
        <w:rPr>
          <w:noProof/>
        </w:rPr>
        <w:t>(Cohen, Alvarez, &amp; Nakayama, 2011)</w:t>
      </w:r>
      <w:r w:rsidR="009F2191">
        <w:fldChar w:fldCharType="end"/>
      </w:r>
      <w:r>
        <w:t xml:space="preserve">. Past research has shown that because natural scenes can be perceived during difficult attention tasks there is therefore evidence of “awareness” without “attention”. Cohen et al. show evidence that this is not true—and that </w:t>
      </w:r>
      <w:proofErr w:type="spellStart"/>
      <w:r>
        <w:t>inattentional</w:t>
      </w:r>
      <w:proofErr w:type="spellEnd"/>
      <w:r>
        <w:t xml:space="preserve"> blindness can occur for natural scenes.</w:t>
      </w:r>
      <w:r w:rsidR="009F2191">
        <w:t xml:space="preserve"> </w:t>
      </w:r>
      <w:proofErr w:type="spellStart"/>
      <w:r w:rsidR="009F2191">
        <w:t>Inattentional</w:t>
      </w:r>
      <w:proofErr w:type="spellEnd"/>
      <w:r w:rsidR="009F2191">
        <w:t xml:space="preserve"> blindness occurred in their experiments when task demands exceeded a certain difficulty, suggesting that </w:t>
      </w:r>
      <w:proofErr w:type="spellStart"/>
      <w:r w:rsidR="009F2191">
        <w:t>attentional</w:t>
      </w:r>
      <w:proofErr w:type="spellEnd"/>
      <w:r w:rsidR="009F2191">
        <w:t xml:space="preserve"> resources exist for secondary tasks even at “ceiling” for some main tasks. </w:t>
      </w:r>
      <w:r>
        <w:t>They extend this to say that attention needs to be “fully engaged” to impair awareness of scenes.</w:t>
      </w:r>
      <w:r w:rsidR="009F2191">
        <w:t xml:space="preserve"> Their interpretation is consistent with a model of “attention” and “awareness” as neural processes that depend on stimulus and task-specific neural resources. My current research program is investigating this line by investigating dual task experiments in which the neural resources necessary for the main and secondary tasks interfere.</w:t>
      </w:r>
      <w:r w:rsidR="00242495">
        <w:t xml:space="preserve"> The Cohen et al. result is important for this theory since it shows two important findings: (1) “attention” is feature and task specific; (2) attention is not all-or-none, but graded according to current demands.</w:t>
      </w:r>
    </w:p>
    <w:p w14:paraId="39540F3E" w14:textId="0B71241F" w:rsidR="009713F4" w:rsidRDefault="009713F4" w:rsidP="009713F4">
      <w:pPr>
        <w:ind w:left="-567" w:firstLine="567"/>
      </w:pPr>
    </w:p>
    <w:p w14:paraId="2BD611DB" w14:textId="77777777" w:rsidR="00242495" w:rsidRDefault="00242495" w:rsidP="00242495">
      <w:pPr>
        <w:ind w:left="-567"/>
      </w:pPr>
      <w:r>
        <w:rPr>
          <w:b/>
        </w:rPr>
        <w:t>Experiment Procedure</w:t>
      </w:r>
    </w:p>
    <w:p w14:paraId="23A1C2C7" w14:textId="29EFD2E8" w:rsidR="00F0681B" w:rsidRDefault="003014F6" w:rsidP="00242495">
      <w:pPr>
        <w:ind w:left="-567"/>
      </w:pPr>
      <w:r>
        <w:tab/>
        <w:t xml:space="preserve">The main </w:t>
      </w:r>
      <w:r w:rsidR="00F12751">
        <w:t>dependent measurement</w:t>
      </w:r>
      <w:r>
        <w:t xml:space="preserve"> is</w:t>
      </w:r>
      <w:r w:rsidR="00F12751">
        <w:t xml:space="preserve"> the visibility and awareness of a scene presented for 67 </w:t>
      </w:r>
      <w:proofErr w:type="spellStart"/>
      <w:r w:rsidR="00F12751">
        <w:t>ms</w:t>
      </w:r>
      <w:proofErr w:type="spellEnd"/>
      <w:r w:rsidR="00F12751">
        <w:t xml:space="preserve"> in the background of</w:t>
      </w:r>
      <w:r>
        <w:t xml:space="preserve"> a </w:t>
      </w:r>
      <w:r w:rsidR="006B2870">
        <w:t>demanding attention task</w:t>
      </w:r>
      <w:r>
        <w:t xml:space="preserve">. </w:t>
      </w:r>
      <w:r w:rsidR="005B61CC">
        <w:t xml:space="preserve">Cohen et al. use a motion tracking task and an RSVP task for the attention task, due to the ease of adjusting the difficulty of each task. </w:t>
      </w:r>
      <w:r w:rsidR="00580D29">
        <w:t xml:space="preserve">For </w:t>
      </w:r>
      <w:r w:rsidR="00242495">
        <w:t>this</w:t>
      </w:r>
      <w:r w:rsidR="00580D29">
        <w:t xml:space="preserve"> replication we will focus on motion tracking. </w:t>
      </w:r>
      <w:r w:rsidR="00F12751">
        <w:t xml:space="preserve">Participants </w:t>
      </w:r>
      <w:r w:rsidR="00507AD3">
        <w:t xml:space="preserve">will </w:t>
      </w:r>
      <w:r w:rsidR="00F12751">
        <w:t xml:space="preserve">perform </w:t>
      </w:r>
      <w:r w:rsidR="00BA59BA">
        <w:t>a</w:t>
      </w:r>
      <w:r w:rsidR="00F12751">
        <w:t xml:space="preserve"> </w:t>
      </w:r>
      <w:r w:rsidR="004F1EC7">
        <w:t>motion tracking</w:t>
      </w:r>
      <w:r w:rsidR="00F12751">
        <w:t xml:space="preserve"> during which mask images </w:t>
      </w:r>
      <w:r w:rsidR="00BA59BA">
        <w:t>will be</w:t>
      </w:r>
      <w:r w:rsidR="00F12751">
        <w:t xml:space="preserve"> shown in the background. On </w:t>
      </w:r>
      <w:r w:rsidR="004F1EC7">
        <w:t>a critical</w:t>
      </w:r>
      <w:r w:rsidR="00F12751">
        <w:t xml:space="preserve"> trial the background </w:t>
      </w:r>
      <w:r w:rsidR="00B168AE">
        <w:t>will be</w:t>
      </w:r>
      <w:r w:rsidR="008B2D8D">
        <w:t xml:space="preserve"> replaced, on the second to last frame, </w:t>
      </w:r>
      <w:r w:rsidR="00F12751">
        <w:t xml:space="preserve">with a natural scene including either a vehicle or animal. </w:t>
      </w:r>
      <w:r w:rsidR="0037341E">
        <w:t xml:space="preserve">Participants </w:t>
      </w:r>
      <w:r w:rsidR="004E0932">
        <w:t>will be</w:t>
      </w:r>
      <w:r w:rsidR="0037341E">
        <w:t xml:space="preserve"> probed for awareness of the scene and its contents</w:t>
      </w:r>
      <w:r w:rsidR="004F1EC7">
        <w:t>.</w:t>
      </w:r>
    </w:p>
    <w:p w14:paraId="778AECC9" w14:textId="784FB55A" w:rsidR="001B218E" w:rsidRDefault="001B218E" w:rsidP="00242495">
      <w:pPr>
        <w:ind w:left="-567"/>
      </w:pPr>
      <w:r>
        <w:tab/>
        <w:t>For a single participant the overall experiment will follow a rough script similar to what I outline here: First, participants will be asked to check that their screen brightness and resolution allow them to see the movie. Then they will perform four trials in which a page opens with the video (3s countdown, 5s screen showing which objects need to be tracked (3-5/8), movement tracking for 4-8s). Following the video an image will appear (or on the next page) showing the final position of the objects and identifying each with a number. Participants will then select which object numbers were the objects that they were asked to track. On the critical fifth trial a natural scene will replace the last frame of the video background. The page following the video will ask a series of questions designed to probe whether or not the participant was “aware” of the natural scene in the background. This will be followed by ten control trials either attending to motion or the background alone.</w:t>
      </w:r>
      <w:r w:rsidR="00C26798">
        <w:t xml:space="preserve"> Because the webpage design has only two elements (video and multiple choice response) I don’t expect it to be too difficult to design. The videos will be generated in MATLAB following the precise timing and images used (available via personal communication).</w:t>
      </w:r>
    </w:p>
    <w:p w14:paraId="02D21F4F" w14:textId="1F238E29" w:rsidR="007820F8" w:rsidRDefault="004122C3" w:rsidP="00CD653D">
      <w:pPr>
        <w:ind w:hanging="480"/>
      </w:pPr>
      <w:r>
        <w:tab/>
      </w:r>
    </w:p>
    <w:p w14:paraId="6253112A" w14:textId="422E31E5" w:rsidR="005D03F4" w:rsidRDefault="007820F8" w:rsidP="00E42A3B">
      <w:pPr>
        <w:ind w:hanging="567"/>
        <w:rPr>
          <w:b/>
        </w:rPr>
      </w:pPr>
      <w:r>
        <w:rPr>
          <w:b/>
        </w:rPr>
        <w:t>References</w:t>
      </w:r>
    </w:p>
    <w:p w14:paraId="2BD1100A" w14:textId="77777777" w:rsidR="00794044" w:rsidRDefault="00794044" w:rsidP="00E42A3B">
      <w:pPr>
        <w:ind w:hanging="567"/>
      </w:pPr>
      <w:bookmarkStart w:id="0" w:name="_GoBack"/>
      <w:bookmarkEnd w:id="0"/>
    </w:p>
    <w:p w14:paraId="220FA4FC" w14:textId="099DB556" w:rsidR="004E1242" w:rsidRPr="00794044" w:rsidRDefault="009F2191" w:rsidP="004F1EC7">
      <w:pPr>
        <w:pStyle w:val="Bibliography"/>
        <w:spacing w:line="240" w:lineRule="auto"/>
        <w:ind w:left="0" w:hanging="567"/>
        <w:rPr>
          <w:rFonts w:ascii="Times" w:eastAsiaTheme="minorEastAsia" w:hAnsi="Times"/>
          <w:sz w:val="20"/>
          <w:szCs w:val="20"/>
        </w:rPr>
      </w:pPr>
      <w:r w:rsidRPr="00794044">
        <w:rPr>
          <w:sz w:val="20"/>
          <w:szCs w:val="20"/>
        </w:rPr>
        <w:fldChar w:fldCharType="begin"/>
      </w:r>
      <w:r w:rsidRPr="00794044">
        <w:rPr>
          <w:sz w:val="20"/>
          <w:szCs w:val="20"/>
        </w:rPr>
        <w:instrText xml:space="preserve"> ADDIN ZOTERO_BIBL {"custom":[]} CSL_BIBLIOGRAPHY </w:instrText>
      </w:r>
      <w:r w:rsidRPr="00794044">
        <w:rPr>
          <w:sz w:val="20"/>
          <w:szCs w:val="20"/>
        </w:rPr>
        <w:fldChar w:fldCharType="separate"/>
      </w:r>
      <w:proofErr w:type="gramStart"/>
      <w:r w:rsidRPr="00794044">
        <w:rPr>
          <w:rFonts w:ascii="Cambria"/>
          <w:sz w:val="20"/>
          <w:szCs w:val="20"/>
        </w:rPr>
        <w:t>Cohen, M. a, Alvarez, G. a, &amp; Nakayama, K. (2011).</w:t>
      </w:r>
      <w:proofErr w:type="gramEnd"/>
      <w:r w:rsidRPr="00794044">
        <w:rPr>
          <w:rFonts w:ascii="Cambria"/>
          <w:sz w:val="20"/>
          <w:szCs w:val="20"/>
        </w:rPr>
        <w:t xml:space="preserve"> Natural-scene perception requires attention. </w:t>
      </w:r>
      <w:proofErr w:type="gramStart"/>
      <w:r w:rsidRPr="00794044">
        <w:rPr>
          <w:rFonts w:ascii="Cambria"/>
          <w:i/>
          <w:iCs/>
          <w:sz w:val="20"/>
          <w:szCs w:val="20"/>
        </w:rPr>
        <w:t>Psychological Science</w:t>
      </w:r>
      <w:r w:rsidRPr="00794044">
        <w:rPr>
          <w:rFonts w:ascii="Cambria"/>
          <w:sz w:val="20"/>
          <w:szCs w:val="20"/>
        </w:rPr>
        <w:t xml:space="preserve">, </w:t>
      </w:r>
      <w:r w:rsidRPr="00794044">
        <w:rPr>
          <w:rFonts w:ascii="Cambria"/>
          <w:i/>
          <w:iCs/>
          <w:sz w:val="20"/>
          <w:szCs w:val="20"/>
        </w:rPr>
        <w:t>22</w:t>
      </w:r>
      <w:r w:rsidRPr="00794044">
        <w:rPr>
          <w:rFonts w:ascii="Cambria"/>
          <w:sz w:val="20"/>
          <w:szCs w:val="20"/>
        </w:rPr>
        <w:t>(9), 1165–72.</w:t>
      </w:r>
      <w:proofErr w:type="gramEnd"/>
      <w:r w:rsidRPr="00794044">
        <w:rPr>
          <w:rFonts w:ascii="Cambria"/>
          <w:sz w:val="20"/>
          <w:szCs w:val="20"/>
        </w:rPr>
        <w:t xml:space="preserve"> </w:t>
      </w:r>
      <w:proofErr w:type="gramStart"/>
      <w:r w:rsidRPr="00794044">
        <w:rPr>
          <w:rFonts w:ascii="Cambria"/>
          <w:sz w:val="20"/>
          <w:szCs w:val="20"/>
        </w:rPr>
        <w:t>doi:10.1177</w:t>
      </w:r>
      <w:proofErr w:type="gramEnd"/>
      <w:r w:rsidRPr="00794044">
        <w:rPr>
          <w:rFonts w:ascii="Cambria"/>
          <w:sz w:val="20"/>
          <w:szCs w:val="20"/>
        </w:rPr>
        <w:t>/0956797611419168</w:t>
      </w:r>
      <w:r w:rsidRPr="00794044">
        <w:rPr>
          <w:sz w:val="20"/>
          <w:szCs w:val="20"/>
        </w:rPr>
        <w:fldChar w:fldCharType="end"/>
      </w:r>
    </w:p>
    <w:sectPr w:rsidR="004E1242" w:rsidRPr="00794044" w:rsidSect="004E124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2626B"/>
    <w:multiLevelType w:val="hybridMultilevel"/>
    <w:tmpl w:val="FB546318"/>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B006DF"/>
    <w:rsid w:val="001B218E"/>
    <w:rsid w:val="001C4EB3"/>
    <w:rsid w:val="00242495"/>
    <w:rsid w:val="002F278E"/>
    <w:rsid w:val="003014F6"/>
    <w:rsid w:val="0037341E"/>
    <w:rsid w:val="004122C3"/>
    <w:rsid w:val="0047497B"/>
    <w:rsid w:val="004B622A"/>
    <w:rsid w:val="004E0932"/>
    <w:rsid w:val="004E1242"/>
    <w:rsid w:val="004F1EC7"/>
    <w:rsid w:val="00507AD3"/>
    <w:rsid w:val="00580D29"/>
    <w:rsid w:val="005B61CC"/>
    <w:rsid w:val="005C01D4"/>
    <w:rsid w:val="005D03F4"/>
    <w:rsid w:val="006B2870"/>
    <w:rsid w:val="006E38F8"/>
    <w:rsid w:val="007820F8"/>
    <w:rsid w:val="00794044"/>
    <w:rsid w:val="007A031B"/>
    <w:rsid w:val="007A19AF"/>
    <w:rsid w:val="008B2D8D"/>
    <w:rsid w:val="0091095A"/>
    <w:rsid w:val="00967FEA"/>
    <w:rsid w:val="009713F4"/>
    <w:rsid w:val="009F2191"/>
    <w:rsid w:val="00AC3FE3"/>
    <w:rsid w:val="00B006DF"/>
    <w:rsid w:val="00B168AE"/>
    <w:rsid w:val="00BA59BA"/>
    <w:rsid w:val="00BB0499"/>
    <w:rsid w:val="00C26798"/>
    <w:rsid w:val="00C670A5"/>
    <w:rsid w:val="00C84031"/>
    <w:rsid w:val="00CD653D"/>
    <w:rsid w:val="00CE68DE"/>
    <w:rsid w:val="00E00EEC"/>
    <w:rsid w:val="00E42A3B"/>
    <w:rsid w:val="00EE42DD"/>
    <w:rsid w:val="00F0681B"/>
    <w:rsid w:val="00F11B8D"/>
    <w:rsid w:val="00F127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5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31"/>
    <w:pPr>
      <w:ind w:left="720"/>
      <w:contextualSpacing/>
    </w:pPr>
  </w:style>
  <w:style w:type="paragraph" w:styleId="Bibliography">
    <w:name w:val="Bibliography"/>
    <w:basedOn w:val="Normal"/>
    <w:next w:val="Normal"/>
    <w:uiPriority w:val="37"/>
    <w:unhideWhenUsed/>
    <w:rsid w:val="009F2191"/>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002052">
      <w:bodyDiv w:val="1"/>
      <w:marLeft w:val="0"/>
      <w:marRight w:val="0"/>
      <w:marTop w:val="0"/>
      <w:marBottom w:val="0"/>
      <w:divBdr>
        <w:top w:val="none" w:sz="0" w:space="0" w:color="auto"/>
        <w:left w:val="none" w:sz="0" w:space="0" w:color="auto"/>
        <w:bottom w:val="none" w:sz="0" w:space="0" w:color="auto"/>
        <w:right w:val="none" w:sz="0" w:space="0" w:color="auto"/>
      </w:divBdr>
      <w:divsChild>
        <w:div w:id="1287588213">
          <w:marLeft w:val="0"/>
          <w:marRight w:val="0"/>
          <w:marTop w:val="0"/>
          <w:marBottom w:val="0"/>
          <w:divBdr>
            <w:top w:val="none" w:sz="0" w:space="0" w:color="auto"/>
            <w:left w:val="none" w:sz="0" w:space="0" w:color="auto"/>
            <w:bottom w:val="none" w:sz="0" w:space="0" w:color="auto"/>
            <w:right w:val="none" w:sz="0" w:space="0" w:color="auto"/>
          </w:divBdr>
          <w:divsChild>
            <w:div w:id="1453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775</Words>
  <Characters>4422</Characters>
  <Application>Microsoft Macintosh Word</Application>
  <DocSecurity>0</DocSecurity>
  <Lines>36</Lines>
  <Paragraphs>10</Paragraphs>
  <ScaleCrop>false</ScaleCrop>
  <Company>RIKEN Brain Science Institute</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 Hara</dc:creator>
  <cp:keywords/>
  <cp:lastModifiedBy>Daniel Birman</cp:lastModifiedBy>
  <cp:revision>40</cp:revision>
  <dcterms:created xsi:type="dcterms:W3CDTF">2015-01-12T18:06:00Z</dcterms:created>
  <dcterms:modified xsi:type="dcterms:W3CDTF">2015-01-14T20:03:00Z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id="1jibjiMM"/&gt;&lt;style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