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9C24C" w14:textId="6E4939AA" w:rsidR="0000279B" w:rsidRDefault="0000279B">
      <w:r>
        <w:t>NVDA Analyst Notes</w:t>
      </w:r>
    </w:p>
    <w:p w14:paraId="57D1D1DC" w14:textId="7D2A69AB" w:rsidR="0000279B" w:rsidRDefault="0000279B" w:rsidP="0000279B">
      <w:pPr>
        <w:pStyle w:val="ListParagraph"/>
        <w:numPr>
          <w:ilvl w:val="0"/>
          <w:numId w:val="1"/>
        </w:numPr>
      </w:pPr>
      <w:r>
        <w:t>Nvidia makes the spades and shovels of the AI gold rush.</w:t>
      </w:r>
    </w:p>
    <w:p w14:paraId="1F03A64D" w14:textId="599ADFB2" w:rsidR="0000279B" w:rsidRDefault="0000279B" w:rsidP="0000279B">
      <w:pPr>
        <w:pStyle w:val="ListParagraph"/>
        <w:numPr>
          <w:ilvl w:val="0"/>
          <w:numId w:val="1"/>
        </w:numPr>
      </w:pPr>
      <w:r>
        <w:t>Talk of AI driven bubble akin to the dotcom bubble at the moment, but at a forward P/E ratio of 23.47, Nvidia does not seem priced for perfection. (Trailing P/E is 44.45).</w:t>
      </w:r>
    </w:p>
    <w:p w14:paraId="22BA4533" w14:textId="48541F6D" w:rsidR="0000279B" w:rsidRDefault="0000279B" w:rsidP="0000279B">
      <w:pPr>
        <w:pStyle w:val="ListParagraph"/>
        <w:numPr>
          <w:ilvl w:val="0"/>
          <w:numId w:val="1"/>
        </w:numPr>
      </w:pPr>
      <w:r>
        <w:t>PEG ratio of 0.69 indicates that expected growth overcomes valuation premium.</w:t>
      </w:r>
    </w:p>
    <w:p w14:paraId="69CC9DD3" w14:textId="0BE655AE" w:rsidR="0000279B" w:rsidRDefault="0000279B" w:rsidP="0000279B">
      <w:pPr>
        <w:pStyle w:val="ListParagraph"/>
        <w:numPr>
          <w:ilvl w:val="0"/>
          <w:numId w:val="1"/>
        </w:numPr>
      </w:pPr>
      <w:r>
        <w:t>Price relative to financial statement metrics is high: Price/Sales of 23.59 and Price/Book of 36.71.</w:t>
      </w:r>
    </w:p>
    <w:p w14:paraId="0ACD4A82" w14:textId="6746702E" w:rsidR="0000279B" w:rsidRDefault="0000279B" w:rsidP="0000279B">
      <w:pPr>
        <w:pStyle w:val="ListParagraph"/>
        <w:numPr>
          <w:ilvl w:val="0"/>
          <w:numId w:val="1"/>
        </w:numPr>
      </w:pPr>
      <w:r>
        <w:t xml:space="preserve">We believe Nvidia is in a league of its own in terms of the highest performance chips. </w:t>
      </w:r>
    </w:p>
    <w:p w14:paraId="30630EB8" w14:textId="29131AAA" w:rsidR="0000279B" w:rsidRDefault="0000279B" w:rsidP="0000279B">
      <w:pPr>
        <w:pStyle w:val="ListParagraph"/>
        <w:numPr>
          <w:ilvl w:val="0"/>
          <w:numId w:val="1"/>
        </w:numPr>
      </w:pPr>
      <w:r>
        <w:t>Analysts estimate $65.47B revenue in quarter ending January 2026, and $70.21 billion in the quarter after that. Current fiscal year (2026) analysts’ estimate is $213.13 billion, and fiscal year 2027 $316.1 billion (estimates reflect averages).</w:t>
      </w:r>
    </w:p>
    <w:p w14:paraId="0DF23EB9" w14:textId="16D444F8" w:rsidR="0000279B" w:rsidRDefault="0000279B" w:rsidP="0000279B">
      <w:pPr>
        <w:pStyle w:val="ListParagraph"/>
        <w:numPr>
          <w:ilvl w:val="0"/>
          <w:numId w:val="1"/>
        </w:numPr>
      </w:pPr>
      <w:r>
        <w:t>Analysts estimate $</w:t>
      </w:r>
      <w:r>
        <w:t>1.52 earnings per share</w:t>
      </w:r>
      <w:r>
        <w:t xml:space="preserve"> in quarter ending January 2026, and $</w:t>
      </w:r>
      <w:r>
        <w:t>1.64</w:t>
      </w:r>
      <w:r>
        <w:t xml:space="preserve"> in the quarter after that. Current fiscal year (2026) analysts’ estimate is $</w:t>
      </w:r>
      <w:r>
        <w:t>4.69</w:t>
      </w:r>
      <w:r>
        <w:t>, and fiscal year 2027 $</w:t>
      </w:r>
      <w:r>
        <w:t>7.46</w:t>
      </w:r>
      <w:r>
        <w:t xml:space="preserve"> (estimates reflect averages).</w:t>
      </w:r>
    </w:p>
    <w:p w14:paraId="65CD5032" w14:textId="27603977" w:rsidR="0000279B" w:rsidRDefault="0000279B" w:rsidP="0000279B">
      <w:pPr>
        <w:pStyle w:val="ListParagraph"/>
        <w:numPr>
          <w:ilvl w:val="0"/>
          <w:numId w:val="1"/>
        </w:numPr>
      </w:pPr>
      <w:r>
        <w:t>Sales growth per year estimated at 63.32% for fiscal year 2026 and 48.31% for fiscal year 2027.</w:t>
      </w:r>
    </w:p>
    <w:sectPr w:rsidR="00002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29A0"/>
    <w:multiLevelType w:val="hybridMultilevel"/>
    <w:tmpl w:val="1ADAA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139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79B"/>
    <w:rsid w:val="0000279B"/>
    <w:rsid w:val="005B4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4337E"/>
  <w15:chartTrackingRefBased/>
  <w15:docId w15:val="{BC611F46-42A7-4724-AC17-3EED9EBE9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7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7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7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7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7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7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7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7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7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7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7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7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7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7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7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7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7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7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7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7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mcmillan</dc:creator>
  <cp:keywords/>
  <dc:description/>
  <cp:lastModifiedBy>David mcmillan</cp:lastModifiedBy>
  <cp:revision>1</cp:revision>
  <dcterms:created xsi:type="dcterms:W3CDTF">2025-12-06T01:03:00Z</dcterms:created>
  <dcterms:modified xsi:type="dcterms:W3CDTF">2025-12-06T01:13:00Z</dcterms:modified>
</cp:coreProperties>
</file>