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534" w:rsidRPr="00302534" w:rsidRDefault="00302534" w:rsidP="00302534">
      <w:pPr>
        <w:shd w:val="clear" w:color="auto" w:fill="FFFFFF"/>
        <w:spacing w:after="100" w:afterAutospacing="1" w:line="240" w:lineRule="auto"/>
        <w:rPr>
          <w:rFonts w:ascii="Arial" w:eastAsia="Times New Roman" w:hAnsi="Arial" w:cs="Arial"/>
          <w:b/>
          <w:bCs/>
          <w:color w:val="606060"/>
          <w:sz w:val="24"/>
          <w:szCs w:val="24"/>
        </w:rPr>
      </w:pPr>
      <w:r w:rsidRPr="00302534">
        <w:rPr>
          <w:rFonts w:ascii="Arial" w:eastAsia="Times New Roman" w:hAnsi="Arial" w:cs="Arial"/>
          <w:b/>
          <w:bCs/>
          <w:color w:val="606060"/>
          <w:sz w:val="24"/>
          <w:szCs w:val="24"/>
        </w:rPr>
        <w:t>All Interactions with Atazanavir (Reyataz)</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08"/>
        <w:gridCol w:w="1209"/>
        <w:gridCol w:w="933"/>
        <w:gridCol w:w="1293"/>
        <w:gridCol w:w="942"/>
        <w:gridCol w:w="998"/>
        <w:gridCol w:w="1162"/>
        <w:gridCol w:w="1199"/>
      </w:tblGrid>
      <w:tr w:rsidR="00302534" w:rsidRPr="00302534" w:rsidTr="00302534">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30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30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30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30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30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30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30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30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30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Acetaminophen</w:t>
            </w:r>
          </w:p>
          <w:p w:rsidR="00302534" w:rsidRPr="00302534" w:rsidRDefault="00302534" w:rsidP="00302534">
            <w:pPr>
              <w:spacing w:after="30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(others)(Tylenol)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30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 gram BID on d 1-20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30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atazanavir QD with 100 mg ritonavir QD on d 11-20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30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30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Cmin: increased 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30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30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Atenolol</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50 mg QD on days 7-11 and 19-23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on days 1-11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Atenolol AUC: increased 25%; Cmax: increased 34%;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no significant change; Cmax: no significant change; Cmin: decreased 26%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Atovaquone</w:t>
            </w:r>
            <w:hyperlink r:id="rId4" w:anchor="487" w:history="1">
              <w:r w:rsidRPr="00302534">
                <w:rPr>
                  <w:rFonts w:ascii="Verdana" w:eastAsia="Times New Roman" w:hAnsi="Verdana" w:cs="Times New Roman"/>
                  <w:color w:val="003399"/>
                  <w:sz w:val="14"/>
                  <w:szCs w:val="14"/>
                  <w:u w:val="single"/>
                  <w:vertAlign w:val="superscript"/>
                </w:rPr>
                <w:t>487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(Mepron)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250 mg with 100 mg proguanil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Atovaquone AUC: decreased 46%; Cmax: decreased 49%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Potentially compromised antimalarial activity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atovaquone glucuronidation; induction of CYP450 3A4 by atazanavir/ritonavir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Boceprevir</w:t>
            </w:r>
            <w:hyperlink r:id="rId5" w:anchor="595" w:history="1">
              <w:r w:rsidRPr="00302534">
                <w:rPr>
                  <w:rFonts w:ascii="Verdana" w:eastAsia="Times New Roman" w:hAnsi="Verdana" w:cs="Times New Roman"/>
                  <w:color w:val="003399"/>
                  <w:sz w:val="14"/>
                  <w:szCs w:val="14"/>
                  <w:u w:val="single"/>
                  <w:vertAlign w:val="superscript"/>
                </w:rPr>
                <w:t>595</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(Victrelis)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800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Boceprevir Cmin: decreased 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35%; Cmax: decreased 25%; Cmin: decreased 49%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HIV treatment efficacy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Bosentan</w:t>
            </w:r>
            <w:hyperlink r:id="rId6" w:anchor="727" w:history="1">
              <w:r w:rsidRPr="00302534">
                <w:rPr>
                  <w:rFonts w:ascii="Verdana" w:eastAsia="Times New Roman" w:hAnsi="Verdana" w:cs="Times New Roman"/>
                  <w:color w:val="003399"/>
                  <w:sz w:val="14"/>
                  <w:szCs w:val="14"/>
                  <w:u w:val="single"/>
                  <w:vertAlign w:val="superscript"/>
                </w:rPr>
                <w:t>727</w:t>
              </w:r>
            </w:hyperlink>
            <w:r w:rsidRPr="00302534">
              <w:rPr>
                <w:rFonts w:ascii="Verdana" w:eastAsia="Times New Roman" w:hAnsi="Verdana" w:cs="Times New Roman"/>
                <w:color w:val="333333"/>
                <w:sz w:val="14"/>
                <w:szCs w:val="14"/>
                <w:vertAlign w:val="superscript"/>
              </w:rPr>
              <w:t>, </w:t>
            </w:r>
            <w:hyperlink r:id="rId7" w:anchor="699" w:history="1">
              <w:r w:rsidRPr="00302534">
                <w:rPr>
                  <w:rFonts w:ascii="Verdana" w:eastAsia="Times New Roman" w:hAnsi="Verdana" w:cs="Times New Roman"/>
                  <w:color w:val="003399"/>
                  <w:sz w:val="14"/>
                  <w:szCs w:val="14"/>
                  <w:u w:val="single"/>
                  <w:vertAlign w:val="superscript"/>
                </w:rPr>
                <w:t>699</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Expected </w:t>
            </w:r>
            <w:r w:rsidRPr="00302534">
              <w:rPr>
                <w:rFonts w:ascii="Verdana" w:eastAsia="Times New Roman" w:hAnsi="Verdana" w:cs="Times New Roman"/>
                <w:color w:val="333333"/>
                <w:sz w:val="18"/>
                <w:szCs w:val="18"/>
              </w:rPr>
              <w:lastRenderedPageBreak/>
              <w:t>decreased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 xml:space="preserve">Possible loss of </w:t>
            </w:r>
            <w:r w:rsidRPr="00302534">
              <w:rPr>
                <w:rFonts w:ascii="Verdana" w:eastAsia="Times New Roman" w:hAnsi="Verdana" w:cs="Times New Roman"/>
                <w:color w:val="333333"/>
                <w:sz w:val="18"/>
                <w:szCs w:val="18"/>
              </w:rPr>
              <w:lastRenderedPageBreak/>
              <w:t>antiviral efficacy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w:t>
            </w:r>
            <w:r w:rsidRPr="00302534">
              <w:rPr>
                <w:rFonts w:ascii="Verdana" w:eastAsia="Times New Roman" w:hAnsi="Verdana" w:cs="Times New Roman"/>
                <w:color w:val="333333"/>
                <w:sz w:val="18"/>
                <w:szCs w:val="18"/>
              </w:rPr>
              <w:lastRenderedPageBreak/>
              <w:t>er bosentan with unboosted atazanavir</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Cimetidine</w:t>
            </w:r>
            <w:hyperlink r:id="rId8" w:anchor="240" w:history="1">
              <w:r w:rsidRPr="00302534">
                <w:rPr>
                  <w:rFonts w:ascii="Verdana" w:eastAsia="Times New Roman" w:hAnsi="Verdana" w:cs="Times New Roman"/>
                  <w:color w:val="003399"/>
                  <w:sz w:val="14"/>
                  <w:szCs w:val="14"/>
                  <w:u w:val="single"/>
                  <w:vertAlign w:val="superscript"/>
                </w:rPr>
                <w:t>240</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(Tagamet)(Tagamet)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May decrease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Possible decreased GI absorption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Unboosted atazanavir 400 mg: give atazanavir 2 hrs before or 10 hours after H2-blocker. Single doses of H2-blockers should not exceed 20 mg of famotidine (or equivalent). Additionally, if treatment naive, total daily dose of H2 blocker should not exceed 40 mg of famotidine (or equivalent). Atazanavir 300 mg boosted with </w:t>
            </w:r>
            <w:r w:rsidRPr="00302534">
              <w:rPr>
                <w:rFonts w:ascii="Verdana" w:eastAsia="Times New Roman" w:hAnsi="Verdana" w:cs="Times New Roman"/>
                <w:color w:val="333333"/>
                <w:sz w:val="18"/>
                <w:szCs w:val="18"/>
              </w:rPr>
              <w:lastRenderedPageBreak/>
              <w:t>ritonavir or cobicistat: Give boosted atazanavir at same time as H2 blocker or 10 hours or more after. Total doses of H2 blocker should not exceed the equivalent of 40 mg BID famotidine (treatment naive) or 20 mg BID for (treatment experienced patients). If using tenofovir disoproxil fumarate, atazanavir, and H2 blocker in treatment experienced patient, increase atazanavir dose to 400 mg in addition to boosting with ritonavir or cobicistat.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lastRenderedPageBreak/>
              <w:t>Cisapride</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(Propulsid)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Not studied; may increase </w:t>
            </w:r>
            <w:r w:rsidRPr="00302534">
              <w:rPr>
                <w:rFonts w:ascii="Verdana" w:eastAsia="Times New Roman" w:hAnsi="Verdana" w:cs="Times New Roman"/>
                <w:color w:val="333333"/>
                <w:sz w:val="18"/>
                <w:szCs w:val="18"/>
              </w:rPr>
              <w:lastRenderedPageBreak/>
              <w:t>cisapride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Increased cisapride effects </w:t>
            </w:r>
            <w:r w:rsidRPr="00302534">
              <w:rPr>
                <w:rFonts w:ascii="Verdana" w:eastAsia="Times New Roman" w:hAnsi="Verdana" w:cs="Times New Roman"/>
                <w:color w:val="333333"/>
                <w:sz w:val="18"/>
                <w:szCs w:val="18"/>
              </w:rPr>
              <w:lastRenderedPageBreak/>
              <w:t>(eg,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lastRenderedPageBreak/>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Metoclopramide</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Clarithromycin</w:t>
            </w:r>
            <w:hyperlink r:id="rId9" w:anchor="363" w:history="1">
              <w:r w:rsidRPr="00302534">
                <w:rPr>
                  <w:rFonts w:ascii="Verdana" w:eastAsia="Times New Roman" w:hAnsi="Verdana" w:cs="Times New Roman"/>
                  <w:color w:val="003399"/>
                  <w:sz w:val="14"/>
                  <w:szCs w:val="14"/>
                  <w:u w:val="single"/>
                  <w:vertAlign w:val="superscript"/>
                </w:rPr>
                <w:t>363</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(Biaxin)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500 mg BID on days 7-11 and 18-21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on days 1-10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Clarithromycin AUC: increased 94%; Cmax: increased 50%; Cmin: decreased 62%; 14-hydroxyclarithromycin AUC: decreased 70%; Cmax: decreased 72%; Cmin: increased 164%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increased 28%; Cmax: no significant change; Cmin: increased 91%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clarithromycin effects. May cause QTc prolongation.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Reduce clarithromycin dose by 50%</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azithromycin</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Colchicine</w:t>
            </w:r>
            <w:hyperlink r:id="rId10" w:anchor="727" w:history="1">
              <w:r w:rsidRPr="00302534">
                <w:rPr>
                  <w:rFonts w:ascii="Verdana" w:eastAsia="Times New Roman" w:hAnsi="Verdana" w:cs="Times New Roman"/>
                  <w:color w:val="003399"/>
                  <w:sz w:val="14"/>
                  <w:szCs w:val="14"/>
                  <w:u w:val="single"/>
                  <w:vertAlign w:val="superscript"/>
                </w:rPr>
                <w:t>727</w:t>
              </w:r>
            </w:hyperlink>
            <w:r w:rsidRPr="00302534">
              <w:rPr>
                <w:rFonts w:ascii="Verdana" w:eastAsia="Times New Roman" w:hAnsi="Verdana" w:cs="Times New Roman"/>
                <w:color w:val="333333"/>
                <w:sz w:val="14"/>
                <w:szCs w:val="14"/>
                <w:vertAlign w:val="superscript"/>
              </w:rPr>
              <w:t>, </w:t>
            </w:r>
            <w:hyperlink r:id="rId11" w:anchor="551" w:history="1">
              <w:r w:rsidRPr="00302534">
                <w:rPr>
                  <w:rFonts w:ascii="Verdana" w:eastAsia="Times New Roman" w:hAnsi="Verdana" w:cs="Times New Roman"/>
                  <w:color w:val="003399"/>
                  <w:sz w:val="14"/>
                  <w:szCs w:val="14"/>
                  <w:u w:val="single"/>
                  <w:vertAlign w:val="superscript"/>
                </w:rPr>
                <w:t>551</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(Colcrys)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colchicine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nhibition of P450 3A4 by atazanavir/ritonavir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For treatment of gout, reduce colchicine dosage to 0.6 mg x 1 then 0.3 mg one hour later. Dose not to be repeated no earlier than 3 days. For prophylaxis of gout, reduce colchicine dosage to 0.3 mg QD if on 0.6 mg BID prior to PI therapy or </w:t>
            </w:r>
            <w:r w:rsidRPr="00302534">
              <w:rPr>
                <w:rFonts w:ascii="Verdana" w:eastAsia="Times New Roman" w:hAnsi="Verdana" w:cs="Times New Roman"/>
                <w:color w:val="333333"/>
                <w:sz w:val="18"/>
                <w:szCs w:val="18"/>
              </w:rPr>
              <w:lastRenderedPageBreak/>
              <w:t>reduce colchicine dose to 0.3 mg QOD if on 0.6 mg QD prior to PI therapy. For treatment of familial Mediterranean fever: Do not exceed colchicine 0.6 mg once daily or 0.3 mg BID. Do not coadminister in patients with hepatic or renal impairment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Daclatasvir</w:t>
            </w:r>
            <w:hyperlink r:id="rId12" w:anchor="749" w:history="1">
              <w:r w:rsidRPr="00302534">
                <w:rPr>
                  <w:rFonts w:ascii="Verdana" w:eastAsia="Times New Roman" w:hAnsi="Verdana" w:cs="Times New Roman"/>
                  <w:color w:val="003399"/>
                  <w:sz w:val="14"/>
                  <w:szCs w:val="14"/>
                  <w:u w:val="single"/>
                  <w:vertAlign w:val="superscript"/>
                </w:rPr>
                <w:t>749</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(Daklinza)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20 mg daily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with ritonavir 100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AUC(tau) increased 110%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CYP3A4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 daclatasvir dose to 30 mg daily when used with atazanavir/ritonavir. No dose adjustment necessary if used with unboosted atazanavir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Darunavir</w:t>
            </w:r>
            <w:hyperlink r:id="rId13" w:anchor="161" w:history="1">
              <w:r w:rsidRPr="00302534">
                <w:rPr>
                  <w:rFonts w:ascii="Verdana" w:eastAsia="Times New Roman" w:hAnsi="Verdana" w:cs="Times New Roman"/>
                  <w:color w:val="003399"/>
                  <w:sz w:val="14"/>
                  <w:szCs w:val="14"/>
                  <w:u w:val="single"/>
                  <w:vertAlign w:val="superscript"/>
                </w:rPr>
                <w:t>161</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(DRV)(Prezista)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Cmin: increased 52%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w:t>
            </w:r>
            <w:r w:rsidRPr="00302534">
              <w:rPr>
                <w:rFonts w:ascii="Verdana" w:eastAsia="Times New Roman" w:hAnsi="Verdana" w:cs="Times New Roman"/>
                <w:b/>
                <w:bCs/>
                <w:color w:val="333333"/>
                <w:sz w:val="18"/>
                <w:szCs w:val="18"/>
              </w:rPr>
              <w:lastRenderedPageBreak/>
              <w:t>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lastRenderedPageBreak/>
              <w:t xml:space="preserve">Potential </w:t>
            </w:r>
            <w:r w:rsidRPr="00302534">
              <w:rPr>
                <w:rFonts w:ascii="Verdana" w:eastAsia="Times New Roman" w:hAnsi="Verdana" w:cs="Times New Roman"/>
                <w:b/>
                <w:bCs/>
                <w:color w:val="333333"/>
                <w:sz w:val="18"/>
                <w:szCs w:val="18"/>
              </w:rPr>
              <w:lastRenderedPageBreak/>
              <w:t>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lastRenderedPageBreak/>
              <w:t xml:space="preserve">Mechanism of </w:t>
            </w:r>
            <w:r w:rsidRPr="00302534">
              <w:rPr>
                <w:rFonts w:ascii="Verdana" w:eastAsia="Times New Roman" w:hAnsi="Verdana" w:cs="Times New Roman"/>
                <w:b/>
                <w:bCs/>
                <w:color w:val="333333"/>
                <w:sz w:val="18"/>
                <w:szCs w:val="18"/>
              </w:rPr>
              <w:lastRenderedPageBreak/>
              <w:t>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lastRenderedPageBreak/>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Didanosine</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200 mg (buffered tabs)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x 1 dose (given simultaneously with stavudine and didanosine)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87%; Cmin: decreased 84%; Cmax: decreased 89%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Altered gastric pH decreasing atazanavir absorption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Administer didanosine tablets on an empty stomach and 2 hours before or 1 hour after food or atazanavir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Didanosine</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200 mg (buffered tabs)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x 1 (given 1 hour after stavudine and didanosine)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Didanosine</w:t>
            </w:r>
            <w:hyperlink r:id="rId14" w:anchor="124" w:history="1">
              <w:r w:rsidRPr="00302534">
                <w:rPr>
                  <w:rFonts w:ascii="Verdana" w:eastAsia="Times New Roman" w:hAnsi="Verdana" w:cs="Times New Roman"/>
                  <w:color w:val="003399"/>
                  <w:sz w:val="14"/>
                  <w:szCs w:val="14"/>
                  <w:u w:val="single"/>
                  <w:vertAlign w:val="superscript"/>
                </w:rPr>
                <w:t>124</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250 mg EC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with food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Didanosine AUC: no significant change (AUC comparable to that of didanosine 400 mg QD without tenofovir)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26%; Cmax: decreased 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Didanosine</w:t>
            </w:r>
            <w:hyperlink r:id="rId15" w:anchor="152" w:history="1">
              <w:r w:rsidRPr="00302534">
                <w:rPr>
                  <w:rFonts w:ascii="Verdana" w:eastAsia="Times New Roman" w:hAnsi="Verdana" w:cs="Times New Roman"/>
                  <w:color w:val="003399"/>
                  <w:sz w:val="14"/>
                  <w:szCs w:val="14"/>
                  <w:u w:val="single"/>
                  <w:vertAlign w:val="superscript"/>
                </w:rPr>
                <w:t>152</w:t>
              </w:r>
            </w:hyperlink>
            <w:r w:rsidRPr="00302534">
              <w:rPr>
                <w:rFonts w:ascii="Verdana" w:eastAsia="Times New Roman" w:hAnsi="Verdana" w:cs="Times New Roman"/>
                <w:color w:val="333333"/>
                <w:sz w:val="14"/>
                <w:szCs w:val="14"/>
                <w:vertAlign w:val="superscript"/>
              </w:rPr>
              <w:t>,</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(enteric coated capsule) QD with food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with food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Didanosine AUC: decreased 34%; Cmax: decreased 36%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didanosine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Reduced didanosine absorption due to presence of food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Administer didanosine EC and atazanavir at different times</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Didanosine</w:t>
            </w:r>
            <w:hyperlink r:id="rId16" w:anchor="152" w:history="1">
              <w:r w:rsidRPr="00302534">
                <w:rPr>
                  <w:rFonts w:ascii="Verdana" w:eastAsia="Times New Roman" w:hAnsi="Verdana" w:cs="Times New Roman"/>
                  <w:color w:val="003399"/>
                  <w:sz w:val="14"/>
                  <w:szCs w:val="14"/>
                  <w:u w:val="single"/>
                  <w:vertAlign w:val="superscript"/>
                </w:rPr>
                <w:t>152</w:t>
              </w:r>
            </w:hyperlink>
            <w:r w:rsidRPr="00302534">
              <w:rPr>
                <w:rFonts w:ascii="Verdana" w:eastAsia="Times New Roman" w:hAnsi="Verdana" w:cs="Times New Roman"/>
                <w:color w:val="333333"/>
                <w:sz w:val="14"/>
                <w:szCs w:val="14"/>
                <w:vertAlign w:val="superscript"/>
              </w:rPr>
              <w:t>,</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(enteric coated capsule) QD with food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with ritonavir 100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Didanosine AUC: decreased 34%; Cmax: decreased 38%; Cmin: </w:t>
            </w:r>
            <w:r w:rsidRPr="00302534">
              <w:rPr>
                <w:rFonts w:ascii="Verdana" w:eastAsia="Times New Roman" w:hAnsi="Verdana" w:cs="Times New Roman"/>
                <w:color w:val="333333"/>
                <w:sz w:val="18"/>
                <w:szCs w:val="18"/>
              </w:rPr>
              <w:lastRenderedPageBreak/>
              <w:t>increased 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 xml:space="preserve">Atazanavir AUC: no significant change; Cmax: </w:t>
            </w:r>
            <w:r w:rsidRPr="00302534">
              <w:rPr>
                <w:rFonts w:ascii="Verdana" w:eastAsia="Times New Roman" w:hAnsi="Verdana" w:cs="Times New Roman"/>
                <w:color w:val="333333"/>
                <w:sz w:val="18"/>
                <w:szCs w:val="18"/>
              </w:rPr>
              <w:lastRenderedPageBreak/>
              <w:t>no significant change; Ritonavir AUC: no significant change;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Decreased didanosine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Reduced didanosine absorption due to presence of food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Administer didanosine EC and atazanavir at different times</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Didanosine</w:t>
            </w:r>
            <w:hyperlink r:id="rId17" w:anchor="122" w:history="1">
              <w:r w:rsidRPr="00302534">
                <w:rPr>
                  <w:rFonts w:ascii="Verdana" w:eastAsia="Times New Roman" w:hAnsi="Verdana" w:cs="Times New Roman"/>
                  <w:color w:val="003399"/>
                  <w:sz w:val="14"/>
                  <w:szCs w:val="14"/>
                  <w:u w:val="single"/>
                  <w:vertAlign w:val="superscript"/>
                </w:rPr>
                <w:t>122</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Also dosed with stavudine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Cmax: decreased 89%; AUC: decreased 87%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Diltiazem</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(Dilacor, Tiazac, Cardizem)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180 mg QD on days 7-11 and 19-23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on days 1-11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Diltiazem AUC: increased 125%; Cmax: increased 198%; Cmin: decreased 59%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diltiazem effects (eg, hypotension, heart block)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Reduce diltiazem dose by 50%. ECG monitoring is recommended.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Dolutegravir</w:t>
            </w:r>
            <w:hyperlink r:id="rId18" w:anchor="641" w:history="1">
              <w:r w:rsidRPr="00302534">
                <w:rPr>
                  <w:rFonts w:ascii="Verdana" w:eastAsia="Times New Roman" w:hAnsi="Verdana" w:cs="Times New Roman"/>
                  <w:color w:val="003399"/>
                  <w:sz w:val="14"/>
                  <w:szCs w:val="14"/>
                  <w:u w:val="single"/>
                  <w:vertAlign w:val="superscript"/>
                </w:rPr>
                <w:t>641</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(Tivicay)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Dolutegravir AUC: increased 91%; Cmin: increased 180%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Dolutegravir</w:t>
            </w:r>
            <w:hyperlink r:id="rId19" w:anchor="641" w:history="1">
              <w:r w:rsidRPr="00302534">
                <w:rPr>
                  <w:rFonts w:ascii="Verdana" w:eastAsia="Times New Roman" w:hAnsi="Verdana" w:cs="Times New Roman"/>
                  <w:color w:val="003399"/>
                  <w:sz w:val="14"/>
                  <w:szCs w:val="14"/>
                  <w:u w:val="single"/>
                  <w:vertAlign w:val="superscript"/>
                </w:rPr>
                <w:t>641</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(Tivicay)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300 mg QD with ritonavir </w:t>
            </w:r>
            <w:r w:rsidRPr="00302534">
              <w:rPr>
                <w:rFonts w:ascii="Verdana" w:eastAsia="Times New Roman" w:hAnsi="Verdana" w:cs="Times New Roman"/>
                <w:color w:val="333333"/>
                <w:sz w:val="18"/>
                <w:szCs w:val="18"/>
              </w:rPr>
              <w:lastRenderedPageBreak/>
              <w:t>100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 xml:space="preserve">Dolutegravir AUC increased </w:t>
            </w:r>
            <w:r w:rsidRPr="00302534">
              <w:rPr>
                <w:rFonts w:ascii="Verdana" w:eastAsia="Times New Roman" w:hAnsi="Verdana" w:cs="Times New Roman"/>
                <w:color w:val="333333"/>
                <w:sz w:val="18"/>
                <w:szCs w:val="18"/>
              </w:rPr>
              <w:lastRenderedPageBreak/>
              <w:t>62%; Cmin: increased 121%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Efavirenz</w:t>
            </w:r>
            <w:hyperlink r:id="rId20" w:anchor="90" w:history="1">
              <w:r w:rsidRPr="00302534">
                <w:rPr>
                  <w:rFonts w:ascii="Verdana" w:eastAsia="Times New Roman" w:hAnsi="Verdana" w:cs="Times New Roman"/>
                  <w:color w:val="003399"/>
                  <w:sz w:val="14"/>
                  <w:szCs w:val="14"/>
                  <w:u w:val="single"/>
                  <w:vertAlign w:val="superscript"/>
                </w:rPr>
                <w:t>90</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 dose to 300 mg atazanavir with 100 mg ritonavir taken at the same time (boosted atazanavir).Dose adjustments not established for treatment experienced patients.</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Efavirenz</w:t>
            </w:r>
            <w:hyperlink r:id="rId21" w:anchor="4" w:history="1">
              <w:r w:rsidRPr="00302534">
                <w:rPr>
                  <w:rFonts w:ascii="Verdana" w:eastAsia="Times New Roman" w:hAnsi="Verdana" w:cs="Times New Roman"/>
                  <w:color w:val="003399"/>
                  <w:sz w:val="14"/>
                  <w:szCs w:val="14"/>
                  <w:u w:val="single"/>
                  <w:vertAlign w:val="superscript"/>
                </w:rPr>
                <w:t>4</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600 mg QD on days 7-20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600 mg QD on days 7-20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(all values compared to atazanavir 400 mg QD) AUC: decreased 21%; Cmax: no significant change; Cmin: decreased 59%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Induction of 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Efavirenz</w:t>
            </w:r>
            <w:hyperlink r:id="rId22" w:anchor="100" w:history="1">
              <w:r w:rsidRPr="00302534">
                <w:rPr>
                  <w:rFonts w:ascii="Verdana" w:eastAsia="Times New Roman" w:hAnsi="Verdana" w:cs="Times New Roman"/>
                  <w:color w:val="003399"/>
                  <w:sz w:val="14"/>
                  <w:szCs w:val="14"/>
                  <w:u w:val="single"/>
                  <w:vertAlign w:val="superscript"/>
                </w:rPr>
                <w:t>100</w:t>
              </w:r>
            </w:hyperlink>
            <w:r w:rsidRPr="00302534">
              <w:rPr>
                <w:rFonts w:ascii="Verdana" w:eastAsia="Times New Roman" w:hAnsi="Verdana" w:cs="Times New Roman"/>
                <w:color w:val="333333"/>
                <w:sz w:val="14"/>
                <w:szCs w:val="14"/>
                <w:vertAlign w:val="superscript"/>
              </w:rPr>
              <w:t>,</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600 mg QD on days 7-20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on days 1-20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Atazanavir AUC: decreased 74%; Cmax: decreased 59%; </w:t>
            </w:r>
            <w:r w:rsidRPr="00302534">
              <w:rPr>
                <w:rFonts w:ascii="Verdana" w:eastAsia="Times New Roman" w:hAnsi="Verdana" w:cs="Times New Roman"/>
                <w:color w:val="333333"/>
                <w:sz w:val="18"/>
                <w:szCs w:val="18"/>
              </w:rPr>
              <w:lastRenderedPageBreak/>
              <w:t>Cmin: decreased 93%; half-life: decreased 27%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Efavirenz</w:t>
            </w:r>
            <w:hyperlink r:id="rId23" w:anchor="101" w:history="1">
              <w:r w:rsidRPr="00302534">
                <w:rPr>
                  <w:rFonts w:ascii="Verdana" w:eastAsia="Times New Roman" w:hAnsi="Verdana" w:cs="Times New Roman"/>
                  <w:color w:val="003399"/>
                  <w:sz w:val="14"/>
                  <w:szCs w:val="14"/>
                  <w:u w:val="single"/>
                  <w:vertAlign w:val="superscript"/>
                </w:rPr>
                <w:t>101</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600 mg QD with ritonavir 200 mg on days 15-28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on days 1-28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increased 241%; Cmax: increased 124%; Cmin: increased 671%; half-life: increased 79%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Efavirenz</w:t>
            </w:r>
            <w:hyperlink r:id="rId24" w:anchor="4" w:history="1">
              <w:r w:rsidRPr="00302534">
                <w:rPr>
                  <w:rFonts w:ascii="Verdana" w:eastAsia="Times New Roman" w:hAnsi="Verdana" w:cs="Times New Roman"/>
                  <w:color w:val="003399"/>
                  <w:sz w:val="14"/>
                  <w:szCs w:val="14"/>
                  <w:u w:val="single"/>
                  <w:vertAlign w:val="superscript"/>
                </w:rPr>
                <w:t>4</w:t>
              </w:r>
            </w:hyperlink>
            <w:r w:rsidRPr="00302534">
              <w:rPr>
                <w:rFonts w:ascii="Verdana" w:eastAsia="Times New Roman" w:hAnsi="Verdana" w:cs="Times New Roman"/>
                <w:color w:val="333333"/>
                <w:sz w:val="14"/>
                <w:szCs w:val="14"/>
                <w:vertAlign w:val="superscript"/>
              </w:rPr>
              <w:t>,</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600 mg QD x days 7-20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on days 1-6 then 300 mg with ritonavir 100 mg QD on days 7-20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(all values compared to atazanavir 400 mg QD) AUC: increased 39% ; Cmax: no significant change; Cmin: increased 48%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Elbasvir/grazoprevir</w:t>
            </w:r>
            <w:hyperlink r:id="rId25" w:anchor="733" w:history="1">
              <w:r w:rsidRPr="00302534">
                <w:rPr>
                  <w:rFonts w:ascii="Verdana" w:eastAsia="Times New Roman" w:hAnsi="Verdana" w:cs="Times New Roman"/>
                  <w:color w:val="003399"/>
                  <w:sz w:val="14"/>
                  <w:szCs w:val="14"/>
                  <w:u w:val="single"/>
                  <w:vertAlign w:val="superscript"/>
                </w:rPr>
                <w:t>733</w:t>
              </w:r>
            </w:hyperlink>
            <w:r w:rsidRPr="00302534">
              <w:rPr>
                <w:rFonts w:ascii="Verdana" w:eastAsia="Times New Roman" w:hAnsi="Verdana" w:cs="Times New Roman"/>
                <w:color w:val="333333"/>
                <w:sz w:val="14"/>
                <w:szCs w:val="14"/>
                <w:vertAlign w:val="superscript"/>
              </w:rPr>
              <w:t>,</w:t>
            </w:r>
            <w:hyperlink r:id="rId26" w:anchor="727" w:history="1">
              <w:r w:rsidRPr="00302534">
                <w:rPr>
                  <w:rFonts w:ascii="Verdana" w:eastAsia="Times New Roman" w:hAnsi="Verdana" w:cs="Times New Roman"/>
                  <w:color w:val="003399"/>
                  <w:sz w:val="14"/>
                  <w:szCs w:val="14"/>
                  <w:u w:val="single"/>
                  <w:vertAlign w:val="superscript"/>
                </w:rPr>
                <w:t>727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(Zepatier)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 xml:space="preserve">Elbasvir 50 mg QD </w:t>
            </w:r>
            <w:r w:rsidRPr="00302534">
              <w:rPr>
                <w:rFonts w:ascii="Verdana" w:eastAsia="Times New Roman" w:hAnsi="Verdana" w:cs="Times New Roman"/>
                <w:color w:val="333333"/>
                <w:sz w:val="18"/>
                <w:szCs w:val="18"/>
              </w:rPr>
              <w:lastRenderedPageBreak/>
              <w:t>with grazoprevir 100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Elbasvir AUC </w:t>
            </w:r>
            <w:r w:rsidRPr="00302534">
              <w:rPr>
                <w:rFonts w:ascii="Arial" w:eastAsia="Times New Roman" w:hAnsi="Arial" w:cs="Arial"/>
                <w:color w:val="333333"/>
                <w:sz w:val="18"/>
                <w:szCs w:val="18"/>
              </w:rPr>
              <w:t>↑</w:t>
            </w:r>
            <w:r w:rsidRPr="00302534">
              <w:rPr>
                <w:rFonts w:ascii="Verdana" w:eastAsia="Times New Roman" w:hAnsi="Verdana" w:cs="Times New Roman"/>
                <w:color w:val="333333"/>
                <w:sz w:val="18"/>
                <w:szCs w:val="18"/>
              </w:rPr>
              <w:t xml:space="preserve"> 4.8 </w:t>
            </w:r>
            <w:r w:rsidRPr="00302534">
              <w:rPr>
                <w:rFonts w:ascii="Verdana" w:eastAsia="Times New Roman" w:hAnsi="Verdana" w:cs="Times New Roman"/>
                <w:color w:val="333333"/>
                <w:sz w:val="18"/>
                <w:szCs w:val="18"/>
              </w:rPr>
              <w:lastRenderedPageBreak/>
              <w:t xml:space="preserve">fold Grazoprevir AUC </w:t>
            </w:r>
            <w:r w:rsidRPr="00302534">
              <w:rPr>
                <w:rFonts w:ascii="Arial" w:eastAsia="Times New Roman" w:hAnsi="Arial" w:cs="Arial"/>
                <w:color w:val="333333"/>
                <w:sz w:val="18"/>
                <w:szCs w:val="18"/>
              </w:rPr>
              <w:t>↑</w:t>
            </w:r>
            <w:r w:rsidRPr="00302534">
              <w:rPr>
                <w:rFonts w:ascii="Verdana" w:eastAsia="Times New Roman" w:hAnsi="Verdana" w:cs="Times New Roman"/>
                <w:color w:val="333333"/>
                <w:sz w:val="18"/>
                <w:szCs w:val="18"/>
              </w:rPr>
              <w:t xml:space="preserve"> 10.6 fold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May increase </w:t>
            </w:r>
            <w:r w:rsidRPr="00302534">
              <w:rPr>
                <w:rFonts w:ascii="Verdana" w:eastAsia="Times New Roman" w:hAnsi="Verdana" w:cs="Times New Roman"/>
                <w:color w:val="333333"/>
                <w:sz w:val="18"/>
                <w:szCs w:val="18"/>
              </w:rPr>
              <w:lastRenderedPageBreak/>
              <w:t>the risk of ALT elevations due to a significant increase in grazoprevir plasma concentrations caused by OATP1B1/3 inhibition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 xml:space="preserve">OATP1B1/3 inhibition </w:t>
            </w:r>
            <w:r w:rsidRPr="00302534">
              <w:rPr>
                <w:rFonts w:ascii="Verdana" w:eastAsia="Times New Roman" w:hAnsi="Verdana" w:cs="Times New Roman"/>
                <w:color w:val="333333"/>
                <w:sz w:val="18"/>
                <w:szCs w:val="18"/>
              </w:rPr>
              <w:lastRenderedPageBreak/>
              <w:t>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 xml:space="preserve">Contraindicated: Do </w:t>
            </w:r>
            <w:r w:rsidRPr="00302534">
              <w:rPr>
                <w:rFonts w:ascii="Verdana" w:eastAsia="Times New Roman" w:hAnsi="Verdana" w:cs="Times New Roman"/>
                <w:color w:val="333333"/>
                <w:sz w:val="18"/>
                <w:szCs w:val="18"/>
              </w:rPr>
              <w:lastRenderedPageBreak/>
              <w:t>not coadminister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Elvitegravir/cobicistat</w:t>
            </w:r>
            <w:hyperlink r:id="rId27" w:anchor="651" w:history="1">
              <w:r w:rsidRPr="00302534">
                <w:rPr>
                  <w:rFonts w:ascii="Verdana" w:eastAsia="Times New Roman" w:hAnsi="Verdana" w:cs="Times New Roman"/>
                  <w:color w:val="003399"/>
                  <w:sz w:val="14"/>
                  <w:szCs w:val="14"/>
                  <w:u w:val="single"/>
                  <w:vertAlign w:val="superscript"/>
                </w:rPr>
                <w:t>651</w:t>
              </w:r>
            </w:hyperlink>
            <w:r w:rsidRPr="00302534">
              <w:rPr>
                <w:rFonts w:ascii="Verdana" w:eastAsia="Times New Roman" w:hAnsi="Verdana" w:cs="Times New Roman"/>
                <w:color w:val="333333"/>
                <w:sz w:val="14"/>
                <w:szCs w:val="14"/>
                <w:vertAlign w:val="superscript"/>
              </w:rPr>
              <w:t>,</w:t>
            </w:r>
            <w:hyperlink r:id="rId28" w:anchor="645" w:history="1">
              <w:r w:rsidRPr="00302534">
                <w:rPr>
                  <w:rFonts w:ascii="Verdana" w:eastAsia="Times New Roman" w:hAnsi="Verdana" w:cs="Times New Roman"/>
                  <w:color w:val="003399"/>
                  <w:sz w:val="14"/>
                  <w:szCs w:val="14"/>
                  <w:u w:val="single"/>
                  <w:vertAlign w:val="superscript"/>
                </w:rPr>
                <w:t>645</w:t>
              </w:r>
            </w:hyperlink>
            <w:r w:rsidRPr="00302534">
              <w:rPr>
                <w:rFonts w:ascii="Verdana" w:eastAsia="Times New Roman" w:hAnsi="Verdana" w:cs="Times New Roman"/>
                <w:color w:val="333333"/>
                <w:sz w:val="14"/>
                <w:szCs w:val="14"/>
                <w:vertAlign w:val="superscript"/>
              </w:rPr>
              <w:t>, </w:t>
            </w:r>
            <w:hyperlink r:id="rId29" w:anchor="639" w:history="1">
              <w:r w:rsidRPr="00302534">
                <w:rPr>
                  <w:rFonts w:ascii="Verdana" w:eastAsia="Times New Roman" w:hAnsi="Verdana" w:cs="Times New Roman"/>
                  <w:color w:val="003399"/>
                  <w:sz w:val="14"/>
                  <w:szCs w:val="14"/>
                  <w:u w:val="single"/>
                  <w:vertAlign w:val="superscript"/>
                </w:rPr>
                <w:t>639</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(Stribild)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Elvitegravir 85 mg QD with COBI 150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Elvitegravir AUC: increased 17%; Cmax: decreased 16%; Cmin: increased 83%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Cmax: decreased 24%; Cmin: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Potentially decreased or increased elvitegravir, cobicistat and/or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Ergotamine</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(Cafergot, Ergot derivatives)(Cafergot, 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 may increase ergotamine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ergotamine effects (eg, ergotism)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5-HT agonists ("triptans")</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Esomeprazole</w:t>
            </w:r>
            <w:hyperlink r:id="rId30" w:anchor="240" w:history="1">
              <w:r w:rsidRPr="00302534">
                <w:rPr>
                  <w:rFonts w:ascii="Verdana" w:eastAsia="Times New Roman" w:hAnsi="Verdana" w:cs="Times New Roman"/>
                  <w:color w:val="003399"/>
                  <w:sz w:val="14"/>
                  <w:szCs w:val="14"/>
                  <w:u w:val="single"/>
                  <w:vertAlign w:val="superscript"/>
                </w:rPr>
                <w:t>240</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(Nexium)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GI absorption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Do not coadminister PPIs with unboosted atazanavir. PPIs may </w:t>
            </w:r>
            <w:r w:rsidRPr="00302534">
              <w:rPr>
                <w:rFonts w:ascii="Verdana" w:eastAsia="Times New Roman" w:hAnsi="Verdana" w:cs="Times New Roman"/>
                <w:color w:val="333333"/>
                <w:sz w:val="18"/>
                <w:szCs w:val="18"/>
              </w:rPr>
              <w:lastRenderedPageBreak/>
              <w:t>be administered 12 hours before atazanavir when boosted with ritonavir or cobicistat, in treatment naive patients. Doses should not exceed the equivalent of omeprazole 20 mg daily. PPIs are not recommended for treatment experienced patients.</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H2 blockers</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Ethinyl estradiol/norethindrone acetate</w:t>
            </w:r>
            <w:hyperlink r:id="rId31" w:anchor="4" w:history="1">
              <w:r w:rsidRPr="00302534">
                <w:rPr>
                  <w:rFonts w:ascii="Verdana" w:eastAsia="Times New Roman" w:hAnsi="Verdana" w:cs="Times New Roman"/>
                  <w:color w:val="003399"/>
                  <w:sz w:val="14"/>
                  <w:szCs w:val="14"/>
                  <w:u w:val="single"/>
                  <w:vertAlign w:val="superscript"/>
                </w:rPr>
                <w:t>4</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(others)(Ortho-Novum)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 tab QD (7/7/7)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Norethindrone Cmax: increased 67%; AUC: increased 110%; Cmin: increased 262%; Ethinyl </w:t>
            </w:r>
            <w:r w:rsidRPr="00302534">
              <w:rPr>
                <w:rFonts w:ascii="Verdana" w:eastAsia="Times New Roman" w:hAnsi="Verdana" w:cs="Times New Roman"/>
                <w:color w:val="333333"/>
                <w:sz w:val="18"/>
                <w:szCs w:val="18"/>
              </w:rPr>
              <w:lastRenderedPageBreak/>
              <w:t>estradiol AUC: increased 48%; Cmax: no significant change; Cmin: increased 91%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norethindrone and ethinyl estradiol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UGT 1A1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Use oral contraceptive that contains no more than 30 mcg of ethinyl estradiol or recommend an </w:t>
            </w:r>
            <w:r w:rsidRPr="00302534">
              <w:rPr>
                <w:rFonts w:ascii="Verdana" w:eastAsia="Times New Roman" w:hAnsi="Verdana" w:cs="Times New Roman"/>
                <w:color w:val="333333"/>
                <w:sz w:val="18"/>
                <w:szCs w:val="18"/>
              </w:rPr>
              <w:lastRenderedPageBreak/>
              <w:t>alternative contraceptive method. Oral contraceptives containing less than 25mcg of ethinyl estradiol or progestins other than norethindrone or norgestimate have not been studied.</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Non hormonal contraceptive method, barrier devices, condoms</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Ethinyl estradiol/norgestimate</w:t>
            </w:r>
            <w:hyperlink r:id="rId32" w:anchor="727" w:history="1">
              <w:r w:rsidRPr="00302534">
                <w:rPr>
                  <w:rFonts w:ascii="Verdana" w:eastAsia="Times New Roman" w:hAnsi="Verdana" w:cs="Times New Roman"/>
                  <w:color w:val="003399"/>
                  <w:sz w:val="14"/>
                  <w:szCs w:val="14"/>
                  <w:u w:val="single"/>
                  <w:vertAlign w:val="superscript"/>
                </w:rPr>
                <w:t>727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(others)(Ortho Tri-Cyclen)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100 mg atazanavir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Ethinyl estradiol AUC: decreased 19%; Cmax: decreased 16%; Cmin: decreased 37% 17-deacetyl norgestimate AUC: increased 85%; Cmax: increased 68%; Cmin: increased 102%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Use oral contraceptive containing at least 35 mcg of ethinyl estradiol. Oral contraceptives containing progestins other than norethindrone or norgestimate have not </w:t>
            </w:r>
            <w:r w:rsidRPr="00302534">
              <w:rPr>
                <w:rFonts w:ascii="Verdana" w:eastAsia="Times New Roman" w:hAnsi="Verdana" w:cs="Times New Roman"/>
                <w:color w:val="333333"/>
                <w:sz w:val="18"/>
                <w:szCs w:val="18"/>
              </w:rPr>
              <w:lastRenderedPageBreak/>
              <w:t>been studied.</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Non-hormonal contraceptives, barrier devices, condoms</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Etravirine</w:t>
            </w:r>
            <w:hyperlink r:id="rId33" w:anchor="405" w:history="1">
              <w:r w:rsidRPr="00302534">
                <w:rPr>
                  <w:rFonts w:ascii="Verdana" w:eastAsia="Times New Roman" w:hAnsi="Verdana" w:cs="Times New Roman"/>
                  <w:color w:val="003399"/>
                  <w:sz w:val="14"/>
                  <w:szCs w:val="14"/>
                  <w:u w:val="single"/>
                  <w:vertAlign w:val="superscript"/>
                </w:rPr>
                <w:t>405</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Etravirine AUC: increased 50%; Cmax: increased 47%; Cmin: increased 58%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17%; Cmin: decreased 47%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Possibly increased etravirine effects; 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etravirine metabolism; induction of CYP450 3A4 by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Etravirine</w:t>
            </w:r>
            <w:hyperlink r:id="rId34" w:anchor="405" w:history="1">
              <w:r w:rsidRPr="00302534">
                <w:rPr>
                  <w:rFonts w:ascii="Verdana" w:eastAsia="Times New Roman" w:hAnsi="Verdana" w:cs="Times New Roman"/>
                  <w:color w:val="003399"/>
                  <w:sz w:val="14"/>
                  <w:szCs w:val="14"/>
                  <w:u w:val="single"/>
                  <w:vertAlign w:val="superscript"/>
                </w:rPr>
                <w:t>405</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Etravirine AUC: increased 30%; Cmax: increased 30%; Cmin: decreased 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14%; Cmin: decreased 38%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Possibly increased etravirine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Famotidine</w:t>
            </w:r>
            <w:hyperlink r:id="rId35" w:anchor="240" w:history="1">
              <w:r w:rsidRPr="00302534">
                <w:rPr>
                  <w:rFonts w:ascii="Verdana" w:eastAsia="Times New Roman" w:hAnsi="Verdana" w:cs="Times New Roman"/>
                  <w:color w:val="003399"/>
                  <w:sz w:val="14"/>
                  <w:szCs w:val="14"/>
                  <w:u w:val="single"/>
                  <w:vertAlign w:val="superscript"/>
                </w:rPr>
                <w:t>240</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(Pepcid)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May decrease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Possible decreased GI absorption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Unboosted atazanavir 400 mg: give atazanavir 2 hrs before or 10 hours after H2-blocker. Single doses of H2-blockers should not exceed 20 mg of </w:t>
            </w:r>
            <w:r w:rsidRPr="00302534">
              <w:rPr>
                <w:rFonts w:ascii="Verdana" w:eastAsia="Times New Roman" w:hAnsi="Verdana" w:cs="Times New Roman"/>
                <w:color w:val="333333"/>
                <w:sz w:val="18"/>
                <w:szCs w:val="18"/>
              </w:rPr>
              <w:lastRenderedPageBreak/>
              <w:t xml:space="preserve">famotidine (or equivalent). Additionally, if treatment naive, total daily dose of H2 blocker should not exceed 40 mg of famotidine (or equivalent). Atazanavir 300 mg boosted with ritonavir or cobicistat: Give boosted atazanavir at same time as H2 blocker or 10 hours or more after. Total doses of H2 blocker should not exceed the equivalent of 40 mg BID famotidine (treatment naive) or 20 mg BID for (treatment experienced patients). If using tenofovir </w:t>
            </w:r>
            <w:r w:rsidRPr="00302534">
              <w:rPr>
                <w:rFonts w:ascii="Verdana" w:eastAsia="Times New Roman" w:hAnsi="Verdana" w:cs="Times New Roman"/>
                <w:color w:val="333333"/>
                <w:sz w:val="18"/>
                <w:szCs w:val="18"/>
              </w:rPr>
              <w:lastRenderedPageBreak/>
              <w:t>disoproxil fumarate, atazanavir, and H2 blocker in treatment experienced patient, increase atazanavir dose to 400 mg in addition to boosting with ritonavir or cobicistat.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Famotidine</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(Pepcid)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20 mg BID on d 11-17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100 mg ritonavir QD with tenofovir on d 11-17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41%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Unboosted atazanavir 400 mg: give atazanavir 2 hrs before or 10 hours after H2-blocker. Single doses of H2-blockers should not exceed 20 mg of famotidine (or equivalent). Additionally, if treatment naive, total daily dose of H2 blocker should not exceed 40 mg of famotidine (or </w:t>
            </w:r>
            <w:r w:rsidRPr="00302534">
              <w:rPr>
                <w:rFonts w:ascii="Verdana" w:eastAsia="Times New Roman" w:hAnsi="Verdana" w:cs="Times New Roman"/>
                <w:color w:val="333333"/>
                <w:sz w:val="18"/>
                <w:szCs w:val="18"/>
              </w:rPr>
              <w:lastRenderedPageBreak/>
              <w:t xml:space="preserve">equivalent). Atazanavir 300 mg boosted with ritonavir or cobicistat: Give boosted atazanavir at same time as H2 blocker or 10 hours or more after. Total doses of H2 blocker should not exceed the equivalent of 40 mg BID famotidine (treatment naive) or 20 mg BID for (treatment experienced patients). If using tenofovir disoproxil fumarate, atazanavir, and H2 blocker in treatment experienced patient, increase atazanavir dose to 400 mg in addition to boosting with </w:t>
            </w:r>
            <w:r w:rsidRPr="00302534">
              <w:rPr>
                <w:rFonts w:ascii="Verdana" w:eastAsia="Times New Roman" w:hAnsi="Verdana" w:cs="Times New Roman"/>
                <w:color w:val="333333"/>
                <w:sz w:val="18"/>
                <w:szCs w:val="18"/>
              </w:rPr>
              <w:lastRenderedPageBreak/>
              <w:t>ritonavir or cobicistat.</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Famotidine</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(Pepcid)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20 mg BID on d 11-17 (simultaneous administration with morning atazanavir/ritonavir)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100 mg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Unboosted atazanavir 400 mg: give atazanavir 2 hrs before or 10 hours after H2-blocker. Single doses of H2-blockers should not exceed 20 mg of famotidine (or equivalent). Additionally, if treatment naive, total daily dose of H2 blocker should not exceed 40 mg of famotidine (or equivalent). Atazanavir 300 mg boosted with ritonavir or cobicistat: Give </w:t>
            </w:r>
            <w:r w:rsidRPr="00302534">
              <w:rPr>
                <w:rFonts w:ascii="Verdana" w:eastAsia="Times New Roman" w:hAnsi="Verdana" w:cs="Times New Roman"/>
                <w:color w:val="333333"/>
                <w:sz w:val="18"/>
                <w:szCs w:val="18"/>
              </w:rPr>
              <w:lastRenderedPageBreak/>
              <w:t>boosted atazanavir at same time as H2 blocker or 10 hours or more after. Total doses of H2 blocker should not exceed the equivalent of 40 mg BID famotidine (treatment naive) or 20 mg BID for (treatment experienced patients). If using tenofovir disoproxil fumarate, atazanavir, and H2 blocker in treatment experienced patient, increase atazanavir dose to 400 mg in addition to boosting with ritonavir or cobicistat.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Famotidine</w:t>
            </w:r>
            <w:hyperlink r:id="rId36" w:anchor="239" w:history="1">
              <w:r w:rsidRPr="00302534">
                <w:rPr>
                  <w:rFonts w:ascii="Verdana" w:eastAsia="Times New Roman" w:hAnsi="Verdana" w:cs="Times New Roman"/>
                  <w:color w:val="003399"/>
                  <w:sz w:val="14"/>
                  <w:szCs w:val="14"/>
                  <w:u w:val="single"/>
                  <w:vertAlign w:val="superscript"/>
                </w:rPr>
                <w:t>239</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(Pepcid)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 mg BID on d 11-20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ritonavir 100 mg QD on d 1-20 (simulta</w:t>
            </w:r>
            <w:r w:rsidRPr="00302534">
              <w:rPr>
                <w:rFonts w:ascii="Verdana" w:eastAsia="Times New Roman" w:hAnsi="Verdana" w:cs="Times New Roman"/>
                <w:color w:val="333333"/>
                <w:sz w:val="18"/>
                <w:szCs w:val="18"/>
              </w:rPr>
              <w:lastRenderedPageBreak/>
              <w:t>neous administration)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18%; Cmax: no significa</w:t>
            </w:r>
            <w:r w:rsidRPr="00302534">
              <w:rPr>
                <w:rFonts w:ascii="Verdana" w:eastAsia="Times New Roman" w:hAnsi="Verdana" w:cs="Times New Roman"/>
                <w:color w:val="333333"/>
                <w:sz w:val="18"/>
                <w:szCs w:val="18"/>
              </w:rPr>
              <w:lastRenderedPageBreak/>
              <w:t>nt change; Cmin: decreased 28%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atazanavir absorption by famotidine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Unboosted atazanavir 400 mg: give atazanavir 2 hrs before or </w:t>
            </w:r>
            <w:r w:rsidRPr="00302534">
              <w:rPr>
                <w:rFonts w:ascii="Verdana" w:eastAsia="Times New Roman" w:hAnsi="Verdana" w:cs="Times New Roman"/>
                <w:color w:val="333333"/>
                <w:sz w:val="18"/>
                <w:szCs w:val="18"/>
              </w:rPr>
              <w:lastRenderedPageBreak/>
              <w:t xml:space="preserve">10 hours after H2-blocker. Single doses of H2-blockers should not exceed 20 mg of famotidine (or equivalent). Additionally, if treatment naive, total daily dose of H2 blocker should not exceed 40 mg of famotidine (or equivalent). Atazanavir 300 mg boosted with ritonavir or cobicistat: Give boosted atazanavir at same time as H2 blocker or 10 hours or more after. Total doses of H2 blocker should not exceed the equivalent of 40 mg BID famotidine </w:t>
            </w:r>
            <w:r w:rsidRPr="00302534">
              <w:rPr>
                <w:rFonts w:ascii="Verdana" w:eastAsia="Times New Roman" w:hAnsi="Verdana" w:cs="Times New Roman"/>
                <w:color w:val="333333"/>
                <w:sz w:val="18"/>
                <w:szCs w:val="18"/>
              </w:rPr>
              <w:lastRenderedPageBreak/>
              <w:t>(treatment naive) or 20 mg BID for (treatment experienced patients). If using tenofovir disoproxil fumarate, atazanavir, and H2 blocker in treatment experienced patient, increase atazanavir dose to 400 mg in addition to boosting with ritonavir or cobicistat.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Famotidine</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(Pepcid)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 mg BID on d 7-12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on d 1-12 (simultaneous administration)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41%; Cmax: decreased 47%; Cmin: decreased 42%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atazanavir absorption by famotidine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Unboosted atazanavir 400 mg: give atazanavir 2 hrs before or 10 hours after H2-blocker. Single doses of H2-blockers should not exceed 20 mg of famotidine (or equivalent). Additionally, if </w:t>
            </w:r>
            <w:r w:rsidRPr="00302534">
              <w:rPr>
                <w:rFonts w:ascii="Verdana" w:eastAsia="Times New Roman" w:hAnsi="Verdana" w:cs="Times New Roman"/>
                <w:color w:val="333333"/>
                <w:sz w:val="18"/>
                <w:szCs w:val="18"/>
              </w:rPr>
              <w:lastRenderedPageBreak/>
              <w:t xml:space="preserve">treatment naive, total daily dose of H2 blocker should not exceed 40 mg of famotidine (or equivalent). Atazanavir 300 mg boosted with ritonavir or cobicistat: Give boosted atazanavir at same time as H2 blocker or 10 hours or more after. Total doses of H2 blocker should not exceed the equivalent of 40 mg BID famotidine (treatment naive) or 20 mg BID for (treatment experienced patients). If using tenofovir disoproxil fumarate, atazanavir, and H2 blocker in treatment </w:t>
            </w:r>
            <w:r w:rsidRPr="00302534">
              <w:rPr>
                <w:rFonts w:ascii="Verdana" w:eastAsia="Times New Roman" w:hAnsi="Verdana" w:cs="Times New Roman"/>
                <w:color w:val="333333"/>
                <w:sz w:val="18"/>
                <w:szCs w:val="18"/>
              </w:rPr>
              <w:lastRenderedPageBreak/>
              <w:t>experienced patient, increase atazanavir dose to 400 mg in addition to boosting with ritonavir or cobicistat.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Famotidine</w:t>
            </w:r>
            <w:hyperlink r:id="rId37" w:anchor="239" w:history="1">
              <w:r w:rsidRPr="00302534">
                <w:rPr>
                  <w:rFonts w:ascii="Verdana" w:eastAsia="Times New Roman" w:hAnsi="Verdana" w:cs="Times New Roman"/>
                  <w:color w:val="003399"/>
                  <w:sz w:val="14"/>
                  <w:szCs w:val="14"/>
                  <w:u w:val="single"/>
                  <w:vertAlign w:val="superscript"/>
                </w:rPr>
                <w:t>239</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(Pepcid)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 mg Q12H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38%; Cmax: decreased 42%; Cmin: decreased 40%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atazanavir absorption by famotidine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For treatment-naive patients, atazanavir 400 mg QD can be used if dosed 2 hrs before or 10 hours after the H2-blocker or atazanavir 300 mg with ritonavir 100 mg QD can be used.For treatment-experienced patients, atazanavir 300 mg with ritonavir 100 mg QD can be used if dosed at least 2 hs before and at least 10 hours after the H2-blocker.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Famotidine</w:t>
            </w:r>
            <w:hyperlink r:id="rId38" w:anchor="155" w:history="1">
              <w:r w:rsidRPr="00302534">
                <w:rPr>
                  <w:rFonts w:ascii="Verdana" w:eastAsia="Times New Roman" w:hAnsi="Verdana" w:cs="Times New Roman"/>
                  <w:color w:val="003399"/>
                  <w:sz w:val="14"/>
                  <w:szCs w:val="14"/>
                  <w:u w:val="single"/>
                  <w:vertAlign w:val="superscript"/>
                </w:rPr>
                <w:t>155</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(Pepcid)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 mg Q12H on d 11-20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atazanavir with 100 mg ritonavir on d 11-20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no significant change; Cmax: no significant change; Cmin: decreased 14%(compared to 300 mg atazanavir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atazanavir absorption by famotidine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For treatment-naive patients, atazanavir 400 mg QD can be used if dosed 2 hrs before or 10 hours after the H2-blocker or atazanavir 300 mg with ritonavir 100 mg QD can be used. For treatment-experienced patients, atazanavir 300 mg with ritonavir 100 mg QD can be used if dosed at least 2 hs before and at least 10 hours after the H2-blocker.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Famotidine</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(Pepcid)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 mg QD on d 7-12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on d 1-6, d 7-12 (10 hr after, 2 hrs before famotidine)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Cmin: decreased 31%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atazanavir absorption by famotidine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Unboosted atazanavir 400 mg: give atazanavir 2 hrs before or 10 hours after H2-blocker. Single doses of </w:t>
            </w:r>
            <w:r w:rsidRPr="00302534">
              <w:rPr>
                <w:rFonts w:ascii="Verdana" w:eastAsia="Times New Roman" w:hAnsi="Verdana" w:cs="Times New Roman"/>
                <w:color w:val="333333"/>
                <w:sz w:val="18"/>
                <w:szCs w:val="18"/>
              </w:rPr>
              <w:lastRenderedPageBreak/>
              <w:t xml:space="preserve">H2-blockers should not exceed 20 mg of famotidine (or equivalent). Additionally, if treatment naive, total daily dose of H2 blocker should not exceed 40 mg of famotidine (or equivalent). Atazanavir 300 mg boosted with ritonavir or cobicistat: Give boosted atazanavir at same time as H2 blocker or 10 hours or more after. Total doses of H2 blocker should not exceed the equivalent of 40 mg BID famotidine (treatment naive) or 20 mg BID for (treatment </w:t>
            </w:r>
            <w:r w:rsidRPr="00302534">
              <w:rPr>
                <w:rFonts w:ascii="Verdana" w:eastAsia="Times New Roman" w:hAnsi="Verdana" w:cs="Times New Roman"/>
                <w:color w:val="333333"/>
                <w:sz w:val="18"/>
                <w:szCs w:val="18"/>
              </w:rPr>
              <w:lastRenderedPageBreak/>
              <w:t>experienced patients). If using tenofovir disoproxil fumarate, atazanavir, and H2 blocker in treatment experienced patient, increase atazanavir dose to 400 mg in addition to boosting with ritonavir or cobicistat.</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Fluconazole</w:t>
            </w:r>
            <w:hyperlink r:id="rId39" w:anchor="268" w:history="1">
              <w:r w:rsidRPr="00302534">
                <w:rPr>
                  <w:rFonts w:ascii="Verdana" w:eastAsia="Times New Roman" w:hAnsi="Verdana" w:cs="Times New Roman"/>
                  <w:color w:val="003399"/>
                  <w:sz w:val="14"/>
                  <w:szCs w:val="14"/>
                  <w:u w:val="single"/>
                  <w:vertAlign w:val="superscript"/>
                </w:rPr>
                <w:t>268</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(Diflucan)(Diflucan)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200 mg QD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ritonavir 100 mg QD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Fluticasone</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(Advair, Flonase, Aerobid)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fluticasone concentrations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plasma cortisol concentrations (eg, Cushing's syndrome, adrenal 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Use with caution with atazanavir; use with atazanavir/ritonavir is not recommended unless the potential benefit </w:t>
            </w:r>
            <w:r w:rsidRPr="00302534">
              <w:rPr>
                <w:rFonts w:ascii="Verdana" w:eastAsia="Times New Roman" w:hAnsi="Verdana" w:cs="Times New Roman"/>
                <w:color w:val="333333"/>
                <w:sz w:val="18"/>
                <w:szCs w:val="18"/>
              </w:rPr>
              <w:lastRenderedPageBreak/>
              <w:t>outweighs the risk</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Beclomethasone</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Fosamprenavir</w:t>
            </w:r>
            <w:hyperlink r:id="rId40" w:anchor="431" w:history="1">
              <w:r w:rsidRPr="00302534">
                <w:rPr>
                  <w:rFonts w:ascii="Verdana" w:eastAsia="Times New Roman" w:hAnsi="Verdana" w:cs="Times New Roman"/>
                  <w:color w:val="003399"/>
                  <w:sz w:val="14"/>
                  <w:szCs w:val="14"/>
                  <w:u w:val="single"/>
                  <w:vertAlign w:val="superscript"/>
                </w:rPr>
                <w:t>431</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1400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Amprenavir AUC: increased 97%; Cmax: increased 58%; Cmin: increased 297%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33%; Cmax: decreased 27%; Cmin: decreased 60%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amprenavir effects; reduced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Possible induction of CYP450 3A4 by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Fosamprenavir</w:t>
            </w:r>
            <w:hyperlink r:id="rId41" w:anchor="163" w:history="1">
              <w:r w:rsidRPr="00302534">
                <w:rPr>
                  <w:rFonts w:ascii="Verdana" w:eastAsia="Times New Roman" w:hAnsi="Verdana" w:cs="Times New Roman"/>
                  <w:color w:val="003399"/>
                  <w:sz w:val="14"/>
                  <w:szCs w:val="14"/>
                  <w:u w:val="single"/>
                  <w:vertAlign w:val="superscript"/>
                </w:rPr>
                <w:t>163</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1400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Fosamprenavir AUC: increased 78%; Cmax: increased 36%; Cmin: increased 283%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33%; Cmax: decreased 30%; Cmin: decreased 57%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Fosamprenavir</w:t>
            </w:r>
            <w:hyperlink r:id="rId42" w:anchor="159" w:history="1">
              <w:r w:rsidRPr="00302534">
                <w:rPr>
                  <w:rFonts w:ascii="Verdana" w:eastAsia="Times New Roman" w:hAnsi="Verdana" w:cs="Times New Roman"/>
                  <w:color w:val="003399"/>
                  <w:sz w:val="14"/>
                  <w:szCs w:val="14"/>
                  <w:u w:val="single"/>
                  <w:vertAlign w:val="superscript"/>
                </w:rPr>
                <w:t>159</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700 mg BID with 100 mg ritonavir BID on days 1-10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with 100 mg ritonavir QD on days 1-10, in crossover 300 mg QD when combined with FPV/r 700 mg/100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Amprenavir AUC: no significant change; Cmax: no significant change; Cmin: no significant changeRitonavir AUC: increased 93%; Cmax: increased 96%; Cmin: increased 37% (when ATV 300 mg QD added to FPV/r 700 </w:t>
            </w:r>
            <w:r w:rsidRPr="00302534">
              <w:rPr>
                <w:rFonts w:ascii="Verdana" w:eastAsia="Times New Roman" w:hAnsi="Verdana" w:cs="Times New Roman"/>
                <w:color w:val="333333"/>
                <w:sz w:val="18"/>
                <w:szCs w:val="18"/>
              </w:rPr>
              <w:lastRenderedPageBreak/>
              <w:t>mg/100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Atazanavir AUC: decreased 22%; Cmax: decreased 24%;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Possibly increased 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 and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Ketoconazole</w:t>
            </w:r>
            <w:hyperlink r:id="rId43" w:anchor="283" w:history="1">
              <w:r w:rsidRPr="00302534">
                <w:rPr>
                  <w:rFonts w:ascii="Verdana" w:eastAsia="Times New Roman" w:hAnsi="Verdana" w:cs="Times New Roman"/>
                  <w:color w:val="003399"/>
                  <w:sz w:val="14"/>
                  <w:szCs w:val="14"/>
                  <w:u w:val="single"/>
                  <w:vertAlign w:val="superscript"/>
                </w:rPr>
                <w:t>283</w:t>
              </w:r>
            </w:hyperlink>
            <w:r w:rsidRPr="00302534">
              <w:rPr>
                <w:rFonts w:ascii="Verdana" w:eastAsia="Times New Roman" w:hAnsi="Verdana" w:cs="Times New Roman"/>
                <w:color w:val="333333"/>
                <w:sz w:val="14"/>
                <w:szCs w:val="14"/>
                <w:vertAlign w:val="superscript"/>
              </w:rPr>
              <w:t>,</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(Nizoral)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200 mg QD on days 7-13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on days 1-13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Lamivudine</w:t>
            </w:r>
            <w:hyperlink r:id="rId44" w:anchor="106" w:history="1">
              <w:r w:rsidRPr="00302534">
                <w:rPr>
                  <w:rFonts w:ascii="Verdana" w:eastAsia="Times New Roman" w:hAnsi="Verdana" w:cs="Times New Roman"/>
                  <w:color w:val="003399"/>
                  <w:sz w:val="14"/>
                  <w:szCs w:val="14"/>
                  <w:u w:val="single"/>
                  <w:vertAlign w:val="superscript"/>
                </w:rPr>
                <w:t>106</w:t>
              </w:r>
            </w:hyperlink>
            <w:r w:rsidRPr="00302534">
              <w:rPr>
                <w:rFonts w:ascii="Verdana" w:eastAsia="Times New Roman" w:hAnsi="Verdana" w:cs="Times New Roman"/>
                <w:color w:val="333333"/>
                <w:sz w:val="14"/>
                <w:szCs w:val="14"/>
                <w:vertAlign w:val="superscript"/>
              </w:rPr>
              <w:t>,</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(3TC)(Epivir)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150 mg BID with zidovudine 300 mg BID x 6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x 6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Lansoprazole</w:t>
            </w:r>
            <w:hyperlink r:id="rId45" w:anchor="727" w:history="1">
              <w:r w:rsidRPr="00302534">
                <w:rPr>
                  <w:rFonts w:ascii="Verdana" w:eastAsia="Times New Roman" w:hAnsi="Verdana" w:cs="Times New Roman"/>
                  <w:color w:val="003399"/>
                  <w:sz w:val="14"/>
                  <w:szCs w:val="14"/>
                  <w:u w:val="single"/>
                  <w:vertAlign w:val="superscript"/>
                </w:rPr>
                <w:t>727</w:t>
              </w:r>
            </w:hyperlink>
            <w:r w:rsidRPr="00302534">
              <w:rPr>
                <w:rFonts w:ascii="Verdana" w:eastAsia="Times New Roman" w:hAnsi="Verdana" w:cs="Times New Roman"/>
                <w:color w:val="333333"/>
                <w:sz w:val="14"/>
                <w:szCs w:val="14"/>
                <w:vertAlign w:val="superscript"/>
              </w:rPr>
              <w:t>, </w:t>
            </w:r>
            <w:hyperlink r:id="rId46" w:anchor="390" w:history="1">
              <w:r w:rsidRPr="00302534">
                <w:rPr>
                  <w:rFonts w:ascii="Verdana" w:eastAsia="Times New Roman" w:hAnsi="Verdana" w:cs="Times New Roman"/>
                  <w:color w:val="003399"/>
                  <w:sz w:val="14"/>
                  <w:szCs w:val="14"/>
                  <w:u w:val="single"/>
                  <w:vertAlign w:val="superscript"/>
                </w:rPr>
                <w:t>390</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(Prevacid)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60 mg QD x 2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94%; Cmax: decreased 91%; half-life: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GI absorption of atazanavir due to reduced acidity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Do not coadminister PPIs with unboosted atazanavir. PPIs may be administered 12 hours before atazanavir when boosted with ritonavir or cobicistat, in treatment naive patients. Doses should not exceed the equivalent of omeprazole 20 mg daily. PPIs are not </w:t>
            </w:r>
            <w:r w:rsidRPr="00302534">
              <w:rPr>
                <w:rFonts w:ascii="Verdana" w:eastAsia="Times New Roman" w:hAnsi="Verdana" w:cs="Times New Roman"/>
                <w:color w:val="333333"/>
                <w:sz w:val="18"/>
                <w:szCs w:val="18"/>
              </w:rPr>
              <w:lastRenderedPageBreak/>
              <w:t>recommended for treatment experienced patients.</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H2 receptor antagonists</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Ledipasvir/sofosbuvir</w:t>
            </w:r>
            <w:hyperlink r:id="rId47" w:anchor="743" w:history="1">
              <w:r w:rsidRPr="00302534">
                <w:rPr>
                  <w:rFonts w:ascii="Verdana" w:eastAsia="Times New Roman" w:hAnsi="Verdana" w:cs="Times New Roman"/>
                  <w:color w:val="003399"/>
                  <w:sz w:val="14"/>
                  <w:szCs w:val="14"/>
                  <w:u w:val="single"/>
                  <w:vertAlign w:val="superscript"/>
                </w:rPr>
                <w:t>743</w:t>
              </w:r>
            </w:hyperlink>
            <w:r w:rsidRPr="00302534">
              <w:rPr>
                <w:rFonts w:ascii="Verdana" w:eastAsia="Times New Roman" w:hAnsi="Verdana" w:cs="Times New Roman"/>
                <w:color w:val="333333"/>
                <w:sz w:val="14"/>
                <w:szCs w:val="14"/>
                <w:vertAlign w:val="superscript"/>
              </w:rPr>
              <w:t>,</w:t>
            </w:r>
            <w:hyperlink r:id="rId48" w:anchor="713" w:history="1">
              <w:r w:rsidRPr="00302534">
                <w:rPr>
                  <w:rFonts w:ascii="Verdana" w:eastAsia="Times New Roman" w:hAnsi="Verdana" w:cs="Times New Roman"/>
                  <w:color w:val="003399"/>
                  <w:sz w:val="14"/>
                  <w:szCs w:val="14"/>
                  <w:u w:val="single"/>
                  <w:vertAlign w:val="superscript"/>
                </w:rPr>
                <w:t>713</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90/400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with ritonavir 100 mg daily given simultaenously for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Ledipasvir AUC(tau) increased 96%; Cmax increased 68%.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increased 27%; Cmin increased 63%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Potentially increased ledipasvir adverse effects. Potentially increased tenofovir disoproxil fumarate adverse effects if co-administered with protease inhibitor and ledipasvir.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 Monitor for tenofovir disoproxil fumarate toxicity if used in the regimen.</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Ledipasvir/sofosbuvir</w:t>
            </w:r>
            <w:hyperlink r:id="rId49" w:anchor="743" w:history="1">
              <w:r w:rsidRPr="00302534">
                <w:rPr>
                  <w:rFonts w:ascii="Verdana" w:eastAsia="Times New Roman" w:hAnsi="Verdana" w:cs="Times New Roman"/>
                  <w:color w:val="003399"/>
                  <w:sz w:val="14"/>
                  <w:szCs w:val="14"/>
                  <w:u w:val="single"/>
                  <w:vertAlign w:val="superscript"/>
                </w:rPr>
                <w:t>743</w:t>
              </w:r>
            </w:hyperlink>
            <w:r w:rsidRPr="00302534">
              <w:rPr>
                <w:rFonts w:ascii="Verdana" w:eastAsia="Times New Roman" w:hAnsi="Verdana" w:cs="Times New Roman"/>
                <w:color w:val="333333"/>
                <w:sz w:val="14"/>
                <w:szCs w:val="14"/>
                <w:vertAlign w:val="superscript"/>
              </w:rPr>
              <w:t>,</w:t>
            </w:r>
            <w:hyperlink r:id="rId50" w:anchor="713" w:history="1">
              <w:r w:rsidRPr="00302534">
                <w:rPr>
                  <w:rFonts w:ascii="Verdana" w:eastAsia="Times New Roman" w:hAnsi="Verdana" w:cs="Times New Roman"/>
                  <w:color w:val="003399"/>
                  <w:sz w:val="14"/>
                  <w:szCs w:val="14"/>
                  <w:u w:val="single"/>
                  <w:vertAlign w:val="superscript"/>
                </w:rPr>
                <w:t>713</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90/400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300 mg with 100 mg ritonavir x 10 days given staggered from Harvoni </w:t>
            </w:r>
            <w:r w:rsidRPr="00302534">
              <w:rPr>
                <w:rFonts w:ascii="Verdana" w:eastAsia="Times New Roman" w:hAnsi="Verdana" w:cs="Times New Roman"/>
                <w:color w:val="333333"/>
                <w:sz w:val="18"/>
                <w:szCs w:val="18"/>
              </w:rPr>
              <w:lastRenderedPageBreak/>
              <w:t>by 12 hours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Ledipasvir AUC(tau) increased 134%; Cmax increased 75%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AUC(tau) increased 43%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Potentially increased ledipasvir adverse effects. Potentially </w:t>
            </w:r>
            <w:r w:rsidRPr="00302534">
              <w:rPr>
                <w:rFonts w:ascii="Verdana" w:eastAsia="Times New Roman" w:hAnsi="Verdana" w:cs="Times New Roman"/>
                <w:color w:val="333333"/>
                <w:sz w:val="18"/>
                <w:szCs w:val="18"/>
              </w:rPr>
              <w:lastRenderedPageBreak/>
              <w:t>increased tenofovir disoproxil fumarate adverse effects if co-administered with protease inhibitor and ledipasvir.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 Monitor for tenofovir disoproxil fumarate toxicity if used in the regimen.</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Lopinavir/ritonavir</w:t>
            </w:r>
            <w:hyperlink r:id="rId51" w:anchor="160" w:history="1">
              <w:r w:rsidRPr="00302534">
                <w:rPr>
                  <w:rFonts w:ascii="Verdana" w:eastAsia="Times New Roman" w:hAnsi="Verdana" w:cs="Times New Roman"/>
                  <w:color w:val="003399"/>
                  <w:sz w:val="14"/>
                  <w:szCs w:val="14"/>
                  <w:u w:val="single"/>
                  <w:vertAlign w:val="superscript"/>
                </w:rPr>
                <w:t>160</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mg/100 mg BID on d 11-24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on d 11-24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no significant change; Cmin: increased 45%; Cmax: no significant change (compared to 300 mg atazanavir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ritonavir, lopinavir and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Lopinavir/ritonavir</w:t>
            </w:r>
            <w:hyperlink r:id="rId52" w:anchor="160" w:history="1">
              <w:r w:rsidRPr="00302534">
                <w:rPr>
                  <w:rFonts w:ascii="Verdana" w:eastAsia="Times New Roman" w:hAnsi="Verdana" w:cs="Times New Roman"/>
                  <w:color w:val="003399"/>
                  <w:sz w:val="14"/>
                  <w:szCs w:val="14"/>
                  <w:u w:val="single"/>
                  <w:vertAlign w:val="superscript"/>
                </w:rPr>
                <w:t>160</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mg/100 mg BID on d 25-34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with 100 mg QD ritonavir on d 25-34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no significant change; Cmin: increased 64% (compar</w:t>
            </w:r>
            <w:r w:rsidRPr="00302534">
              <w:rPr>
                <w:rFonts w:ascii="Verdana" w:eastAsia="Times New Roman" w:hAnsi="Verdana" w:cs="Times New Roman"/>
                <w:color w:val="333333"/>
                <w:sz w:val="18"/>
                <w:szCs w:val="18"/>
              </w:rPr>
              <w:lastRenderedPageBreak/>
              <w:t>ed to 300 mg atazanavir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ritonavir, lopinavir and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Lovastatin</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(Mevacor)(Mevacor)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 may increase lovastatin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lovastatin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Atorvastatin (low dose); Pravastatin</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Maraviroc</w:t>
            </w:r>
            <w:hyperlink r:id="rId53" w:anchor="2" w:history="1">
              <w:r w:rsidRPr="00302534">
                <w:rPr>
                  <w:rFonts w:ascii="Verdana" w:eastAsia="Times New Roman" w:hAnsi="Verdana" w:cs="Times New Roman"/>
                  <w:color w:val="003399"/>
                  <w:sz w:val="14"/>
                  <w:szCs w:val="14"/>
                  <w:u w:val="single"/>
                  <w:vertAlign w:val="superscript"/>
                </w:rPr>
                <w:t>2</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Maraviroc AUC: increased 257%; Cmax: increased 109%; Cmin: increased 319%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maraviroc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 maraviroc dose to 150 mg BID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Maraviroc</w:t>
            </w:r>
            <w:hyperlink r:id="rId54" w:anchor="2" w:history="1">
              <w:r w:rsidRPr="00302534">
                <w:rPr>
                  <w:rFonts w:ascii="Verdana" w:eastAsia="Times New Roman" w:hAnsi="Verdana" w:cs="Times New Roman"/>
                  <w:color w:val="003399"/>
                  <w:sz w:val="14"/>
                  <w:szCs w:val="14"/>
                  <w:u w:val="single"/>
                  <w:vertAlign w:val="superscript"/>
                </w:rPr>
                <w:t>2</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Maraviroc AUC: increased 388%; Cmax: increased 167%; Cmin: increased 567%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maraviroc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 maraviroc dose to 150 mg BID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Methadone</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stable dose on d 1-15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on d 2-15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Total methadone Cmax: </w:t>
            </w:r>
            <w:r w:rsidRPr="00302534">
              <w:rPr>
                <w:rFonts w:ascii="Verdana" w:eastAsia="Times New Roman" w:hAnsi="Verdana" w:cs="Times New Roman"/>
                <w:color w:val="333333"/>
                <w:sz w:val="18"/>
                <w:szCs w:val="18"/>
              </w:rPr>
              <w:lastRenderedPageBreak/>
              <w:t>decresed 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Midazolam</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(Versed)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 may increase midazolam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midazolam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Parenteral midazolam can be used with caution when given as a single dose in a monitored situation for procedural sedation; chronic midazolam administration (oral or intravenous) should be avoided</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Lorazepam</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Nelfinavir</w:t>
            </w:r>
            <w:hyperlink r:id="rId55" w:anchor="157" w:history="1">
              <w:r w:rsidRPr="00302534">
                <w:rPr>
                  <w:rFonts w:ascii="Verdana" w:eastAsia="Times New Roman" w:hAnsi="Verdana" w:cs="Times New Roman"/>
                  <w:color w:val="003399"/>
                  <w:sz w:val="14"/>
                  <w:szCs w:val="14"/>
                  <w:u w:val="single"/>
                  <w:vertAlign w:val="superscript"/>
                </w:rPr>
                <w:t>157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1250 mg BID x 14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x 7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Nelfinavir Cmin: increased 57%; M8 AUC: increased 30%; Cmax: increased 24%; Cmin: increased 124%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Nevirapine</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300 mg atazanavir QD </w:t>
            </w:r>
            <w:r w:rsidRPr="00302534">
              <w:rPr>
                <w:rFonts w:ascii="Verdana" w:eastAsia="Times New Roman" w:hAnsi="Verdana" w:cs="Times New Roman"/>
                <w:color w:val="333333"/>
                <w:sz w:val="18"/>
                <w:szCs w:val="18"/>
              </w:rPr>
              <w:lastRenderedPageBreak/>
              <w:t>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 xml:space="preserve">Nevirapine AUC: increased </w:t>
            </w:r>
            <w:r w:rsidRPr="00302534">
              <w:rPr>
                <w:rFonts w:ascii="Verdana" w:eastAsia="Times New Roman" w:hAnsi="Verdana" w:cs="Times New Roman"/>
                <w:color w:val="333333"/>
                <w:sz w:val="18"/>
                <w:szCs w:val="18"/>
              </w:rPr>
              <w:lastRenderedPageBreak/>
              <w:t>25%; Cmax: increased 17%; Cmin: increased 32%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Atazanavir AUC: decreas</w:t>
            </w:r>
            <w:r w:rsidRPr="00302534">
              <w:rPr>
                <w:rFonts w:ascii="Verdana" w:eastAsia="Times New Roman" w:hAnsi="Verdana" w:cs="Times New Roman"/>
                <w:color w:val="333333"/>
                <w:sz w:val="18"/>
                <w:szCs w:val="18"/>
              </w:rPr>
              <w:lastRenderedPageBreak/>
              <w:t>ed 42%; Cmax: decreased 28%; Cmin: decreased 72%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 xml:space="preserve">Decreased </w:t>
            </w:r>
            <w:r w:rsidRPr="00302534">
              <w:rPr>
                <w:rFonts w:ascii="Verdana" w:eastAsia="Times New Roman" w:hAnsi="Verdana" w:cs="Times New Roman"/>
                <w:color w:val="333333"/>
                <w:sz w:val="18"/>
                <w:szCs w:val="18"/>
              </w:rPr>
              <w:lastRenderedPageBreak/>
              <w:t>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 xml:space="preserve">Induction of CYP4450 </w:t>
            </w:r>
            <w:r w:rsidRPr="00302534">
              <w:rPr>
                <w:rFonts w:ascii="Verdana" w:eastAsia="Times New Roman" w:hAnsi="Verdana" w:cs="Times New Roman"/>
                <w:color w:val="333333"/>
                <w:sz w:val="18"/>
                <w:szCs w:val="18"/>
              </w:rPr>
              <w:lastRenderedPageBreak/>
              <w:t>3A4 by nevirapine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Do not coadminister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Nevirapine</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atazanavir QD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Nevirapine AUC: increased 26%; Cmax: increased 21%; Cmin: increased 35%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19%; Cmax: no significant change; Cmin: decreased 59%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Induction of CYP450 3A4 by nevirapine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Omeprazole</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(Prilosec)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20 mg QD on d 17-23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QPM with 100 mg ritonavir QPM on d 7-16, 17-23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42%; Cmax: decreased 39%, Cmin: decreased 46%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Possibly 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GI absorption of atazanavir due to reduced acidity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Do not coadminister PPIs with unboosted atazanavir. PPIs may be administered 12 hours before atazanavir when boosted with ritonavir or cobicistat, in treatment naive patients. Doses should not exceed the equivalent of omeprazole 20 mg daily. PPIs </w:t>
            </w:r>
            <w:r w:rsidRPr="00302534">
              <w:rPr>
                <w:rFonts w:ascii="Verdana" w:eastAsia="Times New Roman" w:hAnsi="Verdana" w:cs="Times New Roman"/>
                <w:color w:val="333333"/>
                <w:sz w:val="18"/>
                <w:szCs w:val="18"/>
              </w:rPr>
              <w:lastRenderedPageBreak/>
              <w:t>are not recommended for treatment experienced patients.</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H2 receptor antagonists</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Omeprazole</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(Prilosec)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20 mg QD on d 17-23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100 mg ritonavir QD on d 7-16 then 400 mg atazanavir QD with 100 mg ritonavir QD on d 17-23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30%; Cmin: decreased 31%; Cmax: decreased 31%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Possibly 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GI absorption of atazanavir due to reduced acidity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Do not coadminister PPIs with unboosted atazanavir. PPIs may be administered 12 hours before atazanavir when boosted with ritonavir or cobicistat, in treatment naive patients. Doses should not exceed the equivalent of omeprazole 20 mg daily. PPIs are not recommended for treatment </w:t>
            </w:r>
            <w:r w:rsidRPr="00302534">
              <w:rPr>
                <w:rFonts w:ascii="Verdana" w:eastAsia="Times New Roman" w:hAnsi="Verdana" w:cs="Times New Roman"/>
                <w:color w:val="333333"/>
                <w:sz w:val="18"/>
                <w:szCs w:val="18"/>
              </w:rPr>
              <w:lastRenderedPageBreak/>
              <w:t>experienced patients.</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H2 receptor antagonists</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Omeprazole</w:t>
            </w:r>
            <w:hyperlink r:id="rId56" w:anchor="240" w:history="1">
              <w:r w:rsidRPr="00302534">
                <w:rPr>
                  <w:rFonts w:ascii="Verdana" w:eastAsia="Times New Roman" w:hAnsi="Verdana" w:cs="Times New Roman"/>
                  <w:color w:val="003399"/>
                  <w:sz w:val="14"/>
                  <w:szCs w:val="14"/>
                  <w:u w:val="single"/>
                  <w:vertAlign w:val="superscript"/>
                </w:rPr>
                <w:t>240</w:t>
              </w:r>
            </w:hyperlink>
            <w:r w:rsidRPr="00302534">
              <w:rPr>
                <w:rFonts w:ascii="Verdana" w:eastAsia="Times New Roman" w:hAnsi="Verdana" w:cs="Times New Roman"/>
                <w:color w:val="333333"/>
                <w:sz w:val="14"/>
                <w:szCs w:val="14"/>
                <w:vertAlign w:val="superscript"/>
              </w:rPr>
              <w:t>, </w:t>
            </w:r>
            <w:hyperlink r:id="rId57" w:anchor="247" w:history="1">
              <w:r w:rsidRPr="00302534">
                <w:rPr>
                  <w:rFonts w:ascii="Verdana" w:eastAsia="Times New Roman" w:hAnsi="Verdana" w:cs="Times New Roman"/>
                  <w:color w:val="003399"/>
                  <w:sz w:val="14"/>
                  <w:szCs w:val="14"/>
                  <w:u w:val="single"/>
                  <w:vertAlign w:val="superscript"/>
                </w:rPr>
                <w:t>247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(Prilosec)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 mg QD x 10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with ritonavir 100 mg QD with 8 oz cola x 20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70%; Cmax: decreased 66%; Cmin: decreased 76%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GI absorption of atazanavir due to reduced acidity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 PPIs with unboosted atazanavir. PPIs may be administered 12 hours before atazanavir when boosted with ritonavir or cobicistat, in treatment naive patients. Doses should not exceed the equivalent of omeprazole 20 mg daily. PPIs are not recommended for treatment experienced patients.</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 xml:space="preserve">H2 </w:t>
            </w:r>
            <w:r w:rsidRPr="00302534">
              <w:rPr>
                <w:rFonts w:ascii="Verdana" w:eastAsia="Times New Roman" w:hAnsi="Verdana" w:cs="Times New Roman"/>
                <w:b/>
                <w:bCs/>
                <w:color w:val="333333"/>
                <w:sz w:val="18"/>
                <w:szCs w:val="18"/>
              </w:rPr>
              <w:lastRenderedPageBreak/>
              <w:t>receptor antagonists</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Omeprazole</w:t>
            </w:r>
            <w:hyperlink r:id="rId58" w:anchor="240" w:history="1">
              <w:r w:rsidRPr="00302534">
                <w:rPr>
                  <w:rFonts w:ascii="Verdana" w:eastAsia="Times New Roman" w:hAnsi="Verdana" w:cs="Times New Roman"/>
                  <w:color w:val="003399"/>
                  <w:sz w:val="14"/>
                  <w:szCs w:val="14"/>
                  <w:u w:val="single"/>
                  <w:vertAlign w:val="superscript"/>
                </w:rPr>
                <w:t>240</w:t>
              </w:r>
            </w:hyperlink>
            <w:r w:rsidRPr="00302534">
              <w:rPr>
                <w:rFonts w:ascii="Verdana" w:eastAsia="Times New Roman" w:hAnsi="Verdana" w:cs="Times New Roman"/>
                <w:color w:val="333333"/>
                <w:sz w:val="14"/>
                <w:szCs w:val="14"/>
                <w:vertAlign w:val="superscript"/>
              </w:rPr>
              <w:t>, </w:t>
            </w:r>
            <w:hyperlink r:id="rId59" w:anchor="248" w:history="1">
              <w:r w:rsidRPr="00302534">
                <w:rPr>
                  <w:rFonts w:ascii="Verdana" w:eastAsia="Times New Roman" w:hAnsi="Verdana" w:cs="Times New Roman"/>
                  <w:color w:val="003399"/>
                  <w:sz w:val="14"/>
                  <w:szCs w:val="14"/>
                  <w:u w:val="single"/>
                  <w:vertAlign w:val="superscript"/>
                </w:rPr>
                <w:t>248</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(Prilosec)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 mg QD x 10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with ritonavir 100 mg QD x 20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61%; Cmax: decreased 56%; Cmin: decreased 66%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GI absorption of atazanavir due to reduced acidity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 PPIs with unboosted atazanavir. PPIs may be administered 12 hours before atazanavir when boosted with ritonavir or cobicistat, in treatment naive patients. Doses should not exceed the equivalent of omeprazole 20 mg daily. PPIs are not recommended for treatment experienced patients.</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H2 receptor antagonists</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w:t>
            </w:r>
            <w:r w:rsidRPr="00302534">
              <w:rPr>
                <w:rFonts w:ascii="Verdana" w:eastAsia="Times New Roman" w:hAnsi="Verdana" w:cs="Times New Roman"/>
                <w:b/>
                <w:bCs/>
                <w:color w:val="333333"/>
                <w:sz w:val="18"/>
                <w:szCs w:val="18"/>
              </w:rPr>
              <w:lastRenderedPageBreak/>
              <w:t>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lastRenderedPageBreak/>
              <w:t xml:space="preserve">Potential </w:t>
            </w:r>
            <w:r w:rsidRPr="00302534">
              <w:rPr>
                <w:rFonts w:ascii="Verdana" w:eastAsia="Times New Roman" w:hAnsi="Verdana" w:cs="Times New Roman"/>
                <w:b/>
                <w:bCs/>
                <w:color w:val="333333"/>
                <w:sz w:val="18"/>
                <w:szCs w:val="18"/>
              </w:rPr>
              <w:lastRenderedPageBreak/>
              <w:t>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lastRenderedPageBreak/>
              <w:t xml:space="preserve">Mechanism of </w:t>
            </w:r>
            <w:r w:rsidRPr="00302534">
              <w:rPr>
                <w:rFonts w:ascii="Verdana" w:eastAsia="Times New Roman" w:hAnsi="Verdana" w:cs="Times New Roman"/>
                <w:b/>
                <w:bCs/>
                <w:color w:val="333333"/>
                <w:sz w:val="18"/>
                <w:szCs w:val="18"/>
              </w:rPr>
              <w:lastRenderedPageBreak/>
              <w:t>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lastRenderedPageBreak/>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Omeprazole</w:t>
            </w:r>
            <w:hyperlink r:id="rId60" w:anchor="248" w:history="1">
              <w:r w:rsidRPr="00302534">
                <w:rPr>
                  <w:rFonts w:ascii="Verdana" w:eastAsia="Times New Roman" w:hAnsi="Verdana" w:cs="Times New Roman"/>
                  <w:color w:val="003399"/>
                  <w:sz w:val="14"/>
                  <w:szCs w:val="14"/>
                  <w:u w:val="single"/>
                  <w:vertAlign w:val="superscript"/>
                </w:rPr>
                <w:t>248</w:t>
              </w:r>
            </w:hyperlink>
            <w:r w:rsidRPr="00302534">
              <w:rPr>
                <w:rFonts w:ascii="Verdana" w:eastAsia="Times New Roman" w:hAnsi="Verdana" w:cs="Times New Roman"/>
                <w:color w:val="333333"/>
                <w:sz w:val="14"/>
                <w:szCs w:val="14"/>
                <w:vertAlign w:val="superscript"/>
              </w:rPr>
              <w:t>, </w:t>
            </w:r>
            <w:hyperlink r:id="rId61" w:anchor="240" w:history="1">
              <w:r w:rsidRPr="00302534">
                <w:rPr>
                  <w:rFonts w:ascii="Verdana" w:eastAsia="Times New Roman" w:hAnsi="Verdana" w:cs="Times New Roman"/>
                  <w:color w:val="003399"/>
                  <w:sz w:val="14"/>
                  <w:szCs w:val="14"/>
                  <w:u w:val="single"/>
                  <w:vertAlign w:val="superscript"/>
                </w:rPr>
                <w:t>240</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(Prilosec)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 mg QD x 10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ritonavir 100 mg QD x 20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76%; Cmax: decreased 72%; Cmin: decreased 78%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GI absorption of atazanavir due to reduced acidity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 PPIs with unboosted atazanavir. PPIs may be administered 12 hours before atazanavir when boosted with ritonavir or cobicistat, in treatment naive patients. Doses should not exceed the equivalent of omeprazole 20 mg daily. PPIs are not recommended for treatment experienced patients.</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H2 receptor antagonists</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Omeprazole</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(Prilosec)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 mg QD x 5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x 12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Atazanavir AUC: decreased 94%; </w:t>
            </w:r>
            <w:r w:rsidRPr="00302534">
              <w:rPr>
                <w:rFonts w:ascii="Verdana" w:eastAsia="Times New Roman" w:hAnsi="Verdana" w:cs="Times New Roman"/>
                <w:color w:val="333333"/>
                <w:sz w:val="18"/>
                <w:szCs w:val="18"/>
              </w:rPr>
              <w:lastRenderedPageBreak/>
              <w:t>Cmax: decreased 96%; Cmin: decreased 95%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Decreased GI absorption of </w:t>
            </w:r>
            <w:r w:rsidRPr="00302534">
              <w:rPr>
                <w:rFonts w:ascii="Verdana" w:eastAsia="Times New Roman" w:hAnsi="Verdana" w:cs="Times New Roman"/>
                <w:color w:val="333333"/>
                <w:sz w:val="18"/>
                <w:szCs w:val="18"/>
              </w:rPr>
              <w:lastRenderedPageBreak/>
              <w:t>atazanavir due to reduced acidity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 xml:space="preserve">Do not coadminister PPIs with </w:t>
            </w:r>
            <w:r w:rsidRPr="00302534">
              <w:rPr>
                <w:rFonts w:ascii="Verdana" w:eastAsia="Times New Roman" w:hAnsi="Verdana" w:cs="Times New Roman"/>
                <w:color w:val="333333"/>
                <w:sz w:val="18"/>
                <w:szCs w:val="18"/>
              </w:rPr>
              <w:lastRenderedPageBreak/>
              <w:t>unboosted atazanavir. PPIs may be administered 12 hours before atazanavir when boosted with ritonavir or cobicistat, in treatment naive patients. Doses should not exceed the equivalent of omeprazole 20 mg daily. PPIs are not recommended for treatment experienced patients.</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H2 receptor antagonists</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Omeprazole</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(Prilosec)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 mg x 1 on d 7 and 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on d 1-12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Omeprazole AUC: increased 45%; Cmax: increased 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omeprazole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GI absorption of atazanavir due to reduced acidity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Do not coadminister PPIs with unboosted atazanavir. PPIs may be administered 12 hours </w:t>
            </w:r>
            <w:r w:rsidRPr="00302534">
              <w:rPr>
                <w:rFonts w:ascii="Verdana" w:eastAsia="Times New Roman" w:hAnsi="Verdana" w:cs="Times New Roman"/>
                <w:color w:val="333333"/>
                <w:sz w:val="18"/>
                <w:szCs w:val="18"/>
              </w:rPr>
              <w:lastRenderedPageBreak/>
              <w:t>before atazanavir when boosted with ritonavir or cobicistat, in treatment naive patients. Doses should not exceed the equivalent of omeprazole 20 mg daily. PPIs are not recommended for treatment experienced patients.</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H2 receptor antagonists</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Pantoprazole</w:t>
            </w:r>
            <w:hyperlink r:id="rId62" w:anchor="240" w:history="1">
              <w:r w:rsidRPr="00302534">
                <w:rPr>
                  <w:rFonts w:ascii="Verdana" w:eastAsia="Times New Roman" w:hAnsi="Verdana" w:cs="Times New Roman"/>
                  <w:color w:val="003399"/>
                  <w:sz w:val="14"/>
                  <w:szCs w:val="14"/>
                  <w:u w:val="single"/>
                  <w:vertAlign w:val="superscript"/>
                </w:rPr>
                <w:t>240</w:t>
              </w:r>
            </w:hyperlink>
            <w:r w:rsidRPr="00302534">
              <w:rPr>
                <w:rFonts w:ascii="Verdana" w:eastAsia="Times New Roman" w:hAnsi="Verdana" w:cs="Times New Roman"/>
                <w:color w:val="333333"/>
                <w:sz w:val="14"/>
                <w:szCs w:val="14"/>
                <w:vertAlign w:val="superscript"/>
              </w:rPr>
              <w:t>, </w:t>
            </w:r>
            <w:hyperlink r:id="rId63" w:anchor="727" w:history="1">
              <w:r w:rsidRPr="00302534">
                <w:rPr>
                  <w:rFonts w:ascii="Verdana" w:eastAsia="Times New Roman" w:hAnsi="Verdana" w:cs="Times New Roman"/>
                  <w:color w:val="003399"/>
                  <w:sz w:val="14"/>
                  <w:szCs w:val="14"/>
                  <w:u w:val="single"/>
                  <w:vertAlign w:val="superscript"/>
                </w:rPr>
                <w:t>727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(Protonix)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GI absorption of atazanavir due to reduced acidity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Do not coadminister PPIs with unboosted atazanavir. PPIs may be administered 12 hours before atazanavir when boosted with ritonavir or cobicistat, </w:t>
            </w:r>
            <w:r w:rsidRPr="00302534">
              <w:rPr>
                <w:rFonts w:ascii="Verdana" w:eastAsia="Times New Roman" w:hAnsi="Verdana" w:cs="Times New Roman"/>
                <w:color w:val="333333"/>
                <w:sz w:val="18"/>
                <w:szCs w:val="18"/>
              </w:rPr>
              <w:lastRenderedPageBreak/>
              <w:t>in treatment naive patients. Doses should not exceed the equivalent of omeprazole 20 mg daily. PPIs are not recommended for treatment experienced patients.</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H2 receptor antagonists</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Phenobarbital</w:t>
            </w:r>
            <w:hyperlink r:id="rId64" w:anchor="727" w:history="1">
              <w:r w:rsidRPr="00302534">
                <w:rPr>
                  <w:rFonts w:ascii="Verdana" w:eastAsia="Times New Roman" w:hAnsi="Verdana" w:cs="Times New Roman"/>
                  <w:color w:val="003399"/>
                  <w:sz w:val="14"/>
                  <w:szCs w:val="14"/>
                  <w:u w:val="single"/>
                  <w:vertAlign w:val="superscript"/>
                </w:rPr>
                <w:t>727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(others)(Luminal)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 may decrease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Potential loss of antiviral efficacy.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Avoid combination if possible; Do not use with unboosted atazanavir. Consider alternative agents. If using, monitor and adjust phenobarbital levels as indicated.</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Gabapentin Lamotrigi</w:t>
            </w:r>
            <w:r w:rsidRPr="00302534">
              <w:rPr>
                <w:rFonts w:ascii="Verdana" w:eastAsia="Times New Roman" w:hAnsi="Verdana" w:cs="Times New Roman"/>
                <w:b/>
                <w:bCs/>
                <w:color w:val="333333"/>
                <w:sz w:val="18"/>
                <w:szCs w:val="18"/>
              </w:rPr>
              <w:lastRenderedPageBreak/>
              <w:t>ne Tiagabine Topiramate</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Phenytoin</w:t>
            </w:r>
            <w:hyperlink r:id="rId65" w:anchor="727" w:history="1">
              <w:r w:rsidRPr="00302534">
                <w:rPr>
                  <w:rFonts w:ascii="Verdana" w:eastAsia="Times New Roman" w:hAnsi="Verdana" w:cs="Times New Roman"/>
                  <w:color w:val="003399"/>
                  <w:sz w:val="14"/>
                  <w:szCs w:val="14"/>
                  <w:u w:val="single"/>
                  <w:vertAlign w:val="superscript"/>
                </w:rPr>
                <w:t>727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(Dilantin)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 may decrease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Potentially decreased antiviral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Avoid combination if possible; do not coadminister with unboosted atazanavir. Consider alternative agents. If using, monitor phenytoin levels and adjust as indicated and monitor for virologic response.</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Gabapentin Lamotrigine Tiagabine Topiramate</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Pimozide</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(Orap)(Orap)</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 may increase pimozide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Increased pimozide effects (eg, hypotension, </w:t>
            </w:r>
            <w:r w:rsidRPr="00302534">
              <w:rPr>
                <w:rFonts w:ascii="Verdana" w:eastAsia="Times New Roman" w:hAnsi="Verdana" w:cs="Times New Roman"/>
                <w:color w:val="333333"/>
                <w:sz w:val="18"/>
                <w:szCs w:val="18"/>
              </w:rPr>
              <w:lastRenderedPageBreak/>
              <w:t>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Pitavastatin</w:t>
            </w:r>
            <w:hyperlink r:id="rId66" w:anchor="515" w:history="1">
              <w:r w:rsidRPr="00302534">
                <w:rPr>
                  <w:rFonts w:ascii="Verdana" w:eastAsia="Times New Roman" w:hAnsi="Verdana" w:cs="Times New Roman"/>
                  <w:color w:val="003399"/>
                  <w:sz w:val="14"/>
                  <w:szCs w:val="14"/>
                  <w:u w:val="single"/>
                  <w:vertAlign w:val="superscript"/>
                </w:rPr>
                <w:t>515</w:t>
              </w:r>
            </w:hyperlink>
            <w:r w:rsidRPr="00302534">
              <w:rPr>
                <w:rFonts w:ascii="Verdana" w:eastAsia="Times New Roman" w:hAnsi="Verdana" w:cs="Times New Roman"/>
                <w:color w:val="333333"/>
                <w:sz w:val="14"/>
                <w:szCs w:val="14"/>
                <w:vertAlign w:val="superscript"/>
              </w:rPr>
              <w:t>, </w:t>
            </w:r>
            <w:hyperlink r:id="rId67" w:anchor="605" w:history="1">
              <w:r w:rsidRPr="00302534">
                <w:rPr>
                  <w:rFonts w:ascii="Verdana" w:eastAsia="Times New Roman" w:hAnsi="Verdana" w:cs="Times New Roman"/>
                  <w:color w:val="003399"/>
                  <w:sz w:val="14"/>
                  <w:szCs w:val="14"/>
                  <w:u w:val="single"/>
                  <w:vertAlign w:val="superscript"/>
                </w:rPr>
                <w:t>605</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(Livalo)</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x 5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Pitavastatin AUC: increased 31%; Cmax: increased 60%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Possibly increased pitavastatin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Start at lowest dose and titrate to effect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Posaconazole</w:t>
            </w:r>
            <w:hyperlink r:id="rId68" w:anchor="501" w:history="1">
              <w:r w:rsidRPr="00302534">
                <w:rPr>
                  <w:rFonts w:ascii="Verdana" w:eastAsia="Times New Roman" w:hAnsi="Verdana" w:cs="Times New Roman"/>
                  <w:color w:val="003399"/>
                  <w:sz w:val="14"/>
                  <w:szCs w:val="14"/>
                  <w:u w:val="single"/>
                  <w:vertAlign w:val="superscript"/>
                </w:rPr>
                <w:t>501</w:t>
              </w:r>
            </w:hyperlink>
            <w:r w:rsidRPr="00302534">
              <w:rPr>
                <w:rFonts w:ascii="Verdana" w:eastAsia="Times New Roman" w:hAnsi="Verdana" w:cs="Times New Roman"/>
                <w:color w:val="333333"/>
                <w:sz w:val="14"/>
                <w:szCs w:val="14"/>
                <w:vertAlign w:val="superscript"/>
              </w:rPr>
              <w:t>, </w:t>
            </w:r>
            <w:hyperlink r:id="rId69" w:anchor="424" w:history="1">
              <w:r w:rsidRPr="00302534">
                <w:rPr>
                  <w:rFonts w:ascii="Verdana" w:eastAsia="Times New Roman" w:hAnsi="Verdana" w:cs="Times New Roman"/>
                  <w:color w:val="003399"/>
                  <w:sz w:val="14"/>
                  <w:szCs w:val="14"/>
                  <w:u w:val="single"/>
                  <w:vertAlign w:val="superscript"/>
                </w:rPr>
                <w:t>424</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(Noxafil)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increased 268%; Cmax: increased 155%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posaconazole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 Monitor closely for adverse effects during coadministration</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Posaconazole</w:t>
            </w:r>
            <w:hyperlink r:id="rId70" w:anchor="519" w:history="1">
              <w:r w:rsidRPr="00302534">
                <w:rPr>
                  <w:rFonts w:ascii="Verdana" w:eastAsia="Times New Roman" w:hAnsi="Verdana" w:cs="Times New Roman"/>
                  <w:color w:val="003399"/>
                  <w:sz w:val="14"/>
                  <w:szCs w:val="14"/>
                  <w:u w:val="single"/>
                  <w:vertAlign w:val="superscript"/>
                </w:rPr>
                <w:t>519</w:t>
              </w:r>
            </w:hyperlink>
            <w:r w:rsidRPr="00302534">
              <w:rPr>
                <w:rFonts w:ascii="Verdana" w:eastAsia="Times New Roman" w:hAnsi="Verdana" w:cs="Times New Roman"/>
                <w:color w:val="333333"/>
                <w:sz w:val="14"/>
                <w:szCs w:val="14"/>
                <w:vertAlign w:val="superscript"/>
              </w:rPr>
              <w:t>, </w:t>
            </w:r>
            <w:hyperlink r:id="rId71" w:anchor="424" w:history="1">
              <w:r w:rsidRPr="00302534">
                <w:rPr>
                  <w:rFonts w:ascii="Verdana" w:eastAsia="Times New Roman" w:hAnsi="Verdana" w:cs="Times New Roman"/>
                  <w:color w:val="003399"/>
                  <w:sz w:val="14"/>
                  <w:szCs w:val="14"/>
                  <w:u w:val="single"/>
                  <w:vertAlign w:val="superscript"/>
                </w:rPr>
                <w:t>424</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(Noxafil)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increased 146%; Cmax: increased 53%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posaconazole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 Monitor closely for adverse effects during coadministration</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Proguanil</w:t>
            </w:r>
            <w:hyperlink r:id="rId72" w:anchor="487" w:history="1">
              <w:r w:rsidRPr="00302534">
                <w:rPr>
                  <w:rFonts w:ascii="Verdana" w:eastAsia="Times New Roman" w:hAnsi="Verdana" w:cs="Times New Roman"/>
                  <w:color w:val="003399"/>
                  <w:sz w:val="14"/>
                  <w:szCs w:val="14"/>
                  <w:u w:val="single"/>
                  <w:vertAlign w:val="superscript"/>
                </w:rPr>
                <w:t>487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(Malarone)(Malarone)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100 mg with 250 mg atovaquone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Proguanil AUC: decreased 41%;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Potentially compromised antimalarial activity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atovaquone glucuronidation; induction of CYP450 3A4 by atazanavir/ritonavir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Rabeprazole</w:t>
            </w:r>
            <w:hyperlink r:id="rId73" w:anchor="240" w:history="1">
              <w:r w:rsidRPr="00302534">
                <w:rPr>
                  <w:rFonts w:ascii="Verdana" w:eastAsia="Times New Roman" w:hAnsi="Verdana" w:cs="Times New Roman"/>
                  <w:color w:val="003399"/>
                  <w:sz w:val="14"/>
                  <w:szCs w:val="14"/>
                  <w:u w:val="single"/>
                  <w:vertAlign w:val="superscript"/>
                </w:rPr>
                <w:t>240</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(Aciphex)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Decreased GI absorption of atazanavir </w:t>
            </w:r>
            <w:r w:rsidRPr="00302534">
              <w:rPr>
                <w:rFonts w:ascii="Verdana" w:eastAsia="Times New Roman" w:hAnsi="Verdana" w:cs="Times New Roman"/>
                <w:color w:val="333333"/>
                <w:sz w:val="18"/>
                <w:szCs w:val="18"/>
              </w:rPr>
              <w:lastRenderedPageBreak/>
              <w:t>due to reduced acidity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 xml:space="preserve">Do not coadminister PPIs with unboosted </w:t>
            </w:r>
            <w:r w:rsidRPr="00302534">
              <w:rPr>
                <w:rFonts w:ascii="Verdana" w:eastAsia="Times New Roman" w:hAnsi="Verdana" w:cs="Times New Roman"/>
                <w:color w:val="333333"/>
                <w:sz w:val="18"/>
                <w:szCs w:val="18"/>
              </w:rPr>
              <w:lastRenderedPageBreak/>
              <w:t>atazanavir. PPIs may be administered 12 hours before atazanavir when boosted with ritonavir or cobicistat, in treatment naive patients. Doses should not exceed the equivalent of omeprazole 20 mg daily. PPIs are not recommended for treatment experienced patients.</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H2 receptor antagonists</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Raltegravir</w:t>
            </w:r>
            <w:hyperlink r:id="rId74" w:anchor="3" w:history="1">
              <w:r w:rsidRPr="00302534">
                <w:rPr>
                  <w:rFonts w:ascii="Verdana" w:eastAsia="Times New Roman" w:hAnsi="Verdana" w:cs="Times New Roman"/>
                  <w:color w:val="003399"/>
                  <w:sz w:val="14"/>
                  <w:szCs w:val="14"/>
                  <w:u w:val="single"/>
                  <w:vertAlign w:val="superscript"/>
                </w:rPr>
                <w:t>3</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100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Raltegravir AUC: increased 72%; Cmax: increased </w:t>
            </w:r>
            <w:r w:rsidRPr="00302534">
              <w:rPr>
                <w:rFonts w:ascii="Verdana" w:eastAsia="Times New Roman" w:hAnsi="Verdana" w:cs="Times New Roman"/>
                <w:color w:val="333333"/>
                <w:sz w:val="18"/>
                <w:szCs w:val="18"/>
              </w:rPr>
              <w:lastRenderedPageBreak/>
              <w:t>53%; Cmin: increased 95%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Possibly increased raltegravir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Raltegravir</w:t>
            </w:r>
            <w:hyperlink r:id="rId75" w:anchor="3" w:history="1">
              <w:r w:rsidRPr="00302534">
                <w:rPr>
                  <w:rFonts w:ascii="Verdana" w:eastAsia="Times New Roman" w:hAnsi="Verdana" w:cs="Times New Roman"/>
                  <w:color w:val="003399"/>
                  <w:sz w:val="14"/>
                  <w:szCs w:val="14"/>
                  <w:u w:val="single"/>
                  <w:vertAlign w:val="superscript"/>
                </w:rPr>
                <w:t>3</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Raltegravir AUC: increased 41%; Cmax: increased 24%; Cmin: increased 77%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Possibly increased raltegravir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Raltegravir</w:t>
            </w:r>
            <w:hyperlink r:id="rId76" w:anchor="461" w:history="1">
              <w:r w:rsidRPr="00302534">
                <w:rPr>
                  <w:rFonts w:ascii="Verdana" w:eastAsia="Times New Roman" w:hAnsi="Verdana" w:cs="Times New Roman"/>
                  <w:color w:val="003399"/>
                  <w:sz w:val="14"/>
                  <w:szCs w:val="14"/>
                  <w:u w:val="single"/>
                  <w:vertAlign w:val="superscript"/>
                </w:rPr>
                <w:t>461</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RAL AUC: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Raltegravir</w:t>
            </w:r>
            <w:hyperlink r:id="rId77" w:anchor="428" w:history="1">
              <w:r w:rsidRPr="00302534">
                <w:rPr>
                  <w:rFonts w:ascii="Verdana" w:eastAsia="Times New Roman" w:hAnsi="Verdana" w:cs="Times New Roman"/>
                  <w:color w:val="003399"/>
                  <w:sz w:val="14"/>
                  <w:szCs w:val="14"/>
                  <w:u w:val="single"/>
                  <w:vertAlign w:val="superscript"/>
                </w:rPr>
                <w:t>428</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BID on days 1-5 and days 13-26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BID on days 6-12 and days 13-26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Raltegravir AUC: increased 54%; Cmin: increased 48%; Cmax: increased 39%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17%; Cmin: decreased 29% (compared to atazanavir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Possibly increased raltegravir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Ranitidine</w:t>
            </w:r>
            <w:hyperlink r:id="rId78" w:anchor="240" w:history="1">
              <w:r w:rsidRPr="00302534">
                <w:rPr>
                  <w:rFonts w:ascii="Verdana" w:eastAsia="Times New Roman" w:hAnsi="Verdana" w:cs="Times New Roman"/>
                  <w:color w:val="003399"/>
                  <w:sz w:val="14"/>
                  <w:szCs w:val="14"/>
                  <w:u w:val="single"/>
                  <w:vertAlign w:val="superscript"/>
                </w:rPr>
                <w:t>240</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(Zantac)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May decrease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Possible decreased GI absorption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Unboosted atazanavir 400 mg: give atazanavir 2 hrs before or 10 hours after H2-blocker. Single doses of H2-blockers should not exceed 20 mg of famotidine (or equivalent). </w:t>
            </w:r>
            <w:r w:rsidRPr="00302534">
              <w:rPr>
                <w:rFonts w:ascii="Verdana" w:eastAsia="Times New Roman" w:hAnsi="Verdana" w:cs="Times New Roman"/>
                <w:color w:val="333333"/>
                <w:sz w:val="18"/>
                <w:szCs w:val="18"/>
              </w:rPr>
              <w:lastRenderedPageBreak/>
              <w:t xml:space="preserve">Additionally, if treatment naive, total daily dose of H2 blocker should not exceed 40 mg of famotidine (or equivalent). Atazanavir 300 mg boosted with ritonavir or cobicistat: Give boosted atazanavir at same time as H2 blocker or 10 hours or more after. Total doses of H2 blocker should not exceed the equivalent of 40 mg BID famotidine (treatment naive) or 20 mg BID for (treatment experienced patients). If using tenofovir disoproxil fumarate, atazanavir, and H2 </w:t>
            </w:r>
            <w:r w:rsidRPr="00302534">
              <w:rPr>
                <w:rFonts w:ascii="Verdana" w:eastAsia="Times New Roman" w:hAnsi="Verdana" w:cs="Times New Roman"/>
                <w:color w:val="333333"/>
                <w:sz w:val="18"/>
                <w:szCs w:val="18"/>
              </w:rPr>
              <w:lastRenderedPageBreak/>
              <w:t>blocker in treatment experienced patient, increase atazanavir dose to 400 mg in addition to boosting with ritonavir or cobicistat.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Ranolazine</w:t>
            </w:r>
            <w:hyperlink r:id="rId79" w:anchor="709" w:history="1">
              <w:r w:rsidRPr="00302534">
                <w:rPr>
                  <w:rFonts w:ascii="Verdana" w:eastAsia="Times New Roman" w:hAnsi="Verdana" w:cs="Times New Roman"/>
                  <w:color w:val="003399"/>
                  <w:sz w:val="14"/>
                  <w:szCs w:val="14"/>
                  <w:u w:val="single"/>
                  <w:vertAlign w:val="superscript"/>
                </w:rPr>
                <w:t>709</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(Ranexa)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 may increase ranolazine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 may increase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Potential increased ranolazine adverse effects (e.g. prolonged QT, cardiac arrythmias).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Rifabutin</w:t>
            </w:r>
            <w:hyperlink r:id="rId80" w:anchor="341" w:history="1">
              <w:r w:rsidRPr="00302534">
                <w:rPr>
                  <w:rFonts w:ascii="Verdana" w:eastAsia="Times New Roman" w:hAnsi="Verdana" w:cs="Times New Roman"/>
                  <w:color w:val="003399"/>
                  <w:sz w:val="14"/>
                  <w:szCs w:val="14"/>
                  <w:u w:val="single"/>
                  <w:vertAlign w:val="superscript"/>
                </w:rPr>
                <w:t>341</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150 mg QD on days 15-28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on days 1-14, 400 mg QD with ritonavir 100 mg QD on days 15-28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increased 191%; Cmax: increased 81%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Reduce rifabutin dose to 150 mg daily or 300 mg 3x/week. Monitor for antimicrobial activity and/or consider therapeutic drug monitoring.</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Rifabutin</w:t>
            </w:r>
            <w:hyperlink r:id="rId81" w:anchor="341" w:history="1">
              <w:r w:rsidRPr="00302534">
                <w:rPr>
                  <w:rFonts w:ascii="Verdana" w:eastAsia="Times New Roman" w:hAnsi="Verdana" w:cs="Times New Roman"/>
                  <w:color w:val="003399"/>
                  <w:sz w:val="14"/>
                  <w:szCs w:val="14"/>
                  <w:u w:val="single"/>
                  <w:vertAlign w:val="superscript"/>
                </w:rPr>
                <w:t>341</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(Mycobutin)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150 mg QD on days 15-28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on days 1-28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Cmax: increased 34%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Reduce rifabutin dose to 150 mg daily or 300 mg 3x/week. Monitor for antimicrobial activity and/or consider therapeutic drug monitoring.</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Rifabutin</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on days 1-10, then 150 mg QD on days 11-20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600 mg QD on days 11-20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Rifabutin AUC: increased 110%; Cmax: increased 118%; Cmin: increased 243%; 25-O-desacetylrifabutin AUC: increased 2101%; Cmax: increased 720%; Cmin: increased 7460%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rifabutin effects (eg, uveitis)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Reduce rifabutin dose to 150 mg daily or 300 mg 3x/week. Monitor for antimicrobial activity and/or consider therapeutic drug monitoring.</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Rifampin</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Rifabutin</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Rifampin</w:t>
            </w:r>
            <w:hyperlink r:id="rId82" w:anchor="727" w:history="1">
              <w:r w:rsidRPr="00302534">
                <w:rPr>
                  <w:rFonts w:ascii="Verdana" w:eastAsia="Times New Roman" w:hAnsi="Verdana" w:cs="Times New Roman"/>
                  <w:color w:val="003399"/>
                  <w:sz w:val="14"/>
                  <w:szCs w:val="14"/>
                  <w:u w:val="single"/>
                  <w:vertAlign w:val="superscript"/>
                </w:rPr>
                <w:t>727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600 mg QD x 10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300 mg with ritonavir 100 mg </w:t>
            </w:r>
            <w:r w:rsidRPr="00302534">
              <w:rPr>
                <w:rFonts w:ascii="Verdana" w:eastAsia="Times New Roman" w:hAnsi="Verdana" w:cs="Times New Roman"/>
                <w:color w:val="333333"/>
                <w:sz w:val="18"/>
                <w:szCs w:val="18"/>
              </w:rPr>
              <w:lastRenderedPageBreak/>
              <w:t>QD x 21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Atazanavir AUC: decreased 72%; Cmax: </w:t>
            </w:r>
            <w:r w:rsidRPr="00302534">
              <w:rPr>
                <w:rFonts w:ascii="Verdana" w:eastAsia="Times New Roman" w:hAnsi="Verdana" w:cs="Times New Roman"/>
                <w:color w:val="333333"/>
                <w:sz w:val="18"/>
                <w:szCs w:val="18"/>
              </w:rPr>
              <w:lastRenderedPageBreak/>
              <w:t>decreased 53%; Cmin: decreased 98%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lastRenderedPageBreak/>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Rifabutin</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Rifampin</w:t>
            </w:r>
            <w:hyperlink r:id="rId83" w:anchor="247" w:history="1">
              <w:r w:rsidRPr="00302534">
                <w:rPr>
                  <w:rFonts w:ascii="Verdana" w:eastAsia="Times New Roman" w:hAnsi="Verdana" w:cs="Times New Roman"/>
                  <w:color w:val="003399"/>
                  <w:sz w:val="14"/>
                  <w:szCs w:val="14"/>
                  <w:u w:val="single"/>
                  <w:vertAlign w:val="superscript"/>
                </w:rPr>
                <w:t>247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600 mg QD x 10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with ritonavir 100 mg QD x 10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57%; Cmax: decreased 56%; Cmin: decreased 93%(compared to atazanavir 400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 consider rifabutin</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Rifampin</w:t>
            </w:r>
            <w:hyperlink r:id="rId84" w:anchor="247" w:history="1">
              <w:r w:rsidRPr="00302534">
                <w:rPr>
                  <w:rFonts w:ascii="Verdana" w:eastAsia="Times New Roman" w:hAnsi="Verdana" w:cs="Times New Roman"/>
                  <w:color w:val="003399"/>
                  <w:sz w:val="14"/>
                  <w:szCs w:val="14"/>
                  <w:u w:val="single"/>
                  <w:vertAlign w:val="superscript"/>
                </w:rPr>
                <w:t>247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600 mg QD x 10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with ritonavir 200 mg QD x 10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no significant change; Cmax: decreased 18%; Cmin: decreased 40%(compared to atazanavir 400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 consider rifabutin</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Rifampin</w:t>
            </w:r>
            <w:hyperlink r:id="rId85" w:anchor="247" w:history="1">
              <w:r w:rsidRPr="00302534">
                <w:rPr>
                  <w:rFonts w:ascii="Verdana" w:eastAsia="Times New Roman" w:hAnsi="Verdana" w:cs="Times New Roman"/>
                  <w:color w:val="003399"/>
                  <w:sz w:val="14"/>
                  <w:szCs w:val="14"/>
                  <w:u w:val="single"/>
                  <w:vertAlign w:val="superscript"/>
                </w:rPr>
                <w:t>247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600 mg QD x 10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300 mg with ritonavir 200 mg </w:t>
            </w:r>
            <w:r w:rsidRPr="00302534">
              <w:rPr>
                <w:rFonts w:ascii="Verdana" w:eastAsia="Times New Roman" w:hAnsi="Verdana" w:cs="Times New Roman"/>
                <w:color w:val="333333"/>
                <w:sz w:val="18"/>
                <w:szCs w:val="18"/>
              </w:rPr>
              <w:lastRenderedPageBreak/>
              <w:t>QD x 10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Atazanavir AUC: decreased 31%; </w:t>
            </w:r>
            <w:r w:rsidRPr="00302534">
              <w:rPr>
                <w:rFonts w:ascii="Verdana" w:eastAsia="Times New Roman" w:hAnsi="Verdana" w:cs="Times New Roman"/>
                <w:color w:val="333333"/>
                <w:sz w:val="18"/>
                <w:szCs w:val="18"/>
              </w:rPr>
              <w:lastRenderedPageBreak/>
              <w:t>Cmax: decreased 40%; Cmin: decreased 80%(compared to atazanavir 400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Do not coadminister; </w:t>
            </w:r>
            <w:r w:rsidRPr="00302534">
              <w:rPr>
                <w:rFonts w:ascii="Verdana" w:eastAsia="Times New Roman" w:hAnsi="Verdana" w:cs="Times New Roman"/>
                <w:color w:val="333333"/>
                <w:sz w:val="18"/>
                <w:szCs w:val="18"/>
              </w:rPr>
              <w:lastRenderedPageBreak/>
              <w:t>consider rifabutin</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Ritonavir</w:t>
            </w:r>
            <w:hyperlink r:id="rId86" w:anchor="99" w:history="1">
              <w:r w:rsidRPr="00302534">
                <w:rPr>
                  <w:rFonts w:ascii="Verdana" w:eastAsia="Times New Roman" w:hAnsi="Verdana" w:cs="Times New Roman"/>
                  <w:color w:val="003399"/>
                  <w:sz w:val="14"/>
                  <w:szCs w:val="14"/>
                  <w:u w:val="single"/>
                  <w:vertAlign w:val="superscript"/>
                </w:rPr>
                <w:t>99</w:t>
              </w:r>
            </w:hyperlink>
            <w:r w:rsidRPr="00302534">
              <w:rPr>
                <w:rFonts w:ascii="Verdana" w:eastAsia="Times New Roman" w:hAnsi="Verdana" w:cs="Times New Roman"/>
                <w:color w:val="333333"/>
                <w:sz w:val="14"/>
                <w:szCs w:val="14"/>
                <w:vertAlign w:val="superscript"/>
              </w:rPr>
              <w:t>,</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100 mg QD on days 11-20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on days 1-20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increased 238%; Cmax: increased 86%; Cmin: increased 1089%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Rosiglitazone</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(Avandia)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Rosiglitazone AUC: increased 35%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Possibly increased rosiglitazone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Rosiglitazone</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(Avandia)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Rosiglitazone AUC: decreased 17%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Rosuvastatin</w:t>
            </w:r>
            <w:hyperlink r:id="rId87" w:anchor="411" w:history="1">
              <w:r w:rsidRPr="00302534">
                <w:rPr>
                  <w:rFonts w:ascii="Verdana" w:eastAsia="Times New Roman" w:hAnsi="Verdana" w:cs="Times New Roman"/>
                  <w:color w:val="003399"/>
                  <w:sz w:val="14"/>
                  <w:szCs w:val="14"/>
                  <w:u w:val="single"/>
                  <w:vertAlign w:val="superscript"/>
                </w:rPr>
                <w:t>411</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(Crestor)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atazanavir QD with ritonavir 100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Rosuvastatin AUC: increased 213%; Cmax: increased 600%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rosuvastatin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Possibly atazanavir induced increase in rosuvastatin bioavailability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Initiate lowest dose and titrate carefully. Do not exceed 10mg rosuvastatin daily.</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lastRenderedPageBreak/>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Pravastatin, atorvastatin</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Saquinavir</w:t>
            </w:r>
            <w:hyperlink r:id="rId88" w:anchor="162" w:history="1">
              <w:r w:rsidRPr="00302534">
                <w:rPr>
                  <w:rFonts w:ascii="Verdana" w:eastAsia="Times New Roman" w:hAnsi="Verdana" w:cs="Times New Roman"/>
                  <w:color w:val="003399"/>
                  <w:sz w:val="14"/>
                  <w:szCs w:val="14"/>
                  <w:u w:val="single"/>
                  <w:vertAlign w:val="superscript"/>
                </w:rPr>
                <w:t>162</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1000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200 mg BID with saquinavir 1500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Saquinavir AUC: decreased 53%; Cmax: decreased 78%; Cmin: decreased 69% (when SQV/ATV BID compared to SQV/RTV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saquinavir levels (when compared to SQV 100 mg with RTV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Possible induction of P450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Saquinavir</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1200 mg (soft gel caps) QD on days 1-13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on days 7-13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Saquinavir AUC: increased 449%; Cmax: increased 339%; Cmin: increased 586%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Saquinavir</w:t>
            </w:r>
            <w:hyperlink r:id="rId89" w:anchor="137" w:history="1">
              <w:r w:rsidRPr="00302534">
                <w:rPr>
                  <w:rFonts w:ascii="Verdana" w:eastAsia="Times New Roman" w:hAnsi="Verdana" w:cs="Times New Roman"/>
                  <w:color w:val="003399"/>
                  <w:sz w:val="14"/>
                  <w:szCs w:val="14"/>
                  <w:u w:val="single"/>
                  <w:vertAlign w:val="superscript"/>
                </w:rPr>
                <w:t>137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1600 mg QD with ritonavir 100 mg QD x 30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x 30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Saquinavir AUC: increased 61%; Cmax: increased 42%; Cmin: increased 112%;Ritonavir AUC: increased 41%; Cmax: </w:t>
            </w:r>
            <w:r w:rsidRPr="00302534">
              <w:rPr>
                <w:rFonts w:ascii="Verdana" w:eastAsia="Times New Roman" w:hAnsi="Verdana" w:cs="Times New Roman"/>
                <w:color w:val="333333"/>
                <w:sz w:val="18"/>
                <w:szCs w:val="18"/>
              </w:rPr>
              <w:lastRenderedPageBreak/>
              <w:t>increased 58%; Cmin: decreased 27%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 and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Saquinavir</w:t>
            </w:r>
            <w:hyperlink r:id="rId90" w:anchor="122" w:history="1">
              <w:r w:rsidRPr="00302534">
                <w:rPr>
                  <w:rFonts w:ascii="Verdana" w:eastAsia="Times New Roman" w:hAnsi="Verdana" w:cs="Times New Roman"/>
                  <w:color w:val="003399"/>
                  <w:sz w:val="14"/>
                  <w:szCs w:val="14"/>
                  <w:u w:val="single"/>
                  <w:vertAlign w:val="superscript"/>
                </w:rPr>
                <w:t>122</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800 mg, 1200 mg, 1600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Saquinavir AUC: increased 440-610%; Cmin: increased 560-1660%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Sildenafil</w:t>
            </w:r>
            <w:hyperlink r:id="rId91" w:anchor="739" w:history="1">
              <w:r w:rsidRPr="00302534">
                <w:rPr>
                  <w:rFonts w:ascii="Verdana" w:eastAsia="Times New Roman" w:hAnsi="Verdana" w:cs="Times New Roman"/>
                  <w:color w:val="003399"/>
                  <w:sz w:val="14"/>
                  <w:szCs w:val="14"/>
                  <w:u w:val="single"/>
                  <w:vertAlign w:val="superscript"/>
                </w:rPr>
                <w:t>739</w:t>
              </w:r>
            </w:hyperlink>
            <w:r w:rsidRPr="00302534">
              <w:rPr>
                <w:rFonts w:ascii="Verdana" w:eastAsia="Times New Roman" w:hAnsi="Verdana" w:cs="Times New Roman"/>
                <w:color w:val="333333"/>
                <w:sz w:val="14"/>
                <w:szCs w:val="14"/>
                <w:vertAlign w:val="superscript"/>
              </w:rPr>
              <w:t>, </w:t>
            </w:r>
            <w:hyperlink r:id="rId92" w:anchor="727" w:history="1">
              <w:r w:rsidRPr="00302534">
                <w:rPr>
                  <w:rFonts w:ascii="Verdana" w:eastAsia="Times New Roman" w:hAnsi="Verdana" w:cs="Times New Roman"/>
                  <w:color w:val="003399"/>
                  <w:sz w:val="14"/>
                  <w:szCs w:val="14"/>
                  <w:u w:val="single"/>
                  <w:vertAlign w:val="superscript"/>
                </w:rPr>
                <w:t>727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(Viagra)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Potentially increased sildenafil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For erectile dysfunction, initiate sildenafil 25 mg every 48 hours and monitor for adverse effects. Manufacturer recommends not to exceed dose of 25 mg every 48 hours. Do not coadminister if using sildenafil for pulmonary arterial hypertension.</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Simeprevir</w:t>
            </w:r>
            <w:hyperlink r:id="rId93" w:anchor="727" w:history="1">
              <w:r w:rsidRPr="00302534">
                <w:rPr>
                  <w:rFonts w:ascii="Verdana" w:eastAsia="Times New Roman" w:hAnsi="Verdana" w:cs="Times New Roman"/>
                  <w:color w:val="003399"/>
                  <w:sz w:val="14"/>
                  <w:szCs w:val="14"/>
                  <w:u w:val="single"/>
                  <w:vertAlign w:val="superscript"/>
                </w:rPr>
                <w:t>727</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(Olysio)</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CYP3A4 potentiating simeprevir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w:t>
            </w:r>
            <w:r w:rsidRPr="00302534">
              <w:rPr>
                <w:rFonts w:ascii="Verdana" w:eastAsia="Times New Roman" w:hAnsi="Verdana" w:cs="Times New Roman"/>
                <w:b/>
                <w:bCs/>
                <w:color w:val="333333"/>
                <w:sz w:val="18"/>
                <w:szCs w:val="18"/>
              </w:rPr>
              <w:lastRenderedPageBreak/>
              <w:t>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lastRenderedPageBreak/>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Simvastatin</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(Zocor)(Zocor)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 may increase simvastatin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simvastatin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Atorvastatin (low dose); Pravastatin</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Sofosbuvir/velpatasvir</w:t>
            </w:r>
            <w:hyperlink r:id="rId94" w:anchor="751" w:history="1">
              <w:r w:rsidRPr="00302534">
                <w:rPr>
                  <w:rFonts w:ascii="Verdana" w:eastAsia="Times New Roman" w:hAnsi="Verdana" w:cs="Times New Roman"/>
                  <w:color w:val="003399"/>
                  <w:sz w:val="14"/>
                  <w:szCs w:val="14"/>
                  <w:u w:val="single"/>
                  <w:vertAlign w:val="superscript"/>
                </w:rPr>
                <w:t>751</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(Epclusa)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/100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with ritonavir 100 mg daily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Sofosbuvir AUC increased 22%. Velpatasvir Cmax increased 55%; AUC increased 142%; Cmin increased 301%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Cmax increased 9%; AUC increased 20%; Cmin increased 39%.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8"/>
                <w:szCs w:val="18"/>
              </w:rPr>
              <w:t>St. John's Wort</w:t>
            </w:r>
          </w:p>
          <w:p w:rsidR="00302534" w:rsidRPr="00302534" w:rsidRDefault="00302534" w:rsidP="00302534">
            <w:pPr>
              <w:spacing w:after="0" w:line="240" w:lineRule="auto"/>
              <w:rPr>
                <w:rFonts w:ascii="Verdana" w:eastAsia="Times New Roman" w:hAnsi="Verdana" w:cs="Times New Roman"/>
                <w:color w:val="333333"/>
                <w:sz w:val="14"/>
                <w:szCs w:val="14"/>
                <w:vertAlign w:val="superscript"/>
              </w:rPr>
            </w:pPr>
            <w:r w:rsidRPr="00302534">
              <w:rPr>
                <w:rFonts w:ascii="Verdana" w:eastAsia="Times New Roman" w:hAnsi="Verdana" w:cs="Times New Roman"/>
                <w:color w:val="333333"/>
                <w:sz w:val="14"/>
                <w:szCs w:val="14"/>
                <w:vertAlign w:val="superscript"/>
              </w:rPr>
              <w:t>(Hypericum perforatum, hypericin, hyperforin)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 may decrease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Induction of CYP450 3A4 by St. John's Wort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Stavudine</w:t>
            </w:r>
            <w:hyperlink r:id="rId95" w:anchor="122" w:history="1">
              <w:r w:rsidRPr="00302534">
                <w:rPr>
                  <w:rFonts w:ascii="Verdana" w:eastAsia="Times New Roman" w:hAnsi="Verdana" w:cs="Times New Roman"/>
                  <w:color w:val="003399"/>
                  <w:sz w:val="14"/>
                  <w:szCs w:val="14"/>
                  <w:u w:val="single"/>
                  <w:vertAlign w:val="superscript"/>
                </w:rPr>
                <w:t>122</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(d4T)(Zerit)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also dosed with didanosine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87%; Cmax: decreased 89%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Dose adjustment not established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Tadalafil</w:t>
            </w:r>
            <w:hyperlink r:id="rId96" w:anchor="727" w:history="1">
              <w:r w:rsidRPr="00302534">
                <w:rPr>
                  <w:rFonts w:ascii="Verdana" w:eastAsia="Times New Roman" w:hAnsi="Verdana" w:cs="Times New Roman"/>
                  <w:color w:val="003399"/>
                  <w:sz w:val="14"/>
                  <w:szCs w:val="14"/>
                  <w:u w:val="single"/>
                  <w:vertAlign w:val="superscript"/>
                </w:rPr>
                <w:t>727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Not studied; potentially increased tadalafil effects (e.g. </w:t>
            </w:r>
            <w:r w:rsidRPr="00302534">
              <w:rPr>
                <w:rFonts w:ascii="Verdana" w:eastAsia="Times New Roman" w:hAnsi="Verdana" w:cs="Times New Roman"/>
                <w:color w:val="333333"/>
                <w:sz w:val="18"/>
                <w:szCs w:val="18"/>
              </w:rPr>
              <w:lastRenderedPageBreak/>
              <w:t>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Initiate tadalafil at 5 mg QD; adjust dose as indicated; </w:t>
            </w:r>
            <w:r w:rsidRPr="00302534">
              <w:rPr>
                <w:rFonts w:ascii="Verdana" w:eastAsia="Times New Roman" w:hAnsi="Verdana" w:cs="Times New Roman"/>
                <w:color w:val="333333"/>
                <w:sz w:val="18"/>
                <w:szCs w:val="18"/>
              </w:rPr>
              <w:lastRenderedPageBreak/>
              <w:t>not recommended to exceed 10 mg in 72 hour period</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Telaprevir</w:t>
            </w:r>
            <w:hyperlink r:id="rId97" w:anchor="571" w:history="1">
              <w:r w:rsidRPr="00302534">
                <w:rPr>
                  <w:rFonts w:ascii="Verdana" w:eastAsia="Times New Roman" w:hAnsi="Verdana" w:cs="Times New Roman"/>
                  <w:color w:val="003399"/>
                  <w:sz w:val="14"/>
                  <w:szCs w:val="14"/>
                  <w:u w:val="single"/>
                  <w:vertAlign w:val="superscript"/>
                </w:rPr>
                <w:t>571</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(Incivek)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750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atazanavir QD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Telaprevir AUC: decreased 20%; Cmin: decreased 15%; Cmax: decreased 21%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increased 17%; Cmin: increased 85%; Cmax: decreased 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 monitor for telaprevir effectiveness and for toxicity of atazanavir.</w:t>
            </w:r>
          </w:p>
        </w:tc>
      </w:tr>
      <w:tr w:rsidR="00302534" w:rsidRPr="00302534" w:rsidTr="00302534">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Dose of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Effect on Atazanavir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302534" w:rsidRPr="00302534" w:rsidRDefault="00302534" w:rsidP="00302534">
            <w:pPr>
              <w:spacing w:after="0" w:line="240" w:lineRule="auto"/>
              <w:jc w:val="center"/>
              <w:rPr>
                <w:rFonts w:ascii="Verdana" w:eastAsia="Times New Roman" w:hAnsi="Verdana" w:cs="Times New Roman"/>
                <w:b/>
                <w:bCs/>
                <w:color w:val="333333"/>
                <w:sz w:val="18"/>
                <w:szCs w:val="18"/>
              </w:rPr>
            </w:pPr>
            <w:r w:rsidRPr="00302534">
              <w:rPr>
                <w:rFonts w:ascii="Verdana" w:eastAsia="Times New Roman" w:hAnsi="Verdana" w:cs="Times New Roman"/>
                <w:b/>
                <w:bCs/>
                <w:color w:val="333333"/>
                <w:sz w:val="18"/>
                <w:szCs w:val="18"/>
              </w:rPr>
              <w:t>Management</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Tenofovir disoproxil fumarate</w:t>
            </w:r>
            <w:hyperlink r:id="rId98" w:anchor="148" w:history="1">
              <w:r w:rsidRPr="00302534">
                <w:rPr>
                  <w:rFonts w:ascii="Verdana" w:eastAsia="Times New Roman" w:hAnsi="Verdana" w:cs="Times New Roman"/>
                  <w:color w:val="003399"/>
                  <w:sz w:val="14"/>
                  <w:szCs w:val="14"/>
                  <w:u w:val="single"/>
                  <w:vertAlign w:val="superscript"/>
                </w:rPr>
                <w:t>148</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ritonavir 100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 xml:space="preserve">Atazanavir AUC: no significant change; Cmax: no significant change; Cmin: decreased 21% (compared to atazanavir 300 QD with ritonavir 100 mg QD)Ritonavir AUC: increased 20%; Cmax: no </w:t>
            </w:r>
            <w:r w:rsidRPr="00302534">
              <w:rPr>
                <w:rFonts w:ascii="Verdana" w:eastAsia="Times New Roman" w:hAnsi="Verdana" w:cs="Times New Roman"/>
                <w:color w:val="333333"/>
                <w:sz w:val="18"/>
                <w:szCs w:val="18"/>
              </w:rPr>
              <w:lastRenderedPageBreak/>
              <w:t>signficant change;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Unknown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Tenofovir disoproxil fumarate</w:t>
            </w:r>
            <w:hyperlink r:id="rId99" w:anchor="8" w:history="1">
              <w:r w:rsidRPr="00302534">
                <w:rPr>
                  <w:rFonts w:ascii="Verdana" w:eastAsia="Times New Roman" w:hAnsi="Verdana" w:cs="Times New Roman"/>
                  <w:color w:val="003399"/>
                  <w:sz w:val="14"/>
                  <w:szCs w:val="14"/>
                  <w:u w:val="single"/>
                  <w:vertAlign w:val="superscript"/>
                </w:rPr>
                <w:t>8</w:t>
              </w:r>
            </w:hyperlink>
            <w:r w:rsidRPr="00302534">
              <w:rPr>
                <w:rFonts w:ascii="Verdana" w:eastAsia="Times New Roman" w:hAnsi="Verdana" w:cs="Times New Roman"/>
                <w:color w:val="333333"/>
                <w:sz w:val="14"/>
                <w:szCs w:val="14"/>
                <w:vertAlign w:val="superscript"/>
              </w:rPr>
              <w:t>, </w:t>
            </w:r>
            <w:hyperlink r:id="rId100" w:anchor="9" w:history="1">
              <w:r w:rsidRPr="00302534">
                <w:rPr>
                  <w:rFonts w:ascii="Verdana" w:eastAsia="Times New Roman" w:hAnsi="Verdana" w:cs="Times New Roman"/>
                  <w:color w:val="003399"/>
                  <w:sz w:val="14"/>
                  <w:szCs w:val="14"/>
                  <w:u w:val="single"/>
                  <w:vertAlign w:val="superscript"/>
                </w:rPr>
                <w:t>9</w:t>
              </w:r>
            </w:hyperlink>
            <w:r w:rsidRPr="00302534">
              <w:rPr>
                <w:rFonts w:ascii="Verdana" w:eastAsia="Times New Roman" w:hAnsi="Verdana" w:cs="Times New Roman"/>
                <w:color w:val="333333"/>
                <w:sz w:val="14"/>
                <w:szCs w:val="14"/>
                <w:vertAlign w:val="superscript"/>
              </w:rPr>
              <w:t>, </w:t>
            </w:r>
            <w:hyperlink r:id="rId101" w:anchor="10" w:history="1">
              <w:r w:rsidRPr="00302534">
                <w:rPr>
                  <w:rFonts w:ascii="Verdana" w:eastAsia="Times New Roman" w:hAnsi="Verdana" w:cs="Times New Roman"/>
                  <w:color w:val="003399"/>
                  <w:sz w:val="14"/>
                  <w:szCs w:val="14"/>
                  <w:u w:val="single"/>
                  <w:vertAlign w:val="superscript"/>
                </w:rPr>
                <w:t>10</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on days 15-42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ritonavir 100 mg QD on days 1-42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Cmax: decreased 28%; AUC: decreased 25%; Cmin: decreased 26%; Ritonavir Cmax: decreased 28%; AUC: decreased 25%;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Decreeased atazanavir effects; possibly increased tenofovir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 with unboosted atazanavir (400 mg); Administer 300 mg atazanavir with 100 mg ritonavir when used as part of a tenofovir containing regimen</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Tenofovir disoproxil fumarate</w:t>
            </w:r>
            <w:hyperlink r:id="rId102" w:anchor="9" w:history="1">
              <w:r w:rsidRPr="00302534">
                <w:rPr>
                  <w:rFonts w:ascii="Verdana" w:eastAsia="Times New Roman" w:hAnsi="Verdana" w:cs="Times New Roman"/>
                  <w:color w:val="003399"/>
                  <w:sz w:val="14"/>
                  <w:szCs w:val="14"/>
                  <w:u w:val="single"/>
                  <w:vertAlign w:val="superscript"/>
                </w:rPr>
                <w:t>9</w:t>
              </w:r>
            </w:hyperlink>
            <w:r w:rsidRPr="00302534">
              <w:rPr>
                <w:rFonts w:ascii="Verdana" w:eastAsia="Times New Roman" w:hAnsi="Verdana" w:cs="Times New Roman"/>
                <w:color w:val="333333"/>
                <w:sz w:val="14"/>
                <w:szCs w:val="14"/>
                <w:vertAlign w:val="superscript"/>
              </w:rPr>
              <w:t>, </w:t>
            </w:r>
            <w:hyperlink r:id="rId103" w:anchor="123" w:history="1">
              <w:r w:rsidRPr="00302534">
                <w:rPr>
                  <w:rFonts w:ascii="Verdana" w:eastAsia="Times New Roman" w:hAnsi="Verdana" w:cs="Times New Roman"/>
                  <w:color w:val="003399"/>
                  <w:sz w:val="14"/>
                  <w:szCs w:val="14"/>
                  <w:u w:val="single"/>
                  <w:vertAlign w:val="superscript"/>
                </w:rPr>
                <w:t>123</w:t>
              </w:r>
            </w:hyperlink>
            <w:r w:rsidRPr="00302534">
              <w:rPr>
                <w:rFonts w:ascii="Verdana" w:eastAsia="Times New Roman" w:hAnsi="Verdana" w:cs="Times New Roman"/>
                <w:color w:val="333333"/>
                <w:sz w:val="14"/>
                <w:szCs w:val="14"/>
                <w:vertAlign w:val="superscript"/>
              </w:rPr>
              <w:t>, </w:t>
            </w:r>
            <w:hyperlink r:id="rId104" w:anchor="124" w:history="1">
              <w:r w:rsidRPr="00302534">
                <w:rPr>
                  <w:rFonts w:ascii="Verdana" w:eastAsia="Times New Roman" w:hAnsi="Verdana" w:cs="Times New Roman"/>
                  <w:color w:val="003399"/>
                  <w:sz w:val="14"/>
                  <w:szCs w:val="14"/>
                  <w:u w:val="single"/>
                  <w:vertAlign w:val="superscript"/>
                </w:rPr>
                <w:t>124</w:t>
              </w:r>
            </w:hyperlink>
            <w:r w:rsidRPr="00302534">
              <w:rPr>
                <w:rFonts w:ascii="Verdana" w:eastAsia="Times New Roman" w:hAnsi="Verdana" w:cs="Times New Roman"/>
                <w:color w:val="333333"/>
                <w:sz w:val="14"/>
                <w:szCs w:val="14"/>
                <w:vertAlign w:val="superscript"/>
              </w:rPr>
              <w:t>,</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a light meal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with a light meal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Tenofovir AUC: increased 25%;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26%; Cmax: decreased 24%; Cmin: decreased 40%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 increased tenofovir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Unknown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 with unboosted atazanavir (400 mg); Administer 300 mg atazanavir with 100 mg ritonavir when used as part of a tenofovir containing regimen</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Tenofovir disoproxil fumarate</w:t>
            </w:r>
            <w:hyperlink r:id="rId105" w:anchor="155" w:history="1">
              <w:r w:rsidRPr="00302534">
                <w:rPr>
                  <w:rFonts w:ascii="Verdana" w:eastAsia="Times New Roman" w:hAnsi="Verdana" w:cs="Times New Roman"/>
                  <w:color w:val="003399"/>
                  <w:sz w:val="14"/>
                  <w:szCs w:val="14"/>
                  <w:u w:val="single"/>
                  <w:vertAlign w:val="superscript"/>
                </w:rPr>
                <w:t>155</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x 10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with 100 mg ritonavir QD x 10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Tenofovir AUC: increased 55%; Cmax: increased 39%; Cmin: increased 70%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increased 38%; Cmax: increased 31%; Cmin: increased 33%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atazanavir and tenofovir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Tenofovir disoproxil fumarate</w:t>
            </w:r>
            <w:hyperlink r:id="rId106" w:anchor="155" w:history="1">
              <w:r w:rsidRPr="00302534">
                <w:rPr>
                  <w:rFonts w:ascii="Verdana" w:eastAsia="Times New Roman" w:hAnsi="Verdana" w:cs="Times New Roman"/>
                  <w:color w:val="003399"/>
                  <w:sz w:val="14"/>
                  <w:szCs w:val="14"/>
                  <w:u w:val="single"/>
                  <w:vertAlign w:val="superscript"/>
                </w:rPr>
                <w:t>155</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x 10 d, separated 12 hours away from atazanavir/ritonavir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100 mg ritonavir QD x 10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Tenofovir AUC: increased 37%; Cmax: increased 34%; Cmin: increased 29%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Cmin: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tenofovir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Coadminister atazanavir/ritonavir together with tenofovir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Tipranavir</w:t>
            </w:r>
            <w:hyperlink r:id="rId107" w:anchor="154" w:history="1">
              <w:r w:rsidRPr="00302534">
                <w:rPr>
                  <w:rFonts w:ascii="Verdana" w:eastAsia="Times New Roman" w:hAnsi="Verdana" w:cs="Times New Roman"/>
                  <w:color w:val="003399"/>
                  <w:sz w:val="14"/>
                  <w:szCs w:val="14"/>
                  <w:u w:val="single"/>
                  <w:vertAlign w:val="superscript"/>
                </w:rPr>
                <w:t>154</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(TPV)(Aptivus)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500 mg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QD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Tipranavir AUC: increased 20%; Cmin: increased 75%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Atazanavir AUC: decreased 68%; Cmax: decreased 57%; Cmin: decreased 81%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Induction of CYP450 3A4 by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Triazolam</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(Halcion)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 may increase triazolam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Increased triazolam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Do not coadminister; consider alternative agents</w:t>
            </w:r>
          </w:p>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i/>
                <w:iCs/>
                <w:color w:val="333333"/>
                <w:sz w:val="18"/>
                <w:szCs w:val="18"/>
              </w:rPr>
              <w:t>Alternative Agents</w:t>
            </w:r>
            <w:r w:rsidRPr="00302534">
              <w:rPr>
                <w:rFonts w:ascii="Verdana" w:eastAsia="Times New Roman" w:hAnsi="Verdana" w:cs="Times New Roman"/>
                <w:color w:val="333333"/>
                <w:sz w:val="18"/>
                <w:szCs w:val="18"/>
              </w:rPr>
              <w:t>: </w:t>
            </w:r>
            <w:r w:rsidRPr="00302534">
              <w:rPr>
                <w:rFonts w:ascii="Verdana" w:eastAsia="Times New Roman" w:hAnsi="Verdana" w:cs="Times New Roman"/>
                <w:color w:val="333333"/>
                <w:sz w:val="18"/>
                <w:szCs w:val="18"/>
              </w:rPr>
              <w:br/>
            </w:r>
            <w:r w:rsidRPr="00302534">
              <w:rPr>
                <w:rFonts w:ascii="Verdana" w:eastAsia="Times New Roman" w:hAnsi="Verdana" w:cs="Times New Roman"/>
                <w:b/>
                <w:bCs/>
                <w:color w:val="333333"/>
                <w:sz w:val="18"/>
                <w:szCs w:val="18"/>
              </w:rPr>
              <w:t>Lorazepam; Oxazepam; Temazepam; Trazodone</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lastRenderedPageBreak/>
              <w:t>Voriconazole</w:t>
            </w:r>
            <w:hyperlink r:id="rId108" w:anchor="727" w:history="1">
              <w:r w:rsidRPr="00302534">
                <w:rPr>
                  <w:rFonts w:ascii="Verdana" w:eastAsia="Times New Roman" w:hAnsi="Verdana" w:cs="Times New Roman"/>
                  <w:color w:val="003399"/>
                  <w:sz w:val="14"/>
                  <w:szCs w:val="14"/>
                  <w:u w:val="single"/>
                  <w:vertAlign w:val="superscript"/>
                </w:rPr>
                <w:t>727</w:t>
              </w:r>
            </w:hyperlink>
            <w:r w:rsidRPr="00302534">
              <w:rPr>
                <w:rFonts w:ascii="Verdana" w:eastAsia="Times New Roman" w:hAnsi="Verdana" w:cs="Times New Roman"/>
                <w:color w:val="333333"/>
                <w:sz w:val="14"/>
                <w:szCs w:val="14"/>
                <w:vertAlign w:val="superscript"/>
              </w:rPr>
              <w:t>, </w:t>
            </w:r>
            <w:hyperlink r:id="rId109" w:anchor="515" w:history="1">
              <w:r w:rsidRPr="00302534">
                <w:rPr>
                  <w:rFonts w:ascii="Verdana" w:eastAsia="Times New Roman" w:hAnsi="Verdana" w:cs="Times New Roman"/>
                  <w:color w:val="003399"/>
                  <w:sz w:val="14"/>
                  <w:szCs w:val="14"/>
                  <w:u w:val="single"/>
                  <w:vertAlign w:val="superscript"/>
                </w:rPr>
                <w:t>515</w:t>
              </w:r>
            </w:hyperlink>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(VFend)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200 mg PO Q12H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Voriconazole AUC: decreased 39% when given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Decreased voriconazole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Possible induction of CYP450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With unboosted atazanavir no dose adjustment necessary; monitor for toxicity. Do not coadminister with boosted protease inhibitors unless benefit outweighs risks. If coadministering, consider therapeutic drug monitoring.</w:t>
            </w:r>
          </w:p>
        </w:tc>
      </w:tr>
      <w:tr w:rsidR="00302534" w:rsidRPr="00302534" w:rsidTr="00302534">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Zidovudine</w:t>
            </w:r>
            <w:hyperlink r:id="rId110" w:anchor="106" w:history="1">
              <w:r w:rsidRPr="00302534">
                <w:rPr>
                  <w:rFonts w:ascii="Verdana" w:eastAsia="Times New Roman" w:hAnsi="Verdana" w:cs="Times New Roman"/>
                  <w:color w:val="003399"/>
                  <w:sz w:val="14"/>
                  <w:szCs w:val="14"/>
                  <w:u w:val="single"/>
                  <w:vertAlign w:val="superscript"/>
                </w:rPr>
                <w:t>106</w:t>
              </w:r>
            </w:hyperlink>
            <w:r w:rsidRPr="00302534">
              <w:rPr>
                <w:rFonts w:ascii="Verdana" w:eastAsia="Times New Roman" w:hAnsi="Verdana" w:cs="Times New Roman"/>
                <w:color w:val="333333"/>
                <w:sz w:val="14"/>
                <w:szCs w:val="14"/>
                <w:vertAlign w:val="superscript"/>
              </w:rPr>
              <w:t>,</w:t>
            </w:r>
          </w:p>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(AZT, ZDV)(Retrovir)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300 mg BID with lamivudine 150 mg BID x 6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400 mg QD x 6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after="0"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302534" w:rsidRPr="00302534" w:rsidRDefault="00302534" w:rsidP="00302534">
            <w:pPr>
              <w:spacing w:before="100" w:beforeAutospacing="1" w:after="100" w:afterAutospacing="1" w:line="240" w:lineRule="auto"/>
              <w:rPr>
                <w:rFonts w:ascii="Verdana" w:eastAsia="Times New Roman" w:hAnsi="Verdana" w:cs="Times New Roman"/>
                <w:color w:val="333333"/>
                <w:sz w:val="18"/>
                <w:szCs w:val="18"/>
              </w:rPr>
            </w:pPr>
            <w:r w:rsidRPr="00302534">
              <w:rPr>
                <w:rFonts w:ascii="Verdana" w:eastAsia="Times New Roman" w:hAnsi="Verdana" w:cs="Times New Roman"/>
                <w:color w:val="333333"/>
                <w:sz w:val="18"/>
                <w:szCs w:val="18"/>
              </w:rPr>
              <w:t>No dose adjustment necessary</w:t>
            </w:r>
          </w:p>
        </w:tc>
      </w:tr>
      <w:tr w:rsidR="00302534" w:rsidRPr="00302534" w:rsidTr="00302534">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 indicates that there are no data available</w:t>
            </w:r>
          </w:p>
        </w:tc>
      </w:tr>
    </w:tbl>
    <w:p w:rsidR="00302534" w:rsidRPr="00302534" w:rsidRDefault="00302534" w:rsidP="00302534">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0" w:name="2"/>
            <w:r w:rsidRPr="00302534">
              <w:rPr>
                <w:rFonts w:ascii="Arial" w:eastAsia="Times New Roman" w:hAnsi="Arial" w:cs="Arial"/>
                <w:color w:val="003399"/>
                <w:sz w:val="18"/>
                <w:szCs w:val="18"/>
              </w:rPr>
              <w:t> </w:t>
            </w:r>
            <w:bookmarkEnd w:id="0"/>
            <w:r w:rsidRPr="00302534">
              <w:rPr>
                <w:rFonts w:ascii="Arial" w:eastAsia="Times New Roman" w:hAnsi="Arial" w:cs="Arial"/>
                <w:color w:val="003399"/>
                <w:sz w:val="18"/>
                <w:szCs w:val="18"/>
              </w:rPr>
              <w:t>2:</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Selzentry [package insert]. New York, NY: Pfizer, Inc.; August 2012.</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1" w:name="3"/>
            <w:r w:rsidRPr="00302534">
              <w:rPr>
                <w:rFonts w:ascii="Arial" w:eastAsia="Times New Roman" w:hAnsi="Arial" w:cs="Arial"/>
                <w:color w:val="003399"/>
                <w:sz w:val="18"/>
                <w:szCs w:val="18"/>
              </w:rPr>
              <w:t> </w:t>
            </w:r>
            <w:bookmarkEnd w:id="1"/>
            <w:r w:rsidRPr="00302534">
              <w:rPr>
                <w:rFonts w:ascii="Arial" w:eastAsia="Times New Roman" w:hAnsi="Arial" w:cs="Arial"/>
                <w:color w:val="003399"/>
                <w:sz w:val="18"/>
                <w:szCs w:val="18"/>
              </w:rPr>
              <w:t>3:</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Isentress [package insert]. Whitehouse Station, NJ: Merck &amp; Co., Inc.; October 2007.</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2" w:name="4"/>
            <w:r w:rsidRPr="00302534">
              <w:rPr>
                <w:rFonts w:ascii="Arial" w:eastAsia="Times New Roman" w:hAnsi="Arial" w:cs="Arial"/>
                <w:color w:val="003399"/>
                <w:sz w:val="18"/>
                <w:szCs w:val="18"/>
              </w:rPr>
              <w:t> </w:t>
            </w:r>
            <w:bookmarkEnd w:id="2"/>
            <w:r w:rsidRPr="00302534">
              <w:rPr>
                <w:rFonts w:ascii="Arial" w:eastAsia="Times New Roman" w:hAnsi="Arial" w:cs="Arial"/>
                <w:color w:val="003399"/>
                <w:sz w:val="18"/>
                <w:szCs w:val="18"/>
              </w:rPr>
              <w:t>4:</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Tackett D, Child M, Agarwala S, et al. Atazanavir: a summary of two pharmacokinetic drug interaction studies in healthy subjects [abstract #543]. 10th Conference on Retroviruses and Opportunistic Infections; 2003 February 10-14; Boston, Massachusetts.</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3" w:name="8"/>
            <w:r w:rsidRPr="00302534">
              <w:rPr>
                <w:rFonts w:ascii="Arial" w:eastAsia="Times New Roman" w:hAnsi="Arial" w:cs="Arial"/>
                <w:color w:val="003399"/>
                <w:sz w:val="18"/>
                <w:szCs w:val="18"/>
              </w:rPr>
              <w:t> </w:t>
            </w:r>
            <w:bookmarkEnd w:id="3"/>
            <w:r w:rsidRPr="00302534">
              <w:rPr>
                <w:rFonts w:ascii="Arial" w:eastAsia="Times New Roman" w:hAnsi="Arial" w:cs="Arial"/>
                <w:color w:val="003399"/>
                <w:sz w:val="18"/>
                <w:szCs w:val="18"/>
              </w:rPr>
              <w:t>8:</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Taburet AM, Piketty C, Gerard L, et al. Pharmacokinetic parameters of atazanavir/ritonavir when combined to tenofovir in HIV infected patients with multiple treatment failures: a substudy of Puzzle2-ANRS 107 trial [abstract #537]. 10th Conference on Retroviruses and Opportunistic Infections; 2003 February 10-14; Boston, Massachusetts.</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4" w:name="9"/>
            <w:r w:rsidRPr="00302534">
              <w:rPr>
                <w:rFonts w:ascii="Arial" w:eastAsia="Times New Roman" w:hAnsi="Arial" w:cs="Arial"/>
                <w:color w:val="003399"/>
                <w:sz w:val="18"/>
                <w:szCs w:val="18"/>
              </w:rPr>
              <w:t> </w:t>
            </w:r>
            <w:bookmarkEnd w:id="4"/>
            <w:r w:rsidRPr="00302534">
              <w:rPr>
                <w:rFonts w:ascii="Arial" w:eastAsia="Times New Roman" w:hAnsi="Arial" w:cs="Arial"/>
                <w:color w:val="003399"/>
                <w:sz w:val="18"/>
                <w:szCs w:val="18"/>
              </w:rPr>
              <w:t>9:</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Data on file. Bristol-Myers Squibb Company. Princeton, NJ.</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5" w:name="10"/>
            <w:r w:rsidRPr="00302534">
              <w:rPr>
                <w:rFonts w:ascii="Arial" w:eastAsia="Times New Roman" w:hAnsi="Arial" w:cs="Arial"/>
                <w:color w:val="003399"/>
                <w:sz w:val="18"/>
                <w:szCs w:val="18"/>
              </w:rPr>
              <w:t> </w:t>
            </w:r>
            <w:bookmarkEnd w:id="5"/>
            <w:r w:rsidRPr="00302534">
              <w:rPr>
                <w:rFonts w:ascii="Arial" w:eastAsia="Times New Roman" w:hAnsi="Arial" w:cs="Arial"/>
                <w:color w:val="003399"/>
                <w:sz w:val="18"/>
                <w:szCs w:val="18"/>
              </w:rPr>
              <w:t>10:</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Taburet A-M, Piketty C, Chazallon C, et al. Interactions between atazanavir-ritonavir and tenofovir in heavily pretreated human immunodeficiency virus-infected patients. Antimicrob Agents Chemother 2004; 48: 2091-96.</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6" w:name="90"/>
            <w:r w:rsidRPr="00302534">
              <w:rPr>
                <w:rFonts w:ascii="Arial" w:eastAsia="Times New Roman" w:hAnsi="Arial" w:cs="Arial"/>
                <w:color w:val="003399"/>
                <w:sz w:val="18"/>
                <w:szCs w:val="18"/>
              </w:rPr>
              <w:t> </w:t>
            </w:r>
            <w:bookmarkEnd w:id="6"/>
            <w:r w:rsidRPr="00302534">
              <w:rPr>
                <w:rFonts w:ascii="Arial" w:eastAsia="Times New Roman" w:hAnsi="Arial" w:cs="Arial"/>
                <w:color w:val="003399"/>
                <w:sz w:val="18"/>
                <w:szCs w:val="18"/>
              </w:rPr>
              <w:t>90:</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Sustiva [package insert]. Princeton, NJ: Bristol-Myers Squibb Company; Dec 2011.</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7" w:name="99"/>
            <w:r w:rsidRPr="00302534">
              <w:rPr>
                <w:rFonts w:ascii="Arial" w:eastAsia="Times New Roman" w:hAnsi="Arial" w:cs="Arial"/>
                <w:color w:val="003399"/>
                <w:sz w:val="18"/>
                <w:szCs w:val="18"/>
              </w:rPr>
              <w:t> </w:t>
            </w:r>
            <w:bookmarkEnd w:id="7"/>
            <w:r w:rsidRPr="00302534">
              <w:rPr>
                <w:rFonts w:ascii="Arial" w:eastAsia="Times New Roman" w:hAnsi="Arial" w:cs="Arial"/>
                <w:color w:val="003399"/>
                <w:sz w:val="18"/>
                <w:szCs w:val="18"/>
              </w:rPr>
              <w:t>99:</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Agarwala S, Russo R, Mummaneni V, Randall D, et al. Steady state pharmacokinetic (PK) interaction study of atazanavir (ATV) with ritonavir (RTV) in healthy subjects. [abstract #H-1716]. 42nd Interscience Conference on Antimicrobial Agents and Chemotherapy; 2002 September 27-30; San Diego, California.</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8" w:name="100"/>
            <w:r w:rsidRPr="00302534">
              <w:rPr>
                <w:rFonts w:ascii="Arial" w:eastAsia="Times New Roman" w:hAnsi="Arial" w:cs="Arial"/>
                <w:color w:val="003399"/>
                <w:sz w:val="18"/>
                <w:szCs w:val="18"/>
              </w:rPr>
              <w:lastRenderedPageBreak/>
              <w:t> </w:t>
            </w:r>
            <w:bookmarkEnd w:id="8"/>
            <w:r w:rsidRPr="00302534">
              <w:rPr>
                <w:rFonts w:ascii="Arial" w:eastAsia="Times New Roman" w:hAnsi="Arial" w:cs="Arial"/>
                <w:color w:val="003399"/>
                <w:sz w:val="18"/>
                <w:szCs w:val="18"/>
              </w:rPr>
              <w:t>100:</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Preston S, Piliero P, O'Mara E, et al. Evaluation of the steady state interaction between atazanavir (ATV) and efavirenz (EFV) [abstract #443]. 9th Conference on Retroviruses and Opportunistic Infections; 2002 Feb 24-28; Seattle, Washington.</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9" w:name="101"/>
            <w:r w:rsidRPr="00302534">
              <w:rPr>
                <w:rFonts w:ascii="Arial" w:eastAsia="Times New Roman" w:hAnsi="Arial" w:cs="Arial"/>
                <w:color w:val="003399"/>
                <w:sz w:val="18"/>
                <w:szCs w:val="18"/>
              </w:rPr>
              <w:t> </w:t>
            </w:r>
            <w:bookmarkEnd w:id="9"/>
            <w:r w:rsidRPr="00302534">
              <w:rPr>
                <w:rFonts w:ascii="Arial" w:eastAsia="Times New Roman" w:hAnsi="Arial" w:cs="Arial"/>
                <w:color w:val="003399"/>
                <w:sz w:val="18"/>
                <w:szCs w:val="18"/>
              </w:rPr>
              <w:t>101:</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O'Mara E, Agarwala S, Randall D, et al. Steady state pharmacokinetic interaction study between atazanavir (ATV) with efavirenz (EFV) and ritonavir (RTV) in healthy subjects [abstract #444]. 9th Conference on Retroviruses and Opportunistic Infections; 2002 Feb 24-28; Seattle, Washington.</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10" w:name="106"/>
            <w:r w:rsidRPr="00302534">
              <w:rPr>
                <w:rFonts w:ascii="Arial" w:eastAsia="Times New Roman" w:hAnsi="Arial" w:cs="Arial"/>
                <w:color w:val="003399"/>
                <w:sz w:val="18"/>
                <w:szCs w:val="18"/>
              </w:rPr>
              <w:t> </w:t>
            </w:r>
            <w:bookmarkEnd w:id="10"/>
            <w:r w:rsidRPr="00302534">
              <w:rPr>
                <w:rFonts w:ascii="Arial" w:eastAsia="Times New Roman" w:hAnsi="Arial" w:cs="Arial"/>
                <w:color w:val="003399"/>
                <w:sz w:val="18"/>
                <w:szCs w:val="18"/>
              </w:rPr>
              <w:t>106:</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Mummaneni V, Randall D, Geraldes M, et al. Steady-state pharmacokinetic (PK) interaction study of atazanavir (ATV) with lamivudine (3TC) and zidovudine (ZDV) in healthy subjects. [abstract #H-1713]. 42nd Interscience Conference on Antimicrobial Agents and Chemotherapy; 2002 September 27-30; Chicago, Illinois.</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11" w:name="122"/>
            <w:r w:rsidRPr="00302534">
              <w:rPr>
                <w:rFonts w:ascii="Arial" w:eastAsia="Times New Roman" w:hAnsi="Arial" w:cs="Arial"/>
                <w:color w:val="003399"/>
                <w:sz w:val="18"/>
                <w:szCs w:val="18"/>
              </w:rPr>
              <w:t> </w:t>
            </w:r>
            <w:bookmarkEnd w:id="11"/>
            <w:r w:rsidRPr="00302534">
              <w:rPr>
                <w:rFonts w:ascii="Arial" w:eastAsia="Times New Roman" w:hAnsi="Arial" w:cs="Arial"/>
                <w:color w:val="003399"/>
                <w:sz w:val="18"/>
                <w:szCs w:val="18"/>
              </w:rPr>
              <w:t>122:</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Omara E et al. BMS-232632: A summary of multiple dose pharmacokinetic, food effect and drug interaction studies in healthy subjects [abstract #504]. 7th Conference on Retroviruses and Opportunistic Infections; 2000 Jan 30-Feb 2; San Francisco, California.</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12" w:name="123"/>
            <w:r w:rsidRPr="00302534">
              <w:rPr>
                <w:rFonts w:ascii="Arial" w:eastAsia="Times New Roman" w:hAnsi="Arial" w:cs="Arial"/>
                <w:color w:val="003399"/>
                <w:sz w:val="18"/>
                <w:szCs w:val="18"/>
              </w:rPr>
              <w:t> </w:t>
            </w:r>
            <w:bookmarkEnd w:id="12"/>
            <w:r w:rsidRPr="00302534">
              <w:rPr>
                <w:rFonts w:ascii="Arial" w:eastAsia="Times New Roman" w:hAnsi="Arial" w:cs="Arial"/>
                <w:color w:val="003399"/>
                <w:sz w:val="18"/>
                <w:szCs w:val="18"/>
              </w:rPr>
              <w:t>123:</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Dear Health Care Provider letter. Bristol-Myers Squibb Co., Aug 8, 2003.</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13" w:name="124"/>
            <w:r w:rsidRPr="00302534">
              <w:rPr>
                <w:rFonts w:ascii="Arial" w:eastAsia="Times New Roman" w:hAnsi="Arial" w:cs="Arial"/>
                <w:color w:val="003399"/>
                <w:sz w:val="18"/>
                <w:szCs w:val="18"/>
              </w:rPr>
              <w:t> </w:t>
            </w:r>
            <w:bookmarkEnd w:id="13"/>
            <w:r w:rsidRPr="00302534">
              <w:rPr>
                <w:rFonts w:ascii="Arial" w:eastAsia="Times New Roman" w:hAnsi="Arial" w:cs="Arial"/>
                <w:color w:val="003399"/>
                <w:sz w:val="18"/>
                <w:szCs w:val="18"/>
              </w:rPr>
              <w:t>124:</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Kaul S, Bassi K, Damle B, et al. Pharmacokinetic evaluation of the combination of atazanavir (ATV), enteric coated didanosine (ddI-EC), and tenofovir disoproxil fumarate (TDF) for a once-daily antiretroviral regimen [abstract #A-1616]. 43rd Interscience Conference on Antimicrobial Agents and Chemotherapy; 2003 September 14-17; Chicago, Illinois.</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14" w:name="137"/>
            <w:r w:rsidRPr="00302534">
              <w:rPr>
                <w:rFonts w:ascii="Arial" w:eastAsia="Times New Roman" w:hAnsi="Arial" w:cs="Arial"/>
                <w:color w:val="003399"/>
                <w:sz w:val="18"/>
                <w:szCs w:val="18"/>
              </w:rPr>
              <w:t> </w:t>
            </w:r>
            <w:bookmarkEnd w:id="14"/>
            <w:r w:rsidRPr="00302534">
              <w:rPr>
                <w:rFonts w:ascii="Arial" w:eastAsia="Times New Roman" w:hAnsi="Arial" w:cs="Arial"/>
                <w:color w:val="003399"/>
                <w:sz w:val="18"/>
                <w:szCs w:val="18"/>
              </w:rPr>
              <w:t>137:</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Boffito M, Kurowski M, Kruse G, et al. Atazanavir enhances saquinavir hard gel concentrations in a ritonavir-boosted once daily regimen [abstract #607]. 11th Conference on Retroviruses and Opportunistic Infections; 2004 Feb 8-11; San Francisco, California.</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15" w:name="148"/>
            <w:r w:rsidRPr="00302534">
              <w:rPr>
                <w:rFonts w:ascii="Arial" w:eastAsia="Times New Roman" w:hAnsi="Arial" w:cs="Arial"/>
                <w:color w:val="003399"/>
                <w:sz w:val="18"/>
                <w:szCs w:val="18"/>
              </w:rPr>
              <w:t> </w:t>
            </w:r>
            <w:bookmarkEnd w:id="15"/>
            <w:r w:rsidRPr="00302534">
              <w:rPr>
                <w:rFonts w:ascii="Arial" w:eastAsia="Times New Roman" w:hAnsi="Arial" w:cs="Arial"/>
                <w:color w:val="003399"/>
                <w:sz w:val="18"/>
                <w:szCs w:val="18"/>
              </w:rPr>
              <w:t>148:</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von Hentig N, Haberl A, Lutz T, et al. Concomitant intake of tenofovir disoproxil fumarate does not impair the plasma exposure of ritonavir-boosted atazanavir in HIV-1 infected adults [abstract PI-40]. American Society for Clinical Pharmacology and Therapeutics; 2005 March 2-6; Orlando, Florida.</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16" w:name="152"/>
            <w:r w:rsidRPr="00302534">
              <w:rPr>
                <w:rFonts w:ascii="Arial" w:eastAsia="Times New Roman" w:hAnsi="Arial" w:cs="Arial"/>
                <w:color w:val="003399"/>
                <w:sz w:val="18"/>
                <w:szCs w:val="18"/>
              </w:rPr>
              <w:t> </w:t>
            </w:r>
            <w:bookmarkEnd w:id="16"/>
            <w:r w:rsidRPr="00302534">
              <w:rPr>
                <w:rFonts w:ascii="Arial" w:eastAsia="Times New Roman" w:hAnsi="Arial" w:cs="Arial"/>
                <w:color w:val="003399"/>
                <w:sz w:val="18"/>
                <w:szCs w:val="18"/>
              </w:rPr>
              <w:t>152:</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Kaul S, Olszyk C, Ji P, et al. Pharmacokinetics of didanosine enteric coated capsules co-administered with atazanavir or atazanavir/ritonavir [abst. #648]. 12th Conference on Retroviruses and Opportunistic Infections; 2005 February 22-25; Boston, Massachusetts.</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17" w:name="154"/>
            <w:r w:rsidRPr="00302534">
              <w:rPr>
                <w:rFonts w:ascii="Arial" w:eastAsia="Times New Roman" w:hAnsi="Arial" w:cs="Arial"/>
                <w:color w:val="003399"/>
                <w:sz w:val="18"/>
                <w:szCs w:val="18"/>
              </w:rPr>
              <w:t> </w:t>
            </w:r>
            <w:bookmarkEnd w:id="17"/>
            <w:r w:rsidRPr="00302534">
              <w:rPr>
                <w:rFonts w:ascii="Arial" w:eastAsia="Times New Roman" w:hAnsi="Arial" w:cs="Arial"/>
                <w:color w:val="003399"/>
                <w:sz w:val="18"/>
                <w:szCs w:val="18"/>
              </w:rPr>
              <w:t>154:</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Aptivus [package insert]. Ridgefield, CT: Boehringer Ingelheim Pharmaceuticals, Inc.; Nov 2005.</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18" w:name="155"/>
            <w:r w:rsidRPr="00302534">
              <w:rPr>
                <w:rFonts w:ascii="Arial" w:eastAsia="Times New Roman" w:hAnsi="Arial" w:cs="Arial"/>
                <w:color w:val="003399"/>
                <w:sz w:val="18"/>
                <w:szCs w:val="18"/>
              </w:rPr>
              <w:t> </w:t>
            </w:r>
            <w:bookmarkEnd w:id="18"/>
            <w:r w:rsidRPr="00302534">
              <w:rPr>
                <w:rFonts w:ascii="Arial" w:eastAsia="Times New Roman" w:hAnsi="Arial" w:cs="Arial"/>
                <w:color w:val="003399"/>
                <w:sz w:val="18"/>
                <w:szCs w:val="18"/>
              </w:rPr>
              <w:t>155:</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Agarwala S, Eley T, Villegas C, et al. Pharmacokinetic interaction between tenofovir and atazanavir coadministered with ritonavir in healthy subjects [abst. 16]. 6th International Workshop on Clinical Pharmacology of HIV Therapy; 2005 April 28-30; Quebec City, Canada.</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19" w:name="157"/>
            <w:r w:rsidRPr="00302534">
              <w:rPr>
                <w:rFonts w:ascii="Arial" w:eastAsia="Times New Roman" w:hAnsi="Arial" w:cs="Arial"/>
                <w:color w:val="003399"/>
                <w:sz w:val="18"/>
                <w:szCs w:val="18"/>
              </w:rPr>
              <w:t> </w:t>
            </w:r>
            <w:bookmarkEnd w:id="19"/>
            <w:r w:rsidRPr="00302534">
              <w:rPr>
                <w:rFonts w:ascii="Arial" w:eastAsia="Times New Roman" w:hAnsi="Arial" w:cs="Arial"/>
                <w:color w:val="003399"/>
                <w:sz w:val="18"/>
                <w:szCs w:val="18"/>
              </w:rPr>
              <w:t>157:</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Kurowski M, Molto J, Breske G, et al. Atazanavir enhances trough concentrations of nelfinavir and its M8 metabolite in a treatment regimen without ritonavir [abst. 90]. 6th International Workshop on Clinical Pharmacology of HIV Therapy; 2005 April 28-30; Quebec City, Canada.</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20" w:name="159"/>
            <w:r w:rsidRPr="00302534">
              <w:rPr>
                <w:rFonts w:ascii="Arial" w:eastAsia="Times New Roman" w:hAnsi="Arial" w:cs="Arial"/>
                <w:color w:val="003399"/>
                <w:sz w:val="18"/>
                <w:szCs w:val="18"/>
              </w:rPr>
              <w:t> </w:t>
            </w:r>
            <w:bookmarkEnd w:id="20"/>
            <w:r w:rsidRPr="00302534">
              <w:rPr>
                <w:rFonts w:ascii="Arial" w:eastAsia="Times New Roman" w:hAnsi="Arial" w:cs="Arial"/>
                <w:color w:val="003399"/>
                <w:sz w:val="18"/>
                <w:szCs w:val="18"/>
              </w:rPr>
              <w:t>159:</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Wire MB, Shelton MJ, Lou Y, et al. The pharmacokinetic interaction between foramprenavir/ritonavir and atazanavir in healthy adult subjects (APV10018) [poster PE4.3/9]. 10th European AIDS Conference; 2005 November 17-20; Dublin, Ireland.</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21" w:name="160"/>
            <w:r w:rsidRPr="00302534">
              <w:rPr>
                <w:rFonts w:ascii="Arial" w:eastAsia="Times New Roman" w:hAnsi="Arial" w:cs="Arial"/>
                <w:color w:val="003399"/>
                <w:sz w:val="18"/>
                <w:szCs w:val="18"/>
              </w:rPr>
              <w:t> </w:t>
            </w:r>
            <w:bookmarkEnd w:id="21"/>
            <w:r w:rsidRPr="00302534">
              <w:rPr>
                <w:rFonts w:ascii="Arial" w:eastAsia="Times New Roman" w:hAnsi="Arial" w:cs="Arial"/>
                <w:color w:val="003399"/>
                <w:sz w:val="18"/>
                <w:szCs w:val="18"/>
              </w:rPr>
              <w:t>160:</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Pham P, Parsons T, Flexner C, et al. Beneficial pharmacokinetic interaction between atazanavir and lopinavir/ritonavir [L-159/585]. 13th Conference on Retrovirusus and Opportunistic Infections; 2005 Feb 5-8; Denver, Colorado.</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22" w:name="161"/>
            <w:r w:rsidRPr="00302534">
              <w:rPr>
                <w:rFonts w:ascii="Arial" w:eastAsia="Times New Roman" w:hAnsi="Arial" w:cs="Arial"/>
                <w:color w:val="003399"/>
                <w:sz w:val="18"/>
                <w:szCs w:val="18"/>
              </w:rPr>
              <w:t> </w:t>
            </w:r>
            <w:bookmarkEnd w:id="22"/>
            <w:r w:rsidRPr="00302534">
              <w:rPr>
                <w:rFonts w:ascii="Arial" w:eastAsia="Times New Roman" w:hAnsi="Arial" w:cs="Arial"/>
                <w:color w:val="003399"/>
                <w:sz w:val="18"/>
                <w:szCs w:val="18"/>
              </w:rPr>
              <w:t>161:</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Prezista [package insert]. Raritan, NJ: Tibotec Therapeutics Inc.; April 2010.</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23" w:name="162"/>
            <w:r w:rsidRPr="00302534">
              <w:rPr>
                <w:rFonts w:ascii="Arial" w:eastAsia="Times New Roman" w:hAnsi="Arial" w:cs="Arial"/>
                <w:color w:val="003399"/>
                <w:sz w:val="18"/>
                <w:szCs w:val="18"/>
              </w:rPr>
              <w:t> </w:t>
            </w:r>
            <w:bookmarkEnd w:id="23"/>
            <w:r w:rsidRPr="00302534">
              <w:rPr>
                <w:rFonts w:ascii="Arial" w:eastAsia="Times New Roman" w:hAnsi="Arial" w:cs="Arial"/>
                <w:color w:val="003399"/>
                <w:sz w:val="18"/>
                <w:szCs w:val="18"/>
              </w:rPr>
              <w:t>162:</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King J, Lundy S Paul, Kakuda T, et al. Pharmacokinetics of saquinavir with low-dose ritonavir or atazanavir twice daily in seronegative volunteers: ASPIRE II [abstract #586]. 13th Conference on Retrovirusus and Opportunistic Infections; 2006 Feb 5-8; Denver, Colorado.</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24" w:name="163"/>
            <w:r w:rsidRPr="00302534">
              <w:rPr>
                <w:rFonts w:ascii="Arial" w:eastAsia="Times New Roman" w:hAnsi="Arial" w:cs="Arial"/>
                <w:color w:val="003399"/>
                <w:sz w:val="18"/>
                <w:szCs w:val="18"/>
              </w:rPr>
              <w:t> </w:t>
            </w:r>
            <w:bookmarkEnd w:id="24"/>
            <w:r w:rsidRPr="00302534">
              <w:rPr>
                <w:rFonts w:ascii="Arial" w:eastAsia="Times New Roman" w:hAnsi="Arial" w:cs="Arial"/>
                <w:color w:val="003399"/>
                <w:sz w:val="18"/>
                <w:szCs w:val="18"/>
              </w:rPr>
              <w:t>163:</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Clay P, Anderson P, Smith P, et al. Pharmacokinetics of once-daily fosamprenavir 1400 mg plus atazanavir 400 mg without ritonavir in HIV-negative subjects. 13th Conference on Retroviruses and Opportunistic Infections; 2006 Feb 5-8; Denver, Colorado.</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25" w:name="239"/>
            <w:r w:rsidRPr="00302534">
              <w:rPr>
                <w:rFonts w:ascii="Arial" w:eastAsia="Times New Roman" w:hAnsi="Arial" w:cs="Arial"/>
                <w:color w:val="003399"/>
                <w:sz w:val="18"/>
                <w:szCs w:val="18"/>
              </w:rPr>
              <w:t> </w:t>
            </w:r>
            <w:bookmarkEnd w:id="25"/>
            <w:r w:rsidRPr="00302534">
              <w:rPr>
                <w:rFonts w:ascii="Arial" w:eastAsia="Times New Roman" w:hAnsi="Arial" w:cs="Arial"/>
                <w:color w:val="003399"/>
                <w:sz w:val="18"/>
                <w:szCs w:val="18"/>
              </w:rPr>
              <w:t>239:</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Agarwala S, Eley T, Villegas C, et al. Pharmacokinetic effect of famotidine on atazanavir with and without ritonavir in healthy subjects [abst. 11]. 6th International Workshop on Clinical Pharmacology of HIV Therapy; 2005 April 28-30; Quebec City, Canada.</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26" w:name="240"/>
            <w:r w:rsidRPr="00302534">
              <w:rPr>
                <w:rFonts w:ascii="Arial" w:eastAsia="Times New Roman" w:hAnsi="Arial" w:cs="Arial"/>
                <w:color w:val="003399"/>
                <w:sz w:val="18"/>
                <w:szCs w:val="18"/>
              </w:rPr>
              <w:t> </w:t>
            </w:r>
            <w:bookmarkEnd w:id="26"/>
            <w:r w:rsidRPr="00302534">
              <w:rPr>
                <w:rFonts w:ascii="Arial" w:eastAsia="Times New Roman" w:hAnsi="Arial" w:cs="Arial"/>
                <w:color w:val="003399"/>
                <w:sz w:val="18"/>
                <w:szCs w:val="18"/>
              </w:rPr>
              <w:t>240:</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Dear Health Care Provider letter. Bristol-Myers Squibb Co., December 2004.</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27" w:name="247"/>
            <w:r w:rsidRPr="00302534">
              <w:rPr>
                <w:rFonts w:ascii="Arial" w:eastAsia="Times New Roman" w:hAnsi="Arial" w:cs="Arial"/>
                <w:color w:val="003399"/>
                <w:sz w:val="18"/>
                <w:szCs w:val="18"/>
              </w:rPr>
              <w:t> </w:t>
            </w:r>
            <w:bookmarkEnd w:id="27"/>
            <w:r w:rsidRPr="00302534">
              <w:rPr>
                <w:rFonts w:ascii="Arial" w:eastAsia="Times New Roman" w:hAnsi="Arial" w:cs="Arial"/>
                <w:color w:val="003399"/>
                <w:sz w:val="18"/>
                <w:szCs w:val="18"/>
              </w:rPr>
              <w:t>247:</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Burger D, Agarwala S, Child M, et al. Effect of rifampin on steady-state pharmacokinetics of atazanavir and ritonavir in healthy subjects [abst. #657]. 12th Conference on Retroviruses and Opportunistic Infections; 2005 February 22-25; Boston, Massachusetts.</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28" w:name="248"/>
            <w:r w:rsidRPr="00302534">
              <w:rPr>
                <w:rFonts w:ascii="Arial" w:eastAsia="Times New Roman" w:hAnsi="Arial" w:cs="Arial"/>
                <w:color w:val="003399"/>
                <w:sz w:val="18"/>
                <w:szCs w:val="18"/>
              </w:rPr>
              <w:t> </w:t>
            </w:r>
            <w:bookmarkEnd w:id="28"/>
            <w:r w:rsidRPr="00302534">
              <w:rPr>
                <w:rFonts w:ascii="Arial" w:eastAsia="Times New Roman" w:hAnsi="Arial" w:cs="Arial"/>
                <w:color w:val="003399"/>
                <w:sz w:val="18"/>
                <w:szCs w:val="18"/>
              </w:rPr>
              <w:t>248:</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Agarwala S, Gray K, Wang Y, Grasela D. Pharmacokinetic effect of omeprazole on atazanavir co-administered with ritonavir in healthy subjects [abstract #658 ]. 12th Conference on Retroviruses and Opportunistic Infections; 2005 February 22-25; Boston, Massachusetts.</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29" w:name="268"/>
            <w:r w:rsidRPr="00302534">
              <w:rPr>
                <w:rFonts w:ascii="Arial" w:eastAsia="Times New Roman" w:hAnsi="Arial" w:cs="Arial"/>
                <w:color w:val="003399"/>
                <w:sz w:val="18"/>
                <w:szCs w:val="18"/>
              </w:rPr>
              <w:t> </w:t>
            </w:r>
            <w:bookmarkEnd w:id="29"/>
            <w:r w:rsidRPr="00302534">
              <w:rPr>
                <w:rFonts w:ascii="Arial" w:eastAsia="Times New Roman" w:hAnsi="Arial" w:cs="Arial"/>
                <w:color w:val="003399"/>
                <w:sz w:val="18"/>
                <w:szCs w:val="18"/>
              </w:rPr>
              <w:t>268:</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Agarwala S, Gray K, Nettles R, et al. Lack of pharmacokinetic interaction between atazanavir, ritonavir and fluconazole dosed at steady-state in healthy subjects [poster 1979]. 46th Interscience Conference on Antimicrobial Agents and Chemotherapy; 2006 September 27-30th; San Francisco, CA.</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30" w:name="283"/>
            <w:r w:rsidRPr="00302534">
              <w:rPr>
                <w:rFonts w:ascii="Arial" w:eastAsia="Times New Roman" w:hAnsi="Arial" w:cs="Arial"/>
                <w:color w:val="003399"/>
                <w:sz w:val="18"/>
                <w:szCs w:val="18"/>
              </w:rPr>
              <w:lastRenderedPageBreak/>
              <w:t> </w:t>
            </w:r>
            <w:bookmarkEnd w:id="30"/>
            <w:r w:rsidRPr="00302534">
              <w:rPr>
                <w:rFonts w:ascii="Arial" w:eastAsia="Times New Roman" w:hAnsi="Arial" w:cs="Arial"/>
                <w:color w:val="003399"/>
                <w:sz w:val="18"/>
                <w:szCs w:val="18"/>
              </w:rPr>
              <w:t>283:</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O'Mara EM, Randall D, Mummaneni V, et al. Steady state pharmacokinetic interaction study between BMS-232632 and ketoconazole in healthy subjects. [abstract #1646]. 40th Interscience Conference on Antimicrobial Agents and Chemotherapy; 2000 September 17-20; Toronto, Canada.</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31" w:name="341"/>
            <w:r w:rsidRPr="00302534">
              <w:rPr>
                <w:rFonts w:ascii="Arial" w:eastAsia="Times New Roman" w:hAnsi="Arial" w:cs="Arial"/>
                <w:color w:val="003399"/>
                <w:sz w:val="18"/>
                <w:szCs w:val="18"/>
              </w:rPr>
              <w:t> </w:t>
            </w:r>
            <w:bookmarkEnd w:id="31"/>
            <w:r w:rsidRPr="00302534">
              <w:rPr>
                <w:rFonts w:ascii="Arial" w:eastAsia="Times New Roman" w:hAnsi="Arial" w:cs="Arial"/>
                <w:color w:val="003399"/>
                <w:sz w:val="18"/>
                <w:szCs w:val="18"/>
              </w:rPr>
              <w:t>341:</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Agarwala S, Mummaneni V, Randall D, et al. Pharmacokinetic (PK) effect of rifabutin (RIF) on atazanavir (ATV) with and without ritonavir (RTV) in healthy subjects [abstract #445]. 9th Conference on Retroviruses and Opportunistic Infections; 2002 Feb 24-28; Seattle, Washington.</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32" w:name="363"/>
            <w:r w:rsidRPr="00302534">
              <w:rPr>
                <w:rFonts w:ascii="Arial" w:eastAsia="Times New Roman" w:hAnsi="Arial" w:cs="Arial"/>
                <w:color w:val="003399"/>
                <w:sz w:val="18"/>
                <w:szCs w:val="18"/>
              </w:rPr>
              <w:t> </w:t>
            </w:r>
            <w:bookmarkEnd w:id="32"/>
            <w:r w:rsidRPr="00302534">
              <w:rPr>
                <w:rFonts w:ascii="Arial" w:eastAsia="Times New Roman" w:hAnsi="Arial" w:cs="Arial"/>
                <w:color w:val="003399"/>
                <w:sz w:val="18"/>
                <w:szCs w:val="18"/>
              </w:rPr>
              <w:t>363:</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Mummaneni V, Randall D, Chabuel D, et al. Steady state pharmacokinetic (PK) interaction study of atazanavir (ATV) with clarithromycin (CLR) in healthy subjects. [abstract #H-1717]. 42nd Interscience Conference on Antimicrobial Agents and Chemotherapy; 2002 September 27-30; San Diego, California.</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33" w:name="390"/>
            <w:r w:rsidRPr="00302534">
              <w:rPr>
                <w:rFonts w:ascii="Arial" w:eastAsia="Times New Roman" w:hAnsi="Arial" w:cs="Arial"/>
                <w:color w:val="003399"/>
                <w:sz w:val="18"/>
                <w:szCs w:val="18"/>
              </w:rPr>
              <w:t> </w:t>
            </w:r>
            <w:bookmarkEnd w:id="33"/>
            <w:r w:rsidRPr="00302534">
              <w:rPr>
                <w:rFonts w:ascii="Arial" w:eastAsia="Times New Roman" w:hAnsi="Arial" w:cs="Arial"/>
                <w:color w:val="003399"/>
                <w:sz w:val="18"/>
                <w:szCs w:val="18"/>
              </w:rPr>
              <w:t>390:</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Tomilo DL, Smith PF, Ogundele AB, et al. Inhibition of atazanavir oral absorption by lansoprazole gastric acid suppression in healthy volunteers. Pharmacotherapy 2006; 26: 341-46.</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34" w:name="405"/>
            <w:r w:rsidRPr="00302534">
              <w:rPr>
                <w:rFonts w:ascii="Arial" w:eastAsia="Times New Roman" w:hAnsi="Arial" w:cs="Arial"/>
                <w:color w:val="003399"/>
                <w:sz w:val="18"/>
                <w:szCs w:val="18"/>
              </w:rPr>
              <w:t> </w:t>
            </w:r>
            <w:bookmarkEnd w:id="34"/>
            <w:r w:rsidRPr="00302534">
              <w:rPr>
                <w:rFonts w:ascii="Arial" w:eastAsia="Times New Roman" w:hAnsi="Arial" w:cs="Arial"/>
                <w:color w:val="003399"/>
                <w:sz w:val="18"/>
                <w:szCs w:val="18"/>
              </w:rPr>
              <w:t>405:</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Intelence [package insert]. Raritan, NJ: Tibotec Therapeutics; 2010.</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35" w:name="411"/>
            <w:r w:rsidRPr="00302534">
              <w:rPr>
                <w:rFonts w:ascii="Arial" w:eastAsia="Times New Roman" w:hAnsi="Arial" w:cs="Arial"/>
                <w:color w:val="003399"/>
                <w:sz w:val="18"/>
                <w:szCs w:val="18"/>
              </w:rPr>
              <w:t> </w:t>
            </w:r>
            <w:bookmarkEnd w:id="35"/>
            <w:r w:rsidRPr="00302534">
              <w:rPr>
                <w:rFonts w:ascii="Arial" w:eastAsia="Times New Roman" w:hAnsi="Arial" w:cs="Arial"/>
                <w:color w:val="003399"/>
                <w:sz w:val="18"/>
                <w:szCs w:val="18"/>
              </w:rPr>
              <w:t>411:</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Busti AJ, Bain AM, Hall RG 2nd, et al. Effects of atazanavir/ritonavir or fosamprenavir/ritonavir on the pharmacokinetics of rosuvastatin. J Cardovasc Pharmacol 2008; 51: 605-10.</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36" w:name="424"/>
            <w:r w:rsidRPr="00302534">
              <w:rPr>
                <w:rFonts w:ascii="Arial" w:eastAsia="Times New Roman" w:hAnsi="Arial" w:cs="Arial"/>
                <w:color w:val="003399"/>
                <w:sz w:val="18"/>
                <w:szCs w:val="18"/>
              </w:rPr>
              <w:t> </w:t>
            </w:r>
            <w:bookmarkEnd w:id="36"/>
            <w:r w:rsidRPr="00302534">
              <w:rPr>
                <w:rFonts w:ascii="Arial" w:eastAsia="Times New Roman" w:hAnsi="Arial" w:cs="Arial"/>
                <w:color w:val="003399"/>
                <w:sz w:val="18"/>
                <w:szCs w:val="18"/>
              </w:rPr>
              <w:t>424:</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Noxafil [package insert]. Kenilworth, NJ: Schering-Plough; February 2009.</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37" w:name="428"/>
            <w:r w:rsidRPr="00302534">
              <w:rPr>
                <w:rFonts w:ascii="Arial" w:eastAsia="Times New Roman" w:hAnsi="Arial" w:cs="Arial"/>
                <w:color w:val="003399"/>
                <w:sz w:val="18"/>
                <w:szCs w:val="18"/>
              </w:rPr>
              <w:t> </w:t>
            </w:r>
            <w:bookmarkEnd w:id="37"/>
            <w:r w:rsidRPr="00302534">
              <w:rPr>
                <w:rFonts w:ascii="Arial" w:eastAsia="Times New Roman" w:hAnsi="Arial" w:cs="Arial"/>
                <w:color w:val="003399"/>
                <w:sz w:val="18"/>
                <w:szCs w:val="18"/>
              </w:rPr>
              <w:t>428:</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Zhu L, Mahnke L, Butterton J, et al. Pharmacokinetics and safety of twice-daily atazanavir 300 mg and raltegravir 400 mg in healthy subjects [poster 696]. 16th Conference on Retroviruses and Opportunistic Infections; February 8-11, 2009; Montreal, Canada.</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38" w:name="431"/>
            <w:r w:rsidRPr="00302534">
              <w:rPr>
                <w:rFonts w:ascii="Arial" w:eastAsia="Times New Roman" w:hAnsi="Arial" w:cs="Arial"/>
                <w:color w:val="003399"/>
                <w:sz w:val="18"/>
                <w:szCs w:val="18"/>
              </w:rPr>
              <w:t> </w:t>
            </w:r>
            <w:bookmarkEnd w:id="38"/>
            <w:r w:rsidRPr="00302534">
              <w:rPr>
                <w:rFonts w:ascii="Arial" w:eastAsia="Times New Roman" w:hAnsi="Arial" w:cs="Arial"/>
                <w:color w:val="003399"/>
                <w:sz w:val="18"/>
                <w:szCs w:val="18"/>
              </w:rPr>
              <w:t>431:</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McRay M, Clay PG, Anderson PL, Glaros AG. Pharmacokinetics of concurrent administration of fosamprenavir and atazanavir without ritonavir in human immunodeficiency virus-negative subjects. Pharmacother 2009; 29: 937-42.</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39" w:name="461"/>
            <w:r w:rsidRPr="00302534">
              <w:rPr>
                <w:rFonts w:ascii="Arial" w:eastAsia="Times New Roman" w:hAnsi="Arial" w:cs="Arial"/>
                <w:color w:val="003399"/>
                <w:sz w:val="18"/>
                <w:szCs w:val="18"/>
              </w:rPr>
              <w:t> </w:t>
            </w:r>
            <w:bookmarkEnd w:id="39"/>
            <w:r w:rsidRPr="00302534">
              <w:rPr>
                <w:rFonts w:ascii="Arial" w:eastAsia="Times New Roman" w:hAnsi="Arial" w:cs="Arial"/>
                <w:color w:val="003399"/>
                <w:sz w:val="18"/>
                <w:szCs w:val="18"/>
              </w:rPr>
              <w:t>461:</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Cattaneo D, Ripamonti D, Baldelli S, Cozzi V, Conti F, Clementi E. Exposure-related effects of unboosted atazanavir on the pharmacokinetics of raltegravir in HIV-1 infected patients [abst. 49]. 11th International Workshop on Clinical Pharmacology of HIV Therapy; 2010 April 7-9; Sorrento, Italy.</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40" w:name="487"/>
            <w:r w:rsidRPr="00302534">
              <w:rPr>
                <w:rFonts w:ascii="Arial" w:eastAsia="Times New Roman" w:hAnsi="Arial" w:cs="Arial"/>
                <w:color w:val="003399"/>
                <w:sz w:val="18"/>
                <w:szCs w:val="18"/>
              </w:rPr>
              <w:t> </w:t>
            </w:r>
            <w:bookmarkEnd w:id="40"/>
            <w:r w:rsidRPr="00302534">
              <w:rPr>
                <w:rFonts w:ascii="Arial" w:eastAsia="Times New Roman" w:hAnsi="Arial" w:cs="Arial"/>
                <w:color w:val="003399"/>
                <w:sz w:val="18"/>
                <w:szCs w:val="18"/>
              </w:rPr>
              <w:t>487:</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Van Luin M, Van der Ende M, Richter C, et al. Lower atovaquone/proguanil concentrations in patients taking efavirenz, lopinavir/ritonavir or atazanavir/ritonavir. AIDS 2010; 24: 1223-1225.</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41" w:name="501"/>
            <w:r w:rsidRPr="00302534">
              <w:rPr>
                <w:rFonts w:ascii="Arial" w:eastAsia="Times New Roman" w:hAnsi="Arial" w:cs="Arial"/>
                <w:color w:val="003399"/>
                <w:sz w:val="18"/>
                <w:szCs w:val="18"/>
              </w:rPr>
              <w:t> </w:t>
            </w:r>
            <w:bookmarkEnd w:id="41"/>
            <w:r w:rsidRPr="00302534">
              <w:rPr>
                <w:rFonts w:ascii="Arial" w:eastAsia="Times New Roman" w:hAnsi="Arial" w:cs="Arial"/>
                <w:color w:val="003399"/>
                <w:sz w:val="18"/>
                <w:szCs w:val="18"/>
              </w:rPr>
              <w:t>501:</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Krishna G, Moton A, Ma, L, et al. Effects of oral posaconazole on the pharmacokinetics of atazanavir alone and with ritonavir or with efavirenz in healthy adult volunteers. J Acquir Immune Defic Syndr 2009; 51: 437-444.</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42" w:name="515"/>
            <w:r w:rsidRPr="00302534">
              <w:rPr>
                <w:rFonts w:ascii="Arial" w:eastAsia="Times New Roman" w:hAnsi="Arial" w:cs="Arial"/>
                <w:color w:val="003399"/>
                <w:sz w:val="18"/>
                <w:szCs w:val="18"/>
              </w:rPr>
              <w:t> </w:t>
            </w:r>
            <w:bookmarkEnd w:id="42"/>
            <w:r w:rsidRPr="00302534">
              <w:rPr>
                <w:rFonts w:ascii="Arial" w:eastAsia="Times New Roman" w:hAnsi="Arial" w:cs="Arial"/>
                <w:color w:val="003399"/>
                <w:sz w:val="18"/>
                <w:szCs w:val="18"/>
              </w:rPr>
              <w:t>515:</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Reyataz [package insert]. Princeton, NJ: Bristol-Myers Squibb Company, March 2012.</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43" w:name="519"/>
            <w:r w:rsidRPr="00302534">
              <w:rPr>
                <w:rFonts w:ascii="Arial" w:eastAsia="Times New Roman" w:hAnsi="Arial" w:cs="Arial"/>
                <w:color w:val="003399"/>
                <w:sz w:val="18"/>
                <w:szCs w:val="18"/>
              </w:rPr>
              <w:t> </w:t>
            </w:r>
            <w:bookmarkEnd w:id="43"/>
            <w:r w:rsidRPr="00302534">
              <w:rPr>
                <w:rFonts w:ascii="Arial" w:eastAsia="Times New Roman" w:hAnsi="Arial" w:cs="Arial"/>
                <w:color w:val="003399"/>
                <w:sz w:val="18"/>
                <w:szCs w:val="18"/>
              </w:rPr>
              <w:t>519:</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Krishna G, Moton A, Ma, L, et al. Effects of oral posaconazole on the pharmacokinetics of atazanavir alone and with ritonavir or with efavirenz in healthy adult volunteers. J Acquir Immune Defic Syndr 2009; 51: 437-444.</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44" w:name="551"/>
            <w:r w:rsidRPr="00302534">
              <w:rPr>
                <w:rFonts w:ascii="Arial" w:eastAsia="Times New Roman" w:hAnsi="Arial" w:cs="Arial"/>
                <w:color w:val="003399"/>
                <w:sz w:val="18"/>
                <w:szCs w:val="18"/>
              </w:rPr>
              <w:t> </w:t>
            </w:r>
            <w:bookmarkEnd w:id="44"/>
            <w:r w:rsidRPr="00302534">
              <w:rPr>
                <w:rFonts w:ascii="Arial" w:eastAsia="Times New Roman" w:hAnsi="Arial" w:cs="Arial"/>
                <w:color w:val="003399"/>
                <w:sz w:val="18"/>
                <w:szCs w:val="18"/>
              </w:rPr>
              <w:t>551:</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Colcrys [package insert]. Philadelphia, PA: URL Pharma, Inc., May 2010</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45" w:name="571"/>
            <w:r w:rsidRPr="00302534">
              <w:rPr>
                <w:rFonts w:ascii="Arial" w:eastAsia="Times New Roman" w:hAnsi="Arial" w:cs="Arial"/>
                <w:color w:val="003399"/>
                <w:sz w:val="18"/>
                <w:szCs w:val="18"/>
              </w:rPr>
              <w:t> </w:t>
            </w:r>
            <w:bookmarkEnd w:id="45"/>
            <w:r w:rsidRPr="00302534">
              <w:rPr>
                <w:rFonts w:ascii="Arial" w:eastAsia="Times New Roman" w:hAnsi="Arial" w:cs="Arial"/>
                <w:color w:val="003399"/>
                <w:sz w:val="18"/>
                <w:szCs w:val="18"/>
              </w:rPr>
              <w:t>571:</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Incivek [package insert]. Cambridge, MA: Vertex Pharmaceuticals Inc; May 2011.</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46" w:name="595"/>
            <w:r w:rsidRPr="00302534">
              <w:rPr>
                <w:rFonts w:ascii="Arial" w:eastAsia="Times New Roman" w:hAnsi="Arial" w:cs="Arial"/>
                <w:color w:val="003399"/>
                <w:sz w:val="18"/>
                <w:szCs w:val="18"/>
              </w:rPr>
              <w:t> </w:t>
            </w:r>
            <w:bookmarkEnd w:id="46"/>
            <w:r w:rsidRPr="00302534">
              <w:rPr>
                <w:rFonts w:ascii="Arial" w:eastAsia="Times New Roman" w:hAnsi="Arial" w:cs="Arial"/>
                <w:color w:val="003399"/>
                <w:sz w:val="18"/>
                <w:szCs w:val="18"/>
              </w:rPr>
              <w:t>595:</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Hulskotte E, Feng H-P, van Zutven M, et al. Pharmacokinetic interaction between the HCV protease inhibitor boceprevir and ritonavir boosted HIV-1 protease inhibitors atazanavir, lopinavir and darunavir [paper # 771LB}. 19th Conference on Retroviruses and Opportunistic Infections, March 5-8, 2012. Seattle, WA.</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47" w:name="605"/>
            <w:r w:rsidRPr="00302534">
              <w:rPr>
                <w:rFonts w:ascii="Arial" w:eastAsia="Times New Roman" w:hAnsi="Arial" w:cs="Arial"/>
                <w:color w:val="003399"/>
                <w:sz w:val="18"/>
                <w:szCs w:val="18"/>
              </w:rPr>
              <w:t> </w:t>
            </w:r>
            <w:bookmarkEnd w:id="47"/>
            <w:r w:rsidRPr="00302534">
              <w:rPr>
                <w:rFonts w:ascii="Arial" w:eastAsia="Times New Roman" w:hAnsi="Arial" w:cs="Arial"/>
                <w:color w:val="003399"/>
                <w:sz w:val="18"/>
                <w:szCs w:val="18"/>
              </w:rPr>
              <w:t>605:</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Livalo [package insert]. Montgomery, AL: Kowa Pharmaceuticals America, Inc.; Feb 2012.</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48" w:name="639"/>
            <w:r w:rsidRPr="00302534">
              <w:rPr>
                <w:rFonts w:ascii="Arial" w:eastAsia="Times New Roman" w:hAnsi="Arial" w:cs="Arial"/>
                <w:color w:val="003399"/>
                <w:sz w:val="18"/>
                <w:szCs w:val="18"/>
              </w:rPr>
              <w:t> </w:t>
            </w:r>
            <w:bookmarkEnd w:id="48"/>
            <w:r w:rsidRPr="00302534">
              <w:rPr>
                <w:rFonts w:ascii="Arial" w:eastAsia="Times New Roman" w:hAnsi="Arial" w:cs="Arial"/>
                <w:color w:val="003399"/>
                <w:sz w:val="18"/>
                <w:szCs w:val="18"/>
              </w:rPr>
              <w:t>639:</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DHHS. Guidelines for the use of antiretroviral agents in HIV-1 infected adults and adolescents. Feb 12, 2013.</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49" w:name="641"/>
            <w:r w:rsidRPr="00302534">
              <w:rPr>
                <w:rFonts w:ascii="Arial" w:eastAsia="Times New Roman" w:hAnsi="Arial" w:cs="Arial"/>
                <w:color w:val="003399"/>
                <w:sz w:val="18"/>
                <w:szCs w:val="18"/>
              </w:rPr>
              <w:t> </w:t>
            </w:r>
            <w:bookmarkEnd w:id="49"/>
            <w:r w:rsidRPr="00302534">
              <w:rPr>
                <w:rFonts w:ascii="Arial" w:eastAsia="Times New Roman" w:hAnsi="Arial" w:cs="Arial"/>
                <w:color w:val="003399"/>
                <w:sz w:val="18"/>
                <w:szCs w:val="18"/>
              </w:rPr>
              <w:t>641:</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Tivicay [package insert]. Research Triangle Park, NC: Viiv Healthcare; Sept 2013.</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50" w:name="645"/>
            <w:r w:rsidRPr="00302534">
              <w:rPr>
                <w:rFonts w:ascii="Arial" w:eastAsia="Times New Roman" w:hAnsi="Arial" w:cs="Arial"/>
                <w:color w:val="003399"/>
                <w:sz w:val="18"/>
                <w:szCs w:val="18"/>
              </w:rPr>
              <w:t> </w:t>
            </w:r>
            <w:bookmarkEnd w:id="50"/>
            <w:r w:rsidRPr="00302534">
              <w:rPr>
                <w:rFonts w:ascii="Arial" w:eastAsia="Times New Roman" w:hAnsi="Arial" w:cs="Arial"/>
                <w:color w:val="003399"/>
                <w:sz w:val="18"/>
                <w:szCs w:val="18"/>
              </w:rPr>
              <w:t>645:</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Ramanathan S, Wang H, Standell T, et al. Pharmacokinetics and drug interaction profile of cobicistat boosted EVG with atazanavir, rosuvastatin or rifabutin [abstract O-03]. 13th International Workshop on Clinical Pharmacology of HIV Therapy; April 16-18, 2012. Barcelona, Spain.</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51" w:name="651"/>
            <w:r w:rsidRPr="00302534">
              <w:rPr>
                <w:rFonts w:ascii="Arial" w:eastAsia="Times New Roman" w:hAnsi="Arial" w:cs="Arial"/>
                <w:color w:val="003399"/>
                <w:sz w:val="18"/>
                <w:szCs w:val="18"/>
              </w:rPr>
              <w:t> </w:t>
            </w:r>
            <w:bookmarkEnd w:id="51"/>
            <w:r w:rsidRPr="00302534">
              <w:rPr>
                <w:rFonts w:ascii="Arial" w:eastAsia="Times New Roman" w:hAnsi="Arial" w:cs="Arial"/>
                <w:color w:val="003399"/>
                <w:sz w:val="18"/>
                <w:szCs w:val="18"/>
              </w:rPr>
              <w:t>651:</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Mathias A, Ramanathan S, Hinkle J, West S, Enojosa J, Kearney B. Effect of atazanavir/r on the stady-state pharmacokinetics of elvitegravir [poster A-1417]. 47th Interscience Conference on Antimicrobial Agents and Chemotherapy Sept 17-20, 2007. Chicago, IL.</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52" w:name="699"/>
            <w:r w:rsidRPr="00302534">
              <w:rPr>
                <w:rFonts w:ascii="Arial" w:eastAsia="Times New Roman" w:hAnsi="Arial" w:cs="Arial"/>
                <w:color w:val="003399"/>
                <w:sz w:val="18"/>
                <w:szCs w:val="18"/>
              </w:rPr>
              <w:t> </w:t>
            </w:r>
            <w:bookmarkEnd w:id="52"/>
            <w:r w:rsidRPr="00302534">
              <w:rPr>
                <w:rFonts w:ascii="Arial" w:eastAsia="Times New Roman" w:hAnsi="Arial" w:cs="Arial"/>
                <w:color w:val="003399"/>
                <w:sz w:val="18"/>
                <w:szCs w:val="18"/>
              </w:rPr>
              <w:t>699:</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53" w:name="709"/>
            <w:r w:rsidRPr="00302534">
              <w:rPr>
                <w:rFonts w:ascii="Arial" w:eastAsia="Times New Roman" w:hAnsi="Arial" w:cs="Arial"/>
                <w:color w:val="003399"/>
                <w:sz w:val="18"/>
                <w:szCs w:val="18"/>
              </w:rPr>
              <w:t> </w:t>
            </w:r>
            <w:bookmarkEnd w:id="53"/>
            <w:r w:rsidRPr="00302534">
              <w:rPr>
                <w:rFonts w:ascii="Arial" w:eastAsia="Times New Roman" w:hAnsi="Arial" w:cs="Arial"/>
                <w:color w:val="003399"/>
                <w:sz w:val="18"/>
                <w:szCs w:val="18"/>
              </w:rPr>
              <w:t>709:</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54" w:name="713"/>
            <w:r w:rsidRPr="00302534">
              <w:rPr>
                <w:rFonts w:ascii="Arial" w:eastAsia="Times New Roman" w:hAnsi="Arial" w:cs="Arial"/>
                <w:color w:val="003399"/>
                <w:sz w:val="18"/>
                <w:szCs w:val="18"/>
              </w:rPr>
              <w:t> </w:t>
            </w:r>
            <w:bookmarkEnd w:id="54"/>
            <w:r w:rsidRPr="00302534">
              <w:rPr>
                <w:rFonts w:ascii="Arial" w:eastAsia="Times New Roman" w:hAnsi="Arial" w:cs="Arial"/>
                <w:color w:val="003399"/>
                <w:sz w:val="18"/>
                <w:szCs w:val="18"/>
              </w:rPr>
              <w:t>713:</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Harvoni [package insert]. Foster City,CA: Gilead Sciences; 2016.</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55" w:name="727"/>
            <w:r w:rsidRPr="00302534">
              <w:rPr>
                <w:rFonts w:ascii="Arial" w:eastAsia="Times New Roman" w:hAnsi="Arial" w:cs="Arial"/>
                <w:color w:val="003399"/>
                <w:sz w:val="18"/>
                <w:szCs w:val="18"/>
              </w:rPr>
              <w:t> </w:t>
            </w:r>
            <w:bookmarkEnd w:id="55"/>
            <w:r w:rsidRPr="00302534">
              <w:rPr>
                <w:rFonts w:ascii="Arial" w:eastAsia="Times New Roman" w:hAnsi="Arial" w:cs="Arial"/>
                <w:color w:val="003399"/>
                <w:sz w:val="18"/>
                <w:szCs w:val="18"/>
              </w:rPr>
              <w:t>727:</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56" w:name="733"/>
            <w:r w:rsidRPr="00302534">
              <w:rPr>
                <w:rFonts w:ascii="Arial" w:eastAsia="Times New Roman" w:hAnsi="Arial" w:cs="Arial"/>
                <w:color w:val="003399"/>
                <w:sz w:val="18"/>
                <w:szCs w:val="18"/>
              </w:rPr>
              <w:t> </w:t>
            </w:r>
            <w:bookmarkEnd w:id="56"/>
            <w:r w:rsidRPr="00302534">
              <w:rPr>
                <w:rFonts w:ascii="Arial" w:eastAsia="Times New Roman" w:hAnsi="Arial" w:cs="Arial"/>
                <w:color w:val="003399"/>
                <w:sz w:val="18"/>
                <w:szCs w:val="18"/>
              </w:rPr>
              <w:t>733:</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Unique Patient Populations: Patients with HIV/HCV Co-infection. HCV Guidance: Recommendations for Testing, Managing, and Treating Hepatitis C. American Association for the Study of Liver Diseases. Available at http://www.hcvguidelines.org/full-report/unique-patient-populations-patients-hivhcv-coinfection</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57" w:name="739"/>
            <w:r w:rsidRPr="00302534">
              <w:rPr>
                <w:rFonts w:ascii="Arial" w:eastAsia="Times New Roman" w:hAnsi="Arial" w:cs="Arial"/>
                <w:color w:val="003399"/>
                <w:sz w:val="18"/>
                <w:szCs w:val="18"/>
              </w:rPr>
              <w:lastRenderedPageBreak/>
              <w:t> </w:t>
            </w:r>
            <w:bookmarkEnd w:id="57"/>
            <w:r w:rsidRPr="00302534">
              <w:rPr>
                <w:rFonts w:ascii="Arial" w:eastAsia="Times New Roman" w:hAnsi="Arial" w:cs="Arial"/>
                <w:color w:val="003399"/>
                <w:sz w:val="18"/>
                <w:szCs w:val="18"/>
              </w:rPr>
              <w:t>739:</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Viagra [package insert]. Pfizer Inc, Mission, KS, 2016.</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58" w:name="743"/>
            <w:r w:rsidRPr="00302534">
              <w:rPr>
                <w:rFonts w:ascii="Arial" w:eastAsia="Times New Roman" w:hAnsi="Arial" w:cs="Arial"/>
                <w:color w:val="003399"/>
                <w:sz w:val="18"/>
                <w:szCs w:val="18"/>
              </w:rPr>
              <w:t> </w:t>
            </w:r>
            <w:bookmarkEnd w:id="58"/>
            <w:r w:rsidRPr="00302534">
              <w:rPr>
                <w:rFonts w:ascii="Arial" w:eastAsia="Times New Roman" w:hAnsi="Arial" w:cs="Arial"/>
                <w:color w:val="003399"/>
                <w:sz w:val="18"/>
                <w:szCs w:val="18"/>
              </w:rPr>
              <w:t>743:</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German P, Garrison K, Pang PS, et al. Drug-Drug Interactions Between Anti-HCV Regimen Ledipasvir/Sofosbuvir and Antiretrovirals. CROI 2015; February 23-26, Seattle, Washington. Abstract #82.</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59" w:name="749"/>
            <w:r w:rsidRPr="00302534">
              <w:rPr>
                <w:rFonts w:ascii="Arial" w:eastAsia="Times New Roman" w:hAnsi="Arial" w:cs="Arial"/>
                <w:color w:val="003399"/>
                <w:sz w:val="18"/>
                <w:szCs w:val="18"/>
              </w:rPr>
              <w:t> </w:t>
            </w:r>
            <w:bookmarkEnd w:id="59"/>
            <w:r w:rsidRPr="00302534">
              <w:rPr>
                <w:rFonts w:ascii="Arial" w:eastAsia="Times New Roman" w:hAnsi="Arial" w:cs="Arial"/>
                <w:color w:val="003399"/>
                <w:sz w:val="18"/>
                <w:szCs w:val="18"/>
              </w:rPr>
              <w:t>749:</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Bifano M, Hwang C, Oosterhuis B, et al. Assessment of pharmacokinetic interactions of the HCV NS5A replication complex inhibitor daclatasvir with antiretroviral agents: ritonavir-boosted atazanavir, efavirenz and tenofovir. Antivir Ther. 2013;18(7):931-40.</w:t>
            </w:r>
          </w:p>
        </w:tc>
      </w:tr>
      <w:tr w:rsidR="00302534" w:rsidRPr="00302534" w:rsidTr="00302534">
        <w:trPr>
          <w:tblCellSpacing w:w="15" w:type="dxa"/>
        </w:trPr>
        <w:tc>
          <w:tcPr>
            <w:tcW w:w="0" w:type="auto"/>
            <w:shd w:val="clear" w:color="auto" w:fill="FFFFFF"/>
            <w:hideMark/>
          </w:tcPr>
          <w:p w:rsidR="00302534" w:rsidRPr="00302534" w:rsidRDefault="00302534" w:rsidP="00302534">
            <w:pPr>
              <w:spacing w:after="0" w:line="240" w:lineRule="auto"/>
              <w:jc w:val="right"/>
              <w:rPr>
                <w:rFonts w:ascii="Arial" w:eastAsia="Times New Roman" w:hAnsi="Arial" w:cs="Arial"/>
                <w:color w:val="003399"/>
                <w:sz w:val="18"/>
                <w:szCs w:val="18"/>
              </w:rPr>
            </w:pPr>
            <w:bookmarkStart w:id="60" w:name="751"/>
            <w:r w:rsidRPr="00302534">
              <w:rPr>
                <w:rFonts w:ascii="Arial" w:eastAsia="Times New Roman" w:hAnsi="Arial" w:cs="Arial"/>
                <w:color w:val="003399"/>
                <w:sz w:val="18"/>
                <w:szCs w:val="18"/>
              </w:rPr>
              <w:t> </w:t>
            </w:r>
            <w:bookmarkEnd w:id="60"/>
            <w:r w:rsidRPr="00302534">
              <w:rPr>
                <w:rFonts w:ascii="Arial" w:eastAsia="Times New Roman" w:hAnsi="Arial" w:cs="Arial"/>
                <w:color w:val="003399"/>
                <w:sz w:val="18"/>
                <w:szCs w:val="18"/>
              </w:rPr>
              <w:t>751:</w:t>
            </w:r>
          </w:p>
        </w:tc>
        <w:tc>
          <w:tcPr>
            <w:tcW w:w="0" w:type="auto"/>
            <w:shd w:val="clear" w:color="auto" w:fill="FFFFFF"/>
            <w:vAlign w:val="center"/>
            <w:hideMark/>
          </w:tcPr>
          <w:p w:rsidR="00302534" w:rsidRPr="00302534" w:rsidRDefault="00302534" w:rsidP="00302534">
            <w:pPr>
              <w:spacing w:after="0" w:line="240" w:lineRule="auto"/>
              <w:rPr>
                <w:rFonts w:ascii="Arial" w:eastAsia="Times New Roman" w:hAnsi="Arial" w:cs="Arial"/>
                <w:color w:val="000000"/>
                <w:sz w:val="18"/>
                <w:szCs w:val="18"/>
              </w:rPr>
            </w:pPr>
            <w:r w:rsidRPr="00302534">
              <w:rPr>
                <w:rFonts w:ascii="Arial" w:eastAsia="Times New Roman" w:hAnsi="Arial" w:cs="Arial"/>
                <w:color w:val="000000"/>
                <w:sz w:val="18"/>
                <w:szCs w:val="18"/>
              </w:rPr>
              <w:t>Epclusa [package insert]. Foster City, CA: Gilead Sciences, 2016.</w:t>
            </w:r>
          </w:p>
        </w:tc>
      </w:tr>
    </w:tbl>
    <w:p w:rsidR="00244653" w:rsidRDefault="00244653">
      <w:bookmarkStart w:id="61" w:name="_GoBack"/>
      <w:bookmarkEnd w:id="61"/>
    </w:p>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34"/>
    <w:rsid w:val="00244653"/>
    <w:rsid w:val="002B2852"/>
    <w:rsid w:val="0030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201A2-241A-4FBA-BA83-BA00345C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025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rsec1">
    <w:name w:val="kbrsec1"/>
    <w:basedOn w:val="Normal"/>
    <w:rsid w:val="0030253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25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3025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534"/>
    <w:rPr>
      <w:color w:val="0000FF"/>
      <w:u w:val="single"/>
    </w:rPr>
  </w:style>
  <w:style w:type="character" w:styleId="FollowedHyperlink">
    <w:name w:val="FollowedHyperlink"/>
    <w:basedOn w:val="DefaultParagraphFont"/>
    <w:uiPriority w:val="99"/>
    <w:semiHidden/>
    <w:unhideWhenUsed/>
    <w:rsid w:val="00302534"/>
    <w:rPr>
      <w:color w:val="800080"/>
      <w:u w:val="single"/>
    </w:rPr>
  </w:style>
  <w:style w:type="character" w:customStyle="1" w:styleId="apple-converted-space">
    <w:name w:val="apple-converted-space"/>
    <w:basedOn w:val="DefaultParagraphFont"/>
    <w:rsid w:val="0030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778225">
      <w:bodyDiv w:val="1"/>
      <w:marLeft w:val="0"/>
      <w:marRight w:val="0"/>
      <w:marTop w:val="0"/>
      <w:marBottom w:val="0"/>
      <w:divBdr>
        <w:top w:val="none" w:sz="0" w:space="0" w:color="auto"/>
        <w:left w:val="none" w:sz="0" w:space="0" w:color="auto"/>
        <w:bottom w:val="none" w:sz="0" w:space="0" w:color="auto"/>
        <w:right w:val="none" w:sz="0" w:space="0" w:color="auto"/>
      </w:divBdr>
      <w:divsChild>
        <w:div w:id="1912931042">
          <w:marLeft w:val="0"/>
          <w:marRight w:val="0"/>
          <w:marTop w:val="0"/>
          <w:marBottom w:val="0"/>
          <w:divBdr>
            <w:top w:val="none" w:sz="0" w:space="0" w:color="auto"/>
            <w:left w:val="none" w:sz="0" w:space="0" w:color="auto"/>
            <w:bottom w:val="none" w:sz="0" w:space="0" w:color="auto"/>
            <w:right w:val="none" w:sz="0" w:space="0" w:color="auto"/>
          </w:divBdr>
        </w:div>
        <w:div w:id="308752062">
          <w:marLeft w:val="0"/>
          <w:marRight w:val="0"/>
          <w:marTop w:val="0"/>
          <w:marBottom w:val="0"/>
          <w:divBdr>
            <w:top w:val="none" w:sz="0" w:space="0" w:color="auto"/>
            <w:left w:val="none" w:sz="0" w:space="0" w:color="auto"/>
            <w:bottom w:val="none" w:sz="0" w:space="0" w:color="auto"/>
            <w:right w:val="none" w:sz="0" w:space="0" w:color="auto"/>
          </w:divBdr>
        </w:div>
        <w:div w:id="1355689855">
          <w:marLeft w:val="0"/>
          <w:marRight w:val="0"/>
          <w:marTop w:val="0"/>
          <w:marBottom w:val="0"/>
          <w:divBdr>
            <w:top w:val="none" w:sz="0" w:space="0" w:color="auto"/>
            <w:left w:val="none" w:sz="0" w:space="0" w:color="auto"/>
            <w:bottom w:val="none" w:sz="0" w:space="0" w:color="auto"/>
            <w:right w:val="none" w:sz="0" w:space="0" w:color="auto"/>
          </w:divBdr>
        </w:div>
        <w:div w:id="526790886">
          <w:marLeft w:val="0"/>
          <w:marRight w:val="0"/>
          <w:marTop w:val="0"/>
          <w:marBottom w:val="0"/>
          <w:divBdr>
            <w:top w:val="none" w:sz="0" w:space="0" w:color="auto"/>
            <w:left w:val="none" w:sz="0" w:space="0" w:color="auto"/>
            <w:bottom w:val="none" w:sz="0" w:space="0" w:color="auto"/>
            <w:right w:val="none" w:sz="0" w:space="0" w:color="auto"/>
          </w:divBdr>
        </w:div>
        <w:div w:id="2032798210">
          <w:marLeft w:val="0"/>
          <w:marRight w:val="0"/>
          <w:marTop w:val="0"/>
          <w:marBottom w:val="0"/>
          <w:divBdr>
            <w:top w:val="none" w:sz="0" w:space="0" w:color="auto"/>
            <w:left w:val="none" w:sz="0" w:space="0" w:color="auto"/>
            <w:bottom w:val="none" w:sz="0" w:space="0" w:color="auto"/>
            <w:right w:val="none" w:sz="0" w:space="0" w:color="auto"/>
          </w:divBdr>
        </w:div>
        <w:div w:id="1743596344">
          <w:marLeft w:val="0"/>
          <w:marRight w:val="0"/>
          <w:marTop w:val="0"/>
          <w:marBottom w:val="0"/>
          <w:divBdr>
            <w:top w:val="none" w:sz="0" w:space="0" w:color="auto"/>
            <w:left w:val="none" w:sz="0" w:space="0" w:color="auto"/>
            <w:bottom w:val="none" w:sz="0" w:space="0" w:color="auto"/>
            <w:right w:val="none" w:sz="0" w:space="0" w:color="auto"/>
          </w:divBdr>
        </w:div>
        <w:div w:id="574583038">
          <w:marLeft w:val="0"/>
          <w:marRight w:val="0"/>
          <w:marTop w:val="0"/>
          <w:marBottom w:val="0"/>
          <w:divBdr>
            <w:top w:val="none" w:sz="0" w:space="0" w:color="auto"/>
            <w:left w:val="none" w:sz="0" w:space="0" w:color="auto"/>
            <w:bottom w:val="none" w:sz="0" w:space="0" w:color="auto"/>
            <w:right w:val="none" w:sz="0" w:space="0" w:color="auto"/>
          </w:divBdr>
        </w:div>
        <w:div w:id="1875843479">
          <w:marLeft w:val="0"/>
          <w:marRight w:val="0"/>
          <w:marTop w:val="0"/>
          <w:marBottom w:val="0"/>
          <w:divBdr>
            <w:top w:val="none" w:sz="0" w:space="0" w:color="auto"/>
            <w:left w:val="none" w:sz="0" w:space="0" w:color="auto"/>
            <w:bottom w:val="none" w:sz="0" w:space="0" w:color="auto"/>
            <w:right w:val="none" w:sz="0" w:space="0" w:color="auto"/>
          </w:divBdr>
        </w:div>
        <w:div w:id="1208565152">
          <w:marLeft w:val="0"/>
          <w:marRight w:val="0"/>
          <w:marTop w:val="0"/>
          <w:marBottom w:val="0"/>
          <w:divBdr>
            <w:top w:val="none" w:sz="0" w:space="0" w:color="auto"/>
            <w:left w:val="none" w:sz="0" w:space="0" w:color="auto"/>
            <w:bottom w:val="none" w:sz="0" w:space="0" w:color="auto"/>
            <w:right w:val="none" w:sz="0" w:space="0" w:color="auto"/>
          </w:divBdr>
        </w:div>
        <w:div w:id="946499306">
          <w:marLeft w:val="0"/>
          <w:marRight w:val="0"/>
          <w:marTop w:val="0"/>
          <w:marBottom w:val="0"/>
          <w:divBdr>
            <w:top w:val="none" w:sz="0" w:space="0" w:color="auto"/>
            <w:left w:val="none" w:sz="0" w:space="0" w:color="auto"/>
            <w:bottom w:val="none" w:sz="0" w:space="0" w:color="auto"/>
            <w:right w:val="none" w:sz="0" w:space="0" w:color="auto"/>
          </w:divBdr>
        </w:div>
        <w:div w:id="613363167">
          <w:marLeft w:val="0"/>
          <w:marRight w:val="0"/>
          <w:marTop w:val="0"/>
          <w:marBottom w:val="0"/>
          <w:divBdr>
            <w:top w:val="none" w:sz="0" w:space="0" w:color="auto"/>
            <w:left w:val="none" w:sz="0" w:space="0" w:color="auto"/>
            <w:bottom w:val="none" w:sz="0" w:space="0" w:color="auto"/>
            <w:right w:val="none" w:sz="0" w:space="0" w:color="auto"/>
          </w:divBdr>
        </w:div>
        <w:div w:id="1412778725">
          <w:marLeft w:val="0"/>
          <w:marRight w:val="0"/>
          <w:marTop w:val="0"/>
          <w:marBottom w:val="0"/>
          <w:divBdr>
            <w:top w:val="none" w:sz="0" w:space="0" w:color="auto"/>
            <w:left w:val="none" w:sz="0" w:space="0" w:color="auto"/>
            <w:bottom w:val="none" w:sz="0" w:space="0" w:color="auto"/>
            <w:right w:val="none" w:sz="0" w:space="0" w:color="auto"/>
          </w:divBdr>
        </w:div>
        <w:div w:id="1404598247">
          <w:marLeft w:val="0"/>
          <w:marRight w:val="0"/>
          <w:marTop w:val="0"/>
          <w:marBottom w:val="0"/>
          <w:divBdr>
            <w:top w:val="none" w:sz="0" w:space="0" w:color="auto"/>
            <w:left w:val="none" w:sz="0" w:space="0" w:color="auto"/>
            <w:bottom w:val="none" w:sz="0" w:space="0" w:color="auto"/>
            <w:right w:val="none" w:sz="0" w:space="0" w:color="auto"/>
          </w:divBdr>
        </w:div>
        <w:div w:id="163251016">
          <w:marLeft w:val="0"/>
          <w:marRight w:val="0"/>
          <w:marTop w:val="0"/>
          <w:marBottom w:val="0"/>
          <w:divBdr>
            <w:top w:val="none" w:sz="0" w:space="0" w:color="auto"/>
            <w:left w:val="none" w:sz="0" w:space="0" w:color="auto"/>
            <w:bottom w:val="none" w:sz="0" w:space="0" w:color="auto"/>
            <w:right w:val="none" w:sz="0" w:space="0" w:color="auto"/>
          </w:divBdr>
        </w:div>
        <w:div w:id="2019698807">
          <w:marLeft w:val="0"/>
          <w:marRight w:val="0"/>
          <w:marTop w:val="0"/>
          <w:marBottom w:val="0"/>
          <w:divBdr>
            <w:top w:val="none" w:sz="0" w:space="0" w:color="auto"/>
            <w:left w:val="none" w:sz="0" w:space="0" w:color="auto"/>
            <w:bottom w:val="none" w:sz="0" w:space="0" w:color="auto"/>
            <w:right w:val="none" w:sz="0" w:space="0" w:color="auto"/>
          </w:divBdr>
        </w:div>
        <w:div w:id="1919055616">
          <w:marLeft w:val="0"/>
          <w:marRight w:val="0"/>
          <w:marTop w:val="0"/>
          <w:marBottom w:val="0"/>
          <w:divBdr>
            <w:top w:val="none" w:sz="0" w:space="0" w:color="auto"/>
            <w:left w:val="none" w:sz="0" w:space="0" w:color="auto"/>
            <w:bottom w:val="none" w:sz="0" w:space="0" w:color="auto"/>
            <w:right w:val="none" w:sz="0" w:space="0" w:color="auto"/>
          </w:divBdr>
        </w:div>
        <w:div w:id="2010405843">
          <w:marLeft w:val="0"/>
          <w:marRight w:val="0"/>
          <w:marTop w:val="0"/>
          <w:marBottom w:val="0"/>
          <w:divBdr>
            <w:top w:val="none" w:sz="0" w:space="0" w:color="auto"/>
            <w:left w:val="none" w:sz="0" w:space="0" w:color="auto"/>
            <w:bottom w:val="none" w:sz="0" w:space="0" w:color="auto"/>
            <w:right w:val="none" w:sz="0" w:space="0" w:color="auto"/>
          </w:divBdr>
        </w:div>
        <w:div w:id="1553152841">
          <w:marLeft w:val="0"/>
          <w:marRight w:val="0"/>
          <w:marTop w:val="0"/>
          <w:marBottom w:val="0"/>
          <w:divBdr>
            <w:top w:val="none" w:sz="0" w:space="0" w:color="auto"/>
            <w:left w:val="none" w:sz="0" w:space="0" w:color="auto"/>
            <w:bottom w:val="none" w:sz="0" w:space="0" w:color="auto"/>
            <w:right w:val="none" w:sz="0" w:space="0" w:color="auto"/>
          </w:divBdr>
        </w:div>
        <w:div w:id="2029063309">
          <w:marLeft w:val="0"/>
          <w:marRight w:val="0"/>
          <w:marTop w:val="0"/>
          <w:marBottom w:val="0"/>
          <w:divBdr>
            <w:top w:val="none" w:sz="0" w:space="0" w:color="auto"/>
            <w:left w:val="none" w:sz="0" w:space="0" w:color="auto"/>
            <w:bottom w:val="none" w:sz="0" w:space="0" w:color="auto"/>
            <w:right w:val="none" w:sz="0" w:space="0" w:color="auto"/>
          </w:divBdr>
        </w:div>
        <w:div w:id="346565322">
          <w:marLeft w:val="0"/>
          <w:marRight w:val="0"/>
          <w:marTop w:val="0"/>
          <w:marBottom w:val="0"/>
          <w:divBdr>
            <w:top w:val="none" w:sz="0" w:space="0" w:color="auto"/>
            <w:left w:val="none" w:sz="0" w:space="0" w:color="auto"/>
            <w:bottom w:val="none" w:sz="0" w:space="0" w:color="auto"/>
            <w:right w:val="none" w:sz="0" w:space="0" w:color="auto"/>
          </w:divBdr>
        </w:div>
        <w:div w:id="257838167">
          <w:marLeft w:val="0"/>
          <w:marRight w:val="0"/>
          <w:marTop w:val="0"/>
          <w:marBottom w:val="0"/>
          <w:divBdr>
            <w:top w:val="none" w:sz="0" w:space="0" w:color="auto"/>
            <w:left w:val="none" w:sz="0" w:space="0" w:color="auto"/>
            <w:bottom w:val="none" w:sz="0" w:space="0" w:color="auto"/>
            <w:right w:val="none" w:sz="0" w:space="0" w:color="auto"/>
          </w:divBdr>
        </w:div>
        <w:div w:id="1174807972">
          <w:marLeft w:val="0"/>
          <w:marRight w:val="0"/>
          <w:marTop w:val="0"/>
          <w:marBottom w:val="0"/>
          <w:divBdr>
            <w:top w:val="none" w:sz="0" w:space="0" w:color="auto"/>
            <w:left w:val="none" w:sz="0" w:space="0" w:color="auto"/>
            <w:bottom w:val="none" w:sz="0" w:space="0" w:color="auto"/>
            <w:right w:val="none" w:sz="0" w:space="0" w:color="auto"/>
          </w:divBdr>
        </w:div>
        <w:div w:id="625433048">
          <w:marLeft w:val="0"/>
          <w:marRight w:val="0"/>
          <w:marTop w:val="0"/>
          <w:marBottom w:val="0"/>
          <w:divBdr>
            <w:top w:val="none" w:sz="0" w:space="0" w:color="auto"/>
            <w:left w:val="none" w:sz="0" w:space="0" w:color="auto"/>
            <w:bottom w:val="none" w:sz="0" w:space="0" w:color="auto"/>
            <w:right w:val="none" w:sz="0" w:space="0" w:color="auto"/>
          </w:divBdr>
        </w:div>
        <w:div w:id="1435710495">
          <w:marLeft w:val="0"/>
          <w:marRight w:val="0"/>
          <w:marTop w:val="0"/>
          <w:marBottom w:val="0"/>
          <w:divBdr>
            <w:top w:val="none" w:sz="0" w:space="0" w:color="auto"/>
            <w:left w:val="none" w:sz="0" w:space="0" w:color="auto"/>
            <w:bottom w:val="none" w:sz="0" w:space="0" w:color="auto"/>
            <w:right w:val="none" w:sz="0" w:space="0" w:color="auto"/>
          </w:divBdr>
        </w:div>
        <w:div w:id="786656259">
          <w:marLeft w:val="0"/>
          <w:marRight w:val="0"/>
          <w:marTop w:val="0"/>
          <w:marBottom w:val="0"/>
          <w:divBdr>
            <w:top w:val="none" w:sz="0" w:space="0" w:color="auto"/>
            <w:left w:val="none" w:sz="0" w:space="0" w:color="auto"/>
            <w:bottom w:val="none" w:sz="0" w:space="0" w:color="auto"/>
            <w:right w:val="none" w:sz="0" w:space="0" w:color="auto"/>
          </w:divBdr>
        </w:div>
        <w:div w:id="1296252577">
          <w:marLeft w:val="0"/>
          <w:marRight w:val="0"/>
          <w:marTop w:val="0"/>
          <w:marBottom w:val="0"/>
          <w:divBdr>
            <w:top w:val="none" w:sz="0" w:space="0" w:color="auto"/>
            <w:left w:val="none" w:sz="0" w:space="0" w:color="auto"/>
            <w:bottom w:val="none" w:sz="0" w:space="0" w:color="auto"/>
            <w:right w:val="none" w:sz="0" w:space="0" w:color="auto"/>
          </w:divBdr>
        </w:div>
        <w:div w:id="837305931">
          <w:marLeft w:val="0"/>
          <w:marRight w:val="0"/>
          <w:marTop w:val="0"/>
          <w:marBottom w:val="0"/>
          <w:divBdr>
            <w:top w:val="none" w:sz="0" w:space="0" w:color="auto"/>
            <w:left w:val="none" w:sz="0" w:space="0" w:color="auto"/>
            <w:bottom w:val="none" w:sz="0" w:space="0" w:color="auto"/>
            <w:right w:val="none" w:sz="0" w:space="0" w:color="auto"/>
          </w:divBdr>
        </w:div>
        <w:div w:id="1503087512">
          <w:marLeft w:val="0"/>
          <w:marRight w:val="0"/>
          <w:marTop w:val="0"/>
          <w:marBottom w:val="0"/>
          <w:divBdr>
            <w:top w:val="none" w:sz="0" w:space="0" w:color="auto"/>
            <w:left w:val="none" w:sz="0" w:space="0" w:color="auto"/>
            <w:bottom w:val="none" w:sz="0" w:space="0" w:color="auto"/>
            <w:right w:val="none" w:sz="0" w:space="0" w:color="auto"/>
          </w:divBdr>
        </w:div>
        <w:div w:id="337193889">
          <w:marLeft w:val="0"/>
          <w:marRight w:val="0"/>
          <w:marTop w:val="0"/>
          <w:marBottom w:val="0"/>
          <w:divBdr>
            <w:top w:val="none" w:sz="0" w:space="0" w:color="auto"/>
            <w:left w:val="none" w:sz="0" w:space="0" w:color="auto"/>
            <w:bottom w:val="none" w:sz="0" w:space="0" w:color="auto"/>
            <w:right w:val="none" w:sz="0" w:space="0" w:color="auto"/>
          </w:divBdr>
        </w:div>
        <w:div w:id="1639186559">
          <w:marLeft w:val="0"/>
          <w:marRight w:val="0"/>
          <w:marTop w:val="0"/>
          <w:marBottom w:val="0"/>
          <w:divBdr>
            <w:top w:val="none" w:sz="0" w:space="0" w:color="auto"/>
            <w:left w:val="none" w:sz="0" w:space="0" w:color="auto"/>
            <w:bottom w:val="none" w:sz="0" w:space="0" w:color="auto"/>
            <w:right w:val="none" w:sz="0" w:space="0" w:color="auto"/>
          </w:divBdr>
        </w:div>
        <w:div w:id="523054542">
          <w:marLeft w:val="0"/>
          <w:marRight w:val="0"/>
          <w:marTop w:val="0"/>
          <w:marBottom w:val="0"/>
          <w:divBdr>
            <w:top w:val="none" w:sz="0" w:space="0" w:color="auto"/>
            <w:left w:val="none" w:sz="0" w:space="0" w:color="auto"/>
            <w:bottom w:val="none" w:sz="0" w:space="0" w:color="auto"/>
            <w:right w:val="none" w:sz="0" w:space="0" w:color="auto"/>
          </w:divBdr>
        </w:div>
        <w:div w:id="1423991205">
          <w:marLeft w:val="0"/>
          <w:marRight w:val="0"/>
          <w:marTop w:val="0"/>
          <w:marBottom w:val="0"/>
          <w:divBdr>
            <w:top w:val="none" w:sz="0" w:space="0" w:color="auto"/>
            <w:left w:val="none" w:sz="0" w:space="0" w:color="auto"/>
            <w:bottom w:val="none" w:sz="0" w:space="0" w:color="auto"/>
            <w:right w:val="none" w:sz="0" w:space="0" w:color="auto"/>
          </w:divBdr>
        </w:div>
        <w:div w:id="658578859">
          <w:marLeft w:val="0"/>
          <w:marRight w:val="0"/>
          <w:marTop w:val="0"/>
          <w:marBottom w:val="0"/>
          <w:divBdr>
            <w:top w:val="none" w:sz="0" w:space="0" w:color="auto"/>
            <w:left w:val="none" w:sz="0" w:space="0" w:color="auto"/>
            <w:bottom w:val="none" w:sz="0" w:space="0" w:color="auto"/>
            <w:right w:val="none" w:sz="0" w:space="0" w:color="auto"/>
          </w:divBdr>
        </w:div>
        <w:div w:id="1288775330">
          <w:marLeft w:val="0"/>
          <w:marRight w:val="0"/>
          <w:marTop w:val="0"/>
          <w:marBottom w:val="0"/>
          <w:divBdr>
            <w:top w:val="none" w:sz="0" w:space="0" w:color="auto"/>
            <w:left w:val="none" w:sz="0" w:space="0" w:color="auto"/>
            <w:bottom w:val="none" w:sz="0" w:space="0" w:color="auto"/>
            <w:right w:val="none" w:sz="0" w:space="0" w:color="auto"/>
          </w:divBdr>
        </w:div>
        <w:div w:id="659500970">
          <w:marLeft w:val="0"/>
          <w:marRight w:val="0"/>
          <w:marTop w:val="0"/>
          <w:marBottom w:val="0"/>
          <w:divBdr>
            <w:top w:val="none" w:sz="0" w:space="0" w:color="auto"/>
            <w:left w:val="none" w:sz="0" w:space="0" w:color="auto"/>
            <w:bottom w:val="none" w:sz="0" w:space="0" w:color="auto"/>
            <w:right w:val="none" w:sz="0" w:space="0" w:color="auto"/>
          </w:divBdr>
        </w:div>
        <w:div w:id="556281662">
          <w:marLeft w:val="0"/>
          <w:marRight w:val="0"/>
          <w:marTop w:val="0"/>
          <w:marBottom w:val="0"/>
          <w:divBdr>
            <w:top w:val="none" w:sz="0" w:space="0" w:color="auto"/>
            <w:left w:val="none" w:sz="0" w:space="0" w:color="auto"/>
            <w:bottom w:val="none" w:sz="0" w:space="0" w:color="auto"/>
            <w:right w:val="none" w:sz="0" w:space="0" w:color="auto"/>
          </w:divBdr>
        </w:div>
        <w:div w:id="1700081680">
          <w:marLeft w:val="0"/>
          <w:marRight w:val="0"/>
          <w:marTop w:val="0"/>
          <w:marBottom w:val="0"/>
          <w:divBdr>
            <w:top w:val="none" w:sz="0" w:space="0" w:color="auto"/>
            <w:left w:val="none" w:sz="0" w:space="0" w:color="auto"/>
            <w:bottom w:val="none" w:sz="0" w:space="0" w:color="auto"/>
            <w:right w:val="none" w:sz="0" w:space="0" w:color="auto"/>
          </w:divBdr>
        </w:div>
        <w:div w:id="1558973113">
          <w:marLeft w:val="0"/>
          <w:marRight w:val="0"/>
          <w:marTop w:val="0"/>
          <w:marBottom w:val="0"/>
          <w:divBdr>
            <w:top w:val="none" w:sz="0" w:space="0" w:color="auto"/>
            <w:left w:val="none" w:sz="0" w:space="0" w:color="auto"/>
            <w:bottom w:val="none" w:sz="0" w:space="0" w:color="auto"/>
            <w:right w:val="none" w:sz="0" w:space="0" w:color="auto"/>
          </w:divBdr>
        </w:div>
        <w:div w:id="1493063088">
          <w:marLeft w:val="0"/>
          <w:marRight w:val="0"/>
          <w:marTop w:val="0"/>
          <w:marBottom w:val="0"/>
          <w:divBdr>
            <w:top w:val="none" w:sz="0" w:space="0" w:color="auto"/>
            <w:left w:val="none" w:sz="0" w:space="0" w:color="auto"/>
            <w:bottom w:val="none" w:sz="0" w:space="0" w:color="auto"/>
            <w:right w:val="none" w:sz="0" w:space="0" w:color="auto"/>
          </w:divBdr>
        </w:div>
        <w:div w:id="1787045447">
          <w:marLeft w:val="0"/>
          <w:marRight w:val="0"/>
          <w:marTop w:val="0"/>
          <w:marBottom w:val="0"/>
          <w:divBdr>
            <w:top w:val="none" w:sz="0" w:space="0" w:color="auto"/>
            <w:left w:val="none" w:sz="0" w:space="0" w:color="auto"/>
            <w:bottom w:val="none" w:sz="0" w:space="0" w:color="auto"/>
            <w:right w:val="none" w:sz="0" w:space="0" w:color="auto"/>
          </w:divBdr>
        </w:div>
        <w:div w:id="1928266206">
          <w:marLeft w:val="0"/>
          <w:marRight w:val="0"/>
          <w:marTop w:val="0"/>
          <w:marBottom w:val="0"/>
          <w:divBdr>
            <w:top w:val="none" w:sz="0" w:space="0" w:color="auto"/>
            <w:left w:val="none" w:sz="0" w:space="0" w:color="auto"/>
            <w:bottom w:val="none" w:sz="0" w:space="0" w:color="auto"/>
            <w:right w:val="none" w:sz="0" w:space="0" w:color="auto"/>
          </w:divBdr>
        </w:div>
        <w:div w:id="719476769">
          <w:marLeft w:val="0"/>
          <w:marRight w:val="0"/>
          <w:marTop w:val="0"/>
          <w:marBottom w:val="0"/>
          <w:divBdr>
            <w:top w:val="none" w:sz="0" w:space="0" w:color="auto"/>
            <w:left w:val="none" w:sz="0" w:space="0" w:color="auto"/>
            <w:bottom w:val="none" w:sz="0" w:space="0" w:color="auto"/>
            <w:right w:val="none" w:sz="0" w:space="0" w:color="auto"/>
          </w:divBdr>
        </w:div>
        <w:div w:id="453794073">
          <w:marLeft w:val="0"/>
          <w:marRight w:val="0"/>
          <w:marTop w:val="0"/>
          <w:marBottom w:val="0"/>
          <w:divBdr>
            <w:top w:val="none" w:sz="0" w:space="0" w:color="auto"/>
            <w:left w:val="none" w:sz="0" w:space="0" w:color="auto"/>
            <w:bottom w:val="none" w:sz="0" w:space="0" w:color="auto"/>
            <w:right w:val="none" w:sz="0" w:space="0" w:color="auto"/>
          </w:divBdr>
        </w:div>
        <w:div w:id="899903213">
          <w:marLeft w:val="0"/>
          <w:marRight w:val="0"/>
          <w:marTop w:val="0"/>
          <w:marBottom w:val="0"/>
          <w:divBdr>
            <w:top w:val="none" w:sz="0" w:space="0" w:color="auto"/>
            <w:left w:val="none" w:sz="0" w:space="0" w:color="auto"/>
            <w:bottom w:val="none" w:sz="0" w:space="0" w:color="auto"/>
            <w:right w:val="none" w:sz="0" w:space="0" w:color="auto"/>
          </w:divBdr>
        </w:div>
        <w:div w:id="522942855">
          <w:marLeft w:val="0"/>
          <w:marRight w:val="0"/>
          <w:marTop w:val="0"/>
          <w:marBottom w:val="0"/>
          <w:divBdr>
            <w:top w:val="none" w:sz="0" w:space="0" w:color="auto"/>
            <w:left w:val="none" w:sz="0" w:space="0" w:color="auto"/>
            <w:bottom w:val="none" w:sz="0" w:space="0" w:color="auto"/>
            <w:right w:val="none" w:sz="0" w:space="0" w:color="auto"/>
          </w:divBdr>
        </w:div>
        <w:div w:id="1534490882">
          <w:marLeft w:val="0"/>
          <w:marRight w:val="0"/>
          <w:marTop w:val="0"/>
          <w:marBottom w:val="0"/>
          <w:divBdr>
            <w:top w:val="none" w:sz="0" w:space="0" w:color="auto"/>
            <w:left w:val="none" w:sz="0" w:space="0" w:color="auto"/>
            <w:bottom w:val="none" w:sz="0" w:space="0" w:color="auto"/>
            <w:right w:val="none" w:sz="0" w:space="0" w:color="auto"/>
          </w:divBdr>
        </w:div>
        <w:div w:id="2119136079">
          <w:marLeft w:val="0"/>
          <w:marRight w:val="0"/>
          <w:marTop w:val="0"/>
          <w:marBottom w:val="0"/>
          <w:divBdr>
            <w:top w:val="none" w:sz="0" w:space="0" w:color="auto"/>
            <w:left w:val="none" w:sz="0" w:space="0" w:color="auto"/>
            <w:bottom w:val="none" w:sz="0" w:space="0" w:color="auto"/>
            <w:right w:val="none" w:sz="0" w:space="0" w:color="auto"/>
          </w:divBdr>
        </w:div>
        <w:div w:id="1026102682">
          <w:marLeft w:val="0"/>
          <w:marRight w:val="0"/>
          <w:marTop w:val="0"/>
          <w:marBottom w:val="0"/>
          <w:divBdr>
            <w:top w:val="none" w:sz="0" w:space="0" w:color="auto"/>
            <w:left w:val="none" w:sz="0" w:space="0" w:color="auto"/>
            <w:bottom w:val="none" w:sz="0" w:space="0" w:color="auto"/>
            <w:right w:val="none" w:sz="0" w:space="0" w:color="auto"/>
          </w:divBdr>
        </w:div>
        <w:div w:id="991565024">
          <w:marLeft w:val="0"/>
          <w:marRight w:val="0"/>
          <w:marTop w:val="0"/>
          <w:marBottom w:val="0"/>
          <w:divBdr>
            <w:top w:val="none" w:sz="0" w:space="0" w:color="auto"/>
            <w:left w:val="none" w:sz="0" w:space="0" w:color="auto"/>
            <w:bottom w:val="none" w:sz="0" w:space="0" w:color="auto"/>
            <w:right w:val="none" w:sz="0" w:space="0" w:color="auto"/>
          </w:divBdr>
        </w:div>
        <w:div w:id="1825048675">
          <w:marLeft w:val="0"/>
          <w:marRight w:val="0"/>
          <w:marTop w:val="0"/>
          <w:marBottom w:val="0"/>
          <w:divBdr>
            <w:top w:val="none" w:sz="0" w:space="0" w:color="auto"/>
            <w:left w:val="none" w:sz="0" w:space="0" w:color="auto"/>
            <w:bottom w:val="none" w:sz="0" w:space="0" w:color="auto"/>
            <w:right w:val="none" w:sz="0" w:space="0" w:color="auto"/>
          </w:divBdr>
        </w:div>
        <w:div w:id="1359162441">
          <w:marLeft w:val="0"/>
          <w:marRight w:val="0"/>
          <w:marTop w:val="0"/>
          <w:marBottom w:val="0"/>
          <w:divBdr>
            <w:top w:val="none" w:sz="0" w:space="0" w:color="auto"/>
            <w:left w:val="none" w:sz="0" w:space="0" w:color="auto"/>
            <w:bottom w:val="none" w:sz="0" w:space="0" w:color="auto"/>
            <w:right w:val="none" w:sz="0" w:space="0" w:color="auto"/>
          </w:divBdr>
        </w:div>
        <w:div w:id="105274251">
          <w:marLeft w:val="0"/>
          <w:marRight w:val="0"/>
          <w:marTop w:val="0"/>
          <w:marBottom w:val="0"/>
          <w:divBdr>
            <w:top w:val="none" w:sz="0" w:space="0" w:color="auto"/>
            <w:left w:val="none" w:sz="0" w:space="0" w:color="auto"/>
            <w:bottom w:val="none" w:sz="0" w:space="0" w:color="auto"/>
            <w:right w:val="none" w:sz="0" w:space="0" w:color="auto"/>
          </w:divBdr>
        </w:div>
        <w:div w:id="262421156">
          <w:marLeft w:val="0"/>
          <w:marRight w:val="0"/>
          <w:marTop w:val="0"/>
          <w:marBottom w:val="0"/>
          <w:divBdr>
            <w:top w:val="none" w:sz="0" w:space="0" w:color="auto"/>
            <w:left w:val="none" w:sz="0" w:space="0" w:color="auto"/>
            <w:bottom w:val="none" w:sz="0" w:space="0" w:color="auto"/>
            <w:right w:val="none" w:sz="0" w:space="0" w:color="auto"/>
          </w:divBdr>
        </w:div>
        <w:div w:id="1104885026">
          <w:marLeft w:val="0"/>
          <w:marRight w:val="0"/>
          <w:marTop w:val="0"/>
          <w:marBottom w:val="0"/>
          <w:divBdr>
            <w:top w:val="none" w:sz="0" w:space="0" w:color="auto"/>
            <w:left w:val="none" w:sz="0" w:space="0" w:color="auto"/>
            <w:bottom w:val="none" w:sz="0" w:space="0" w:color="auto"/>
            <w:right w:val="none" w:sz="0" w:space="0" w:color="auto"/>
          </w:divBdr>
        </w:div>
        <w:div w:id="1915626788">
          <w:marLeft w:val="0"/>
          <w:marRight w:val="0"/>
          <w:marTop w:val="0"/>
          <w:marBottom w:val="0"/>
          <w:divBdr>
            <w:top w:val="none" w:sz="0" w:space="0" w:color="auto"/>
            <w:left w:val="none" w:sz="0" w:space="0" w:color="auto"/>
            <w:bottom w:val="none" w:sz="0" w:space="0" w:color="auto"/>
            <w:right w:val="none" w:sz="0" w:space="0" w:color="auto"/>
          </w:divBdr>
        </w:div>
        <w:div w:id="1918976308">
          <w:marLeft w:val="0"/>
          <w:marRight w:val="0"/>
          <w:marTop w:val="0"/>
          <w:marBottom w:val="0"/>
          <w:divBdr>
            <w:top w:val="none" w:sz="0" w:space="0" w:color="auto"/>
            <w:left w:val="none" w:sz="0" w:space="0" w:color="auto"/>
            <w:bottom w:val="none" w:sz="0" w:space="0" w:color="auto"/>
            <w:right w:val="none" w:sz="0" w:space="0" w:color="auto"/>
          </w:divBdr>
        </w:div>
        <w:div w:id="373501143">
          <w:marLeft w:val="0"/>
          <w:marRight w:val="0"/>
          <w:marTop w:val="0"/>
          <w:marBottom w:val="0"/>
          <w:divBdr>
            <w:top w:val="none" w:sz="0" w:space="0" w:color="auto"/>
            <w:left w:val="none" w:sz="0" w:space="0" w:color="auto"/>
            <w:bottom w:val="none" w:sz="0" w:space="0" w:color="auto"/>
            <w:right w:val="none" w:sz="0" w:space="0" w:color="auto"/>
          </w:divBdr>
        </w:div>
        <w:div w:id="951476741">
          <w:marLeft w:val="0"/>
          <w:marRight w:val="0"/>
          <w:marTop w:val="0"/>
          <w:marBottom w:val="0"/>
          <w:divBdr>
            <w:top w:val="none" w:sz="0" w:space="0" w:color="auto"/>
            <w:left w:val="none" w:sz="0" w:space="0" w:color="auto"/>
            <w:bottom w:val="none" w:sz="0" w:space="0" w:color="auto"/>
            <w:right w:val="none" w:sz="0" w:space="0" w:color="auto"/>
          </w:divBdr>
        </w:div>
        <w:div w:id="2021155602">
          <w:marLeft w:val="0"/>
          <w:marRight w:val="0"/>
          <w:marTop w:val="0"/>
          <w:marBottom w:val="0"/>
          <w:divBdr>
            <w:top w:val="none" w:sz="0" w:space="0" w:color="auto"/>
            <w:left w:val="none" w:sz="0" w:space="0" w:color="auto"/>
            <w:bottom w:val="none" w:sz="0" w:space="0" w:color="auto"/>
            <w:right w:val="none" w:sz="0" w:space="0" w:color="auto"/>
          </w:divBdr>
        </w:div>
        <w:div w:id="1399404363">
          <w:marLeft w:val="0"/>
          <w:marRight w:val="0"/>
          <w:marTop w:val="0"/>
          <w:marBottom w:val="0"/>
          <w:divBdr>
            <w:top w:val="none" w:sz="0" w:space="0" w:color="auto"/>
            <w:left w:val="none" w:sz="0" w:space="0" w:color="auto"/>
            <w:bottom w:val="none" w:sz="0" w:space="0" w:color="auto"/>
            <w:right w:val="none" w:sz="0" w:space="0" w:color="auto"/>
          </w:divBdr>
        </w:div>
        <w:div w:id="1151483183">
          <w:marLeft w:val="0"/>
          <w:marRight w:val="0"/>
          <w:marTop w:val="0"/>
          <w:marBottom w:val="0"/>
          <w:divBdr>
            <w:top w:val="none" w:sz="0" w:space="0" w:color="auto"/>
            <w:left w:val="none" w:sz="0" w:space="0" w:color="auto"/>
            <w:bottom w:val="none" w:sz="0" w:space="0" w:color="auto"/>
            <w:right w:val="none" w:sz="0" w:space="0" w:color="auto"/>
          </w:divBdr>
        </w:div>
        <w:div w:id="1315840795">
          <w:marLeft w:val="0"/>
          <w:marRight w:val="0"/>
          <w:marTop w:val="0"/>
          <w:marBottom w:val="0"/>
          <w:divBdr>
            <w:top w:val="none" w:sz="0" w:space="0" w:color="auto"/>
            <w:left w:val="none" w:sz="0" w:space="0" w:color="auto"/>
            <w:bottom w:val="none" w:sz="0" w:space="0" w:color="auto"/>
            <w:right w:val="none" w:sz="0" w:space="0" w:color="auto"/>
          </w:divBdr>
        </w:div>
        <w:div w:id="1514342885">
          <w:marLeft w:val="0"/>
          <w:marRight w:val="0"/>
          <w:marTop w:val="0"/>
          <w:marBottom w:val="0"/>
          <w:divBdr>
            <w:top w:val="none" w:sz="0" w:space="0" w:color="auto"/>
            <w:left w:val="none" w:sz="0" w:space="0" w:color="auto"/>
            <w:bottom w:val="none" w:sz="0" w:space="0" w:color="auto"/>
            <w:right w:val="none" w:sz="0" w:space="0" w:color="auto"/>
          </w:divBdr>
        </w:div>
        <w:div w:id="332145726">
          <w:marLeft w:val="0"/>
          <w:marRight w:val="0"/>
          <w:marTop w:val="0"/>
          <w:marBottom w:val="0"/>
          <w:divBdr>
            <w:top w:val="none" w:sz="0" w:space="0" w:color="auto"/>
            <w:left w:val="none" w:sz="0" w:space="0" w:color="auto"/>
            <w:bottom w:val="none" w:sz="0" w:space="0" w:color="auto"/>
            <w:right w:val="none" w:sz="0" w:space="0" w:color="auto"/>
          </w:divBdr>
        </w:div>
        <w:div w:id="1680544180">
          <w:marLeft w:val="0"/>
          <w:marRight w:val="0"/>
          <w:marTop w:val="0"/>
          <w:marBottom w:val="0"/>
          <w:divBdr>
            <w:top w:val="none" w:sz="0" w:space="0" w:color="auto"/>
            <w:left w:val="none" w:sz="0" w:space="0" w:color="auto"/>
            <w:bottom w:val="none" w:sz="0" w:space="0" w:color="auto"/>
            <w:right w:val="none" w:sz="0" w:space="0" w:color="auto"/>
          </w:divBdr>
        </w:div>
        <w:div w:id="847717667">
          <w:marLeft w:val="0"/>
          <w:marRight w:val="0"/>
          <w:marTop w:val="0"/>
          <w:marBottom w:val="0"/>
          <w:divBdr>
            <w:top w:val="none" w:sz="0" w:space="0" w:color="auto"/>
            <w:left w:val="none" w:sz="0" w:space="0" w:color="auto"/>
            <w:bottom w:val="none" w:sz="0" w:space="0" w:color="auto"/>
            <w:right w:val="none" w:sz="0" w:space="0" w:color="auto"/>
          </w:divBdr>
        </w:div>
        <w:div w:id="801508693">
          <w:marLeft w:val="0"/>
          <w:marRight w:val="0"/>
          <w:marTop w:val="0"/>
          <w:marBottom w:val="0"/>
          <w:divBdr>
            <w:top w:val="none" w:sz="0" w:space="0" w:color="auto"/>
            <w:left w:val="none" w:sz="0" w:space="0" w:color="auto"/>
            <w:bottom w:val="none" w:sz="0" w:space="0" w:color="auto"/>
            <w:right w:val="none" w:sz="0" w:space="0" w:color="auto"/>
          </w:divBdr>
        </w:div>
        <w:div w:id="1903901665">
          <w:marLeft w:val="0"/>
          <w:marRight w:val="0"/>
          <w:marTop w:val="0"/>
          <w:marBottom w:val="0"/>
          <w:divBdr>
            <w:top w:val="none" w:sz="0" w:space="0" w:color="auto"/>
            <w:left w:val="none" w:sz="0" w:space="0" w:color="auto"/>
            <w:bottom w:val="none" w:sz="0" w:space="0" w:color="auto"/>
            <w:right w:val="none" w:sz="0" w:space="0" w:color="auto"/>
          </w:divBdr>
        </w:div>
        <w:div w:id="1058669790">
          <w:marLeft w:val="0"/>
          <w:marRight w:val="0"/>
          <w:marTop w:val="0"/>
          <w:marBottom w:val="0"/>
          <w:divBdr>
            <w:top w:val="none" w:sz="0" w:space="0" w:color="auto"/>
            <w:left w:val="none" w:sz="0" w:space="0" w:color="auto"/>
            <w:bottom w:val="none" w:sz="0" w:space="0" w:color="auto"/>
            <w:right w:val="none" w:sz="0" w:space="0" w:color="auto"/>
          </w:divBdr>
        </w:div>
        <w:div w:id="822625767">
          <w:marLeft w:val="0"/>
          <w:marRight w:val="0"/>
          <w:marTop w:val="0"/>
          <w:marBottom w:val="0"/>
          <w:divBdr>
            <w:top w:val="none" w:sz="0" w:space="0" w:color="auto"/>
            <w:left w:val="none" w:sz="0" w:space="0" w:color="auto"/>
            <w:bottom w:val="none" w:sz="0" w:space="0" w:color="auto"/>
            <w:right w:val="none" w:sz="0" w:space="0" w:color="auto"/>
          </w:divBdr>
        </w:div>
        <w:div w:id="1330517894">
          <w:marLeft w:val="0"/>
          <w:marRight w:val="0"/>
          <w:marTop w:val="0"/>
          <w:marBottom w:val="0"/>
          <w:divBdr>
            <w:top w:val="none" w:sz="0" w:space="0" w:color="auto"/>
            <w:left w:val="none" w:sz="0" w:space="0" w:color="auto"/>
            <w:bottom w:val="none" w:sz="0" w:space="0" w:color="auto"/>
            <w:right w:val="none" w:sz="0" w:space="0" w:color="auto"/>
          </w:divBdr>
        </w:div>
        <w:div w:id="33509204">
          <w:marLeft w:val="0"/>
          <w:marRight w:val="0"/>
          <w:marTop w:val="0"/>
          <w:marBottom w:val="0"/>
          <w:divBdr>
            <w:top w:val="none" w:sz="0" w:space="0" w:color="auto"/>
            <w:left w:val="none" w:sz="0" w:space="0" w:color="auto"/>
            <w:bottom w:val="none" w:sz="0" w:space="0" w:color="auto"/>
            <w:right w:val="none" w:sz="0" w:space="0" w:color="auto"/>
          </w:divBdr>
        </w:div>
        <w:div w:id="1828666214">
          <w:marLeft w:val="0"/>
          <w:marRight w:val="0"/>
          <w:marTop w:val="0"/>
          <w:marBottom w:val="0"/>
          <w:divBdr>
            <w:top w:val="none" w:sz="0" w:space="0" w:color="auto"/>
            <w:left w:val="none" w:sz="0" w:space="0" w:color="auto"/>
            <w:bottom w:val="none" w:sz="0" w:space="0" w:color="auto"/>
            <w:right w:val="none" w:sz="0" w:space="0" w:color="auto"/>
          </w:divBdr>
        </w:div>
        <w:div w:id="1682733243">
          <w:marLeft w:val="0"/>
          <w:marRight w:val="0"/>
          <w:marTop w:val="0"/>
          <w:marBottom w:val="0"/>
          <w:divBdr>
            <w:top w:val="none" w:sz="0" w:space="0" w:color="auto"/>
            <w:left w:val="none" w:sz="0" w:space="0" w:color="auto"/>
            <w:bottom w:val="none" w:sz="0" w:space="0" w:color="auto"/>
            <w:right w:val="none" w:sz="0" w:space="0" w:color="auto"/>
          </w:divBdr>
        </w:div>
        <w:div w:id="984775353">
          <w:marLeft w:val="0"/>
          <w:marRight w:val="0"/>
          <w:marTop w:val="0"/>
          <w:marBottom w:val="0"/>
          <w:divBdr>
            <w:top w:val="none" w:sz="0" w:space="0" w:color="auto"/>
            <w:left w:val="none" w:sz="0" w:space="0" w:color="auto"/>
            <w:bottom w:val="none" w:sz="0" w:space="0" w:color="auto"/>
            <w:right w:val="none" w:sz="0" w:space="0" w:color="auto"/>
          </w:divBdr>
        </w:div>
        <w:div w:id="733284381">
          <w:marLeft w:val="0"/>
          <w:marRight w:val="0"/>
          <w:marTop w:val="0"/>
          <w:marBottom w:val="0"/>
          <w:divBdr>
            <w:top w:val="none" w:sz="0" w:space="0" w:color="auto"/>
            <w:left w:val="none" w:sz="0" w:space="0" w:color="auto"/>
            <w:bottom w:val="none" w:sz="0" w:space="0" w:color="auto"/>
            <w:right w:val="none" w:sz="0" w:space="0" w:color="auto"/>
          </w:divBdr>
        </w:div>
        <w:div w:id="1466699896">
          <w:marLeft w:val="0"/>
          <w:marRight w:val="0"/>
          <w:marTop w:val="0"/>
          <w:marBottom w:val="0"/>
          <w:divBdr>
            <w:top w:val="none" w:sz="0" w:space="0" w:color="auto"/>
            <w:left w:val="none" w:sz="0" w:space="0" w:color="auto"/>
            <w:bottom w:val="none" w:sz="0" w:space="0" w:color="auto"/>
            <w:right w:val="none" w:sz="0" w:space="0" w:color="auto"/>
          </w:divBdr>
        </w:div>
        <w:div w:id="1211110728">
          <w:marLeft w:val="0"/>
          <w:marRight w:val="0"/>
          <w:marTop w:val="0"/>
          <w:marBottom w:val="0"/>
          <w:divBdr>
            <w:top w:val="none" w:sz="0" w:space="0" w:color="auto"/>
            <w:left w:val="none" w:sz="0" w:space="0" w:color="auto"/>
            <w:bottom w:val="none" w:sz="0" w:space="0" w:color="auto"/>
            <w:right w:val="none" w:sz="0" w:space="0" w:color="auto"/>
          </w:divBdr>
        </w:div>
        <w:div w:id="167209973">
          <w:marLeft w:val="0"/>
          <w:marRight w:val="0"/>
          <w:marTop w:val="0"/>
          <w:marBottom w:val="0"/>
          <w:divBdr>
            <w:top w:val="none" w:sz="0" w:space="0" w:color="auto"/>
            <w:left w:val="none" w:sz="0" w:space="0" w:color="auto"/>
            <w:bottom w:val="none" w:sz="0" w:space="0" w:color="auto"/>
            <w:right w:val="none" w:sz="0" w:space="0" w:color="auto"/>
          </w:divBdr>
        </w:div>
        <w:div w:id="798911369">
          <w:marLeft w:val="0"/>
          <w:marRight w:val="0"/>
          <w:marTop w:val="0"/>
          <w:marBottom w:val="0"/>
          <w:divBdr>
            <w:top w:val="none" w:sz="0" w:space="0" w:color="auto"/>
            <w:left w:val="none" w:sz="0" w:space="0" w:color="auto"/>
            <w:bottom w:val="none" w:sz="0" w:space="0" w:color="auto"/>
            <w:right w:val="none" w:sz="0" w:space="0" w:color="auto"/>
          </w:divBdr>
        </w:div>
        <w:div w:id="2133203315">
          <w:marLeft w:val="0"/>
          <w:marRight w:val="0"/>
          <w:marTop w:val="0"/>
          <w:marBottom w:val="0"/>
          <w:divBdr>
            <w:top w:val="none" w:sz="0" w:space="0" w:color="auto"/>
            <w:left w:val="none" w:sz="0" w:space="0" w:color="auto"/>
            <w:bottom w:val="none" w:sz="0" w:space="0" w:color="auto"/>
            <w:right w:val="none" w:sz="0" w:space="0" w:color="auto"/>
          </w:divBdr>
        </w:div>
        <w:div w:id="1775444978">
          <w:marLeft w:val="0"/>
          <w:marRight w:val="0"/>
          <w:marTop w:val="0"/>
          <w:marBottom w:val="0"/>
          <w:divBdr>
            <w:top w:val="none" w:sz="0" w:space="0" w:color="auto"/>
            <w:left w:val="none" w:sz="0" w:space="0" w:color="auto"/>
            <w:bottom w:val="none" w:sz="0" w:space="0" w:color="auto"/>
            <w:right w:val="none" w:sz="0" w:space="0" w:color="auto"/>
          </w:divBdr>
        </w:div>
        <w:div w:id="325549896">
          <w:marLeft w:val="0"/>
          <w:marRight w:val="0"/>
          <w:marTop w:val="0"/>
          <w:marBottom w:val="0"/>
          <w:divBdr>
            <w:top w:val="none" w:sz="0" w:space="0" w:color="auto"/>
            <w:left w:val="none" w:sz="0" w:space="0" w:color="auto"/>
            <w:bottom w:val="none" w:sz="0" w:space="0" w:color="auto"/>
            <w:right w:val="none" w:sz="0" w:space="0" w:color="auto"/>
          </w:divBdr>
        </w:div>
        <w:div w:id="777530683">
          <w:marLeft w:val="0"/>
          <w:marRight w:val="0"/>
          <w:marTop w:val="0"/>
          <w:marBottom w:val="0"/>
          <w:divBdr>
            <w:top w:val="none" w:sz="0" w:space="0" w:color="auto"/>
            <w:left w:val="none" w:sz="0" w:space="0" w:color="auto"/>
            <w:bottom w:val="none" w:sz="0" w:space="0" w:color="auto"/>
            <w:right w:val="none" w:sz="0" w:space="0" w:color="auto"/>
          </w:divBdr>
        </w:div>
        <w:div w:id="1415516465">
          <w:marLeft w:val="0"/>
          <w:marRight w:val="0"/>
          <w:marTop w:val="0"/>
          <w:marBottom w:val="0"/>
          <w:divBdr>
            <w:top w:val="none" w:sz="0" w:space="0" w:color="auto"/>
            <w:left w:val="none" w:sz="0" w:space="0" w:color="auto"/>
            <w:bottom w:val="none" w:sz="0" w:space="0" w:color="auto"/>
            <w:right w:val="none" w:sz="0" w:space="0" w:color="auto"/>
          </w:divBdr>
        </w:div>
        <w:div w:id="10378915">
          <w:marLeft w:val="0"/>
          <w:marRight w:val="0"/>
          <w:marTop w:val="0"/>
          <w:marBottom w:val="0"/>
          <w:divBdr>
            <w:top w:val="none" w:sz="0" w:space="0" w:color="auto"/>
            <w:left w:val="none" w:sz="0" w:space="0" w:color="auto"/>
            <w:bottom w:val="none" w:sz="0" w:space="0" w:color="auto"/>
            <w:right w:val="none" w:sz="0" w:space="0" w:color="auto"/>
          </w:divBdr>
        </w:div>
        <w:div w:id="807236101">
          <w:marLeft w:val="0"/>
          <w:marRight w:val="0"/>
          <w:marTop w:val="0"/>
          <w:marBottom w:val="0"/>
          <w:divBdr>
            <w:top w:val="none" w:sz="0" w:space="0" w:color="auto"/>
            <w:left w:val="none" w:sz="0" w:space="0" w:color="auto"/>
            <w:bottom w:val="none" w:sz="0" w:space="0" w:color="auto"/>
            <w:right w:val="none" w:sz="0" w:space="0" w:color="auto"/>
          </w:divBdr>
        </w:div>
        <w:div w:id="1629967161">
          <w:marLeft w:val="0"/>
          <w:marRight w:val="0"/>
          <w:marTop w:val="0"/>
          <w:marBottom w:val="0"/>
          <w:divBdr>
            <w:top w:val="none" w:sz="0" w:space="0" w:color="auto"/>
            <w:left w:val="none" w:sz="0" w:space="0" w:color="auto"/>
            <w:bottom w:val="none" w:sz="0" w:space="0" w:color="auto"/>
            <w:right w:val="none" w:sz="0" w:space="0" w:color="auto"/>
          </w:divBdr>
        </w:div>
        <w:div w:id="1516961864">
          <w:marLeft w:val="0"/>
          <w:marRight w:val="0"/>
          <w:marTop w:val="0"/>
          <w:marBottom w:val="0"/>
          <w:divBdr>
            <w:top w:val="none" w:sz="0" w:space="0" w:color="auto"/>
            <w:left w:val="none" w:sz="0" w:space="0" w:color="auto"/>
            <w:bottom w:val="none" w:sz="0" w:space="0" w:color="auto"/>
            <w:right w:val="none" w:sz="0" w:space="0" w:color="auto"/>
          </w:divBdr>
        </w:div>
        <w:div w:id="1232346068">
          <w:marLeft w:val="0"/>
          <w:marRight w:val="0"/>
          <w:marTop w:val="0"/>
          <w:marBottom w:val="0"/>
          <w:divBdr>
            <w:top w:val="none" w:sz="0" w:space="0" w:color="auto"/>
            <w:left w:val="none" w:sz="0" w:space="0" w:color="auto"/>
            <w:bottom w:val="none" w:sz="0" w:space="0" w:color="auto"/>
            <w:right w:val="none" w:sz="0" w:space="0" w:color="auto"/>
          </w:divBdr>
        </w:div>
        <w:div w:id="648824358">
          <w:marLeft w:val="0"/>
          <w:marRight w:val="0"/>
          <w:marTop w:val="0"/>
          <w:marBottom w:val="0"/>
          <w:divBdr>
            <w:top w:val="none" w:sz="0" w:space="0" w:color="auto"/>
            <w:left w:val="none" w:sz="0" w:space="0" w:color="auto"/>
            <w:bottom w:val="none" w:sz="0" w:space="0" w:color="auto"/>
            <w:right w:val="none" w:sz="0" w:space="0" w:color="auto"/>
          </w:divBdr>
        </w:div>
        <w:div w:id="752161781">
          <w:marLeft w:val="0"/>
          <w:marRight w:val="0"/>
          <w:marTop w:val="0"/>
          <w:marBottom w:val="0"/>
          <w:divBdr>
            <w:top w:val="none" w:sz="0" w:space="0" w:color="auto"/>
            <w:left w:val="none" w:sz="0" w:space="0" w:color="auto"/>
            <w:bottom w:val="none" w:sz="0" w:space="0" w:color="auto"/>
            <w:right w:val="none" w:sz="0" w:space="0" w:color="auto"/>
          </w:divBdr>
        </w:div>
        <w:div w:id="810756556">
          <w:marLeft w:val="0"/>
          <w:marRight w:val="0"/>
          <w:marTop w:val="0"/>
          <w:marBottom w:val="0"/>
          <w:divBdr>
            <w:top w:val="none" w:sz="0" w:space="0" w:color="auto"/>
            <w:left w:val="none" w:sz="0" w:space="0" w:color="auto"/>
            <w:bottom w:val="none" w:sz="0" w:space="0" w:color="auto"/>
            <w:right w:val="none" w:sz="0" w:space="0" w:color="auto"/>
          </w:divBdr>
        </w:div>
        <w:div w:id="2124611805">
          <w:marLeft w:val="0"/>
          <w:marRight w:val="0"/>
          <w:marTop w:val="0"/>
          <w:marBottom w:val="0"/>
          <w:divBdr>
            <w:top w:val="none" w:sz="0" w:space="0" w:color="auto"/>
            <w:left w:val="none" w:sz="0" w:space="0" w:color="auto"/>
            <w:bottom w:val="none" w:sz="0" w:space="0" w:color="auto"/>
            <w:right w:val="none" w:sz="0" w:space="0" w:color="auto"/>
          </w:divBdr>
        </w:div>
        <w:div w:id="952905269">
          <w:marLeft w:val="0"/>
          <w:marRight w:val="0"/>
          <w:marTop w:val="0"/>
          <w:marBottom w:val="0"/>
          <w:divBdr>
            <w:top w:val="none" w:sz="0" w:space="0" w:color="auto"/>
            <w:left w:val="none" w:sz="0" w:space="0" w:color="auto"/>
            <w:bottom w:val="none" w:sz="0" w:space="0" w:color="auto"/>
            <w:right w:val="none" w:sz="0" w:space="0" w:color="auto"/>
          </w:divBdr>
        </w:div>
        <w:div w:id="921567654">
          <w:marLeft w:val="0"/>
          <w:marRight w:val="0"/>
          <w:marTop w:val="0"/>
          <w:marBottom w:val="0"/>
          <w:divBdr>
            <w:top w:val="none" w:sz="0" w:space="0" w:color="auto"/>
            <w:left w:val="none" w:sz="0" w:space="0" w:color="auto"/>
            <w:bottom w:val="none" w:sz="0" w:space="0" w:color="auto"/>
            <w:right w:val="none" w:sz="0" w:space="0" w:color="auto"/>
          </w:divBdr>
        </w:div>
        <w:div w:id="1308784705">
          <w:marLeft w:val="0"/>
          <w:marRight w:val="0"/>
          <w:marTop w:val="0"/>
          <w:marBottom w:val="0"/>
          <w:divBdr>
            <w:top w:val="none" w:sz="0" w:space="0" w:color="auto"/>
            <w:left w:val="none" w:sz="0" w:space="0" w:color="auto"/>
            <w:bottom w:val="none" w:sz="0" w:space="0" w:color="auto"/>
            <w:right w:val="none" w:sz="0" w:space="0" w:color="auto"/>
          </w:divBdr>
        </w:div>
        <w:div w:id="2062973970">
          <w:marLeft w:val="0"/>
          <w:marRight w:val="0"/>
          <w:marTop w:val="0"/>
          <w:marBottom w:val="0"/>
          <w:divBdr>
            <w:top w:val="none" w:sz="0" w:space="0" w:color="auto"/>
            <w:left w:val="none" w:sz="0" w:space="0" w:color="auto"/>
            <w:bottom w:val="none" w:sz="0" w:space="0" w:color="auto"/>
            <w:right w:val="none" w:sz="0" w:space="0" w:color="auto"/>
          </w:divBdr>
        </w:div>
        <w:div w:id="1764062019">
          <w:marLeft w:val="0"/>
          <w:marRight w:val="0"/>
          <w:marTop w:val="0"/>
          <w:marBottom w:val="0"/>
          <w:divBdr>
            <w:top w:val="none" w:sz="0" w:space="0" w:color="auto"/>
            <w:left w:val="none" w:sz="0" w:space="0" w:color="auto"/>
            <w:bottom w:val="none" w:sz="0" w:space="0" w:color="auto"/>
            <w:right w:val="none" w:sz="0" w:space="0" w:color="auto"/>
          </w:divBdr>
        </w:div>
        <w:div w:id="96098716">
          <w:marLeft w:val="0"/>
          <w:marRight w:val="0"/>
          <w:marTop w:val="0"/>
          <w:marBottom w:val="0"/>
          <w:divBdr>
            <w:top w:val="none" w:sz="0" w:space="0" w:color="auto"/>
            <w:left w:val="none" w:sz="0" w:space="0" w:color="auto"/>
            <w:bottom w:val="none" w:sz="0" w:space="0" w:color="auto"/>
            <w:right w:val="none" w:sz="0" w:space="0" w:color="auto"/>
          </w:divBdr>
        </w:div>
        <w:div w:id="1388332773">
          <w:marLeft w:val="0"/>
          <w:marRight w:val="0"/>
          <w:marTop w:val="0"/>
          <w:marBottom w:val="0"/>
          <w:divBdr>
            <w:top w:val="none" w:sz="0" w:space="0" w:color="auto"/>
            <w:left w:val="none" w:sz="0" w:space="0" w:color="auto"/>
            <w:bottom w:val="none" w:sz="0" w:space="0" w:color="auto"/>
            <w:right w:val="none" w:sz="0" w:space="0" w:color="auto"/>
          </w:divBdr>
        </w:div>
        <w:div w:id="1631285328">
          <w:marLeft w:val="0"/>
          <w:marRight w:val="0"/>
          <w:marTop w:val="0"/>
          <w:marBottom w:val="0"/>
          <w:divBdr>
            <w:top w:val="none" w:sz="0" w:space="0" w:color="auto"/>
            <w:left w:val="none" w:sz="0" w:space="0" w:color="auto"/>
            <w:bottom w:val="none" w:sz="0" w:space="0" w:color="auto"/>
            <w:right w:val="none" w:sz="0" w:space="0" w:color="auto"/>
          </w:divBdr>
        </w:div>
        <w:div w:id="1380741226">
          <w:marLeft w:val="0"/>
          <w:marRight w:val="0"/>
          <w:marTop w:val="0"/>
          <w:marBottom w:val="0"/>
          <w:divBdr>
            <w:top w:val="none" w:sz="0" w:space="0" w:color="auto"/>
            <w:left w:val="none" w:sz="0" w:space="0" w:color="auto"/>
            <w:bottom w:val="none" w:sz="0" w:space="0" w:color="auto"/>
            <w:right w:val="none" w:sz="0" w:space="0" w:color="auto"/>
          </w:divBdr>
        </w:div>
        <w:div w:id="944576237">
          <w:marLeft w:val="0"/>
          <w:marRight w:val="0"/>
          <w:marTop w:val="0"/>
          <w:marBottom w:val="0"/>
          <w:divBdr>
            <w:top w:val="none" w:sz="0" w:space="0" w:color="auto"/>
            <w:left w:val="none" w:sz="0" w:space="0" w:color="auto"/>
            <w:bottom w:val="none" w:sz="0" w:space="0" w:color="auto"/>
            <w:right w:val="none" w:sz="0" w:space="0" w:color="auto"/>
          </w:divBdr>
        </w:div>
        <w:div w:id="222568863">
          <w:marLeft w:val="0"/>
          <w:marRight w:val="0"/>
          <w:marTop w:val="0"/>
          <w:marBottom w:val="0"/>
          <w:divBdr>
            <w:top w:val="none" w:sz="0" w:space="0" w:color="auto"/>
            <w:left w:val="none" w:sz="0" w:space="0" w:color="auto"/>
            <w:bottom w:val="none" w:sz="0" w:space="0" w:color="auto"/>
            <w:right w:val="none" w:sz="0" w:space="0" w:color="auto"/>
          </w:divBdr>
        </w:div>
        <w:div w:id="1381513131">
          <w:marLeft w:val="0"/>
          <w:marRight w:val="0"/>
          <w:marTop w:val="0"/>
          <w:marBottom w:val="0"/>
          <w:divBdr>
            <w:top w:val="none" w:sz="0" w:space="0" w:color="auto"/>
            <w:left w:val="none" w:sz="0" w:space="0" w:color="auto"/>
            <w:bottom w:val="none" w:sz="0" w:space="0" w:color="auto"/>
            <w:right w:val="none" w:sz="0" w:space="0" w:color="auto"/>
          </w:divBdr>
        </w:div>
        <w:div w:id="1178083261">
          <w:marLeft w:val="0"/>
          <w:marRight w:val="0"/>
          <w:marTop w:val="0"/>
          <w:marBottom w:val="0"/>
          <w:divBdr>
            <w:top w:val="none" w:sz="0" w:space="0" w:color="auto"/>
            <w:left w:val="none" w:sz="0" w:space="0" w:color="auto"/>
            <w:bottom w:val="none" w:sz="0" w:space="0" w:color="auto"/>
            <w:right w:val="none" w:sz="0" w:space="0" w:color="auto"/>
          </w:divBdr>
        </w:div>
        <w:div w:id="549609191">
          <w:marLeft w:val="0"/>
          <w:marRight w:val="0"/>
          <w:marTop w:val="0"/>
          <w:marBottom w:val="0"/>
          <w:divBdr>
            <w:top w:val="none" w:sz="0" w:space="0" w:color="auto"/>
            <w:left w:val="none" w:sz="0" w:space="0" w:color="auto"/>
            <w:bottom w:val="none" w:sz="0" w:space="0" w:color="auto"/>
            <w:right w:val="none" w:sz="0" w:space="0" w:color="auto"/>
          </w:divBdr>
        </w:div>
        <w:div w:id="1703288256">
          <w:marLeft w:val="0"/>
          <w:marRight w:val="0"/>
          <w:marTop w:val="0"/>
          <w:marBottom w:val="0"/>
          <w:divBdr>
            <w:top w:val="none" w:sz="0" w:space="0" w:color="auto"/>
            <w:left w:val="none" w:sz="0" w:space="0" w:color="auto"/>
            <w:bottom w:val="none" w:sz="0" w:space="0" w:color="auto"/>
            <w:right w:val="none" w:sz="0" w:space="0" w:color="auto"/>
          </w:divBdr>
        </w:div>
        <w:div w:id="1628511517">
          <w:marLeft w:val="0"/>
          <w:marRight w:val="0"/>
          <w:marTop w:val="0"/>
          <w:marBottom w:val="0"/>
          <w:divBdr>
            <w:top w:val="none" w:sz="0" w:space="0" w:color="auto"/>
            <w:left w:val="none" w:sz="0" w:space="0" w:color="auto"/>
            <w:bottom w:val="none" w:sz="0" w:space="0" w:color="auto"/>
            <w:right w:val="none" w:sz="0" w:space="0" w:color="auto"/>
          </w:divBdr>
        </w:div>
        <w:div w:id="1610119000">
          <w:marLeft w:val="0"/>
          <w:marRight w:val="0"/>
          <w:marTop w:val="0"/>
          <w:marBottom w:val="0"/>
          <w:divBdr>
            <w:top w:val="none" w:sz="0" w:space="0" w:color="auto"/>
            <w:left w:val="none" w:sz="0" w:space="0" w:color="auto"/>
            <w:bottom w:val="none" w:sz="0" w:space="0" w:color="auto"/>
            <w:right w:val="none" w:sz="0" w:space="0" w:color="auto"/>
          </w:divBdr>
        </w:div>
        <w:div w:id="587467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v.ucsf.edu/insite?page=ar-00-02&amp;param=10&amp;post=4" TargetMode="External"/><Relationship Id="rId21" Type="http://schemas.openxmlformats.org/officeDocument/2006/relationships/hyperlink" Target="http://arv.ucsf.edu/insite?page=ar-00-02&amp;param=10&amp;post=4" TargetMode="External"/><Relationship Id="rId42" Type="http://schemas.openxmlformats.org/officeDocument/2006/relationships/hyperlink" Target="http://arv.ucsf.edu/insite?page=ar-00-02&amp;param=10&amp;post=4" TargetMode="External"/><Relationship Id="rId47" Type="http://schemas.openxmlformats.org/officeDocument/2006/relationships/hyperlink" Target="http://arv.ucsf.edu/insite?page=ar-00-02&amp;param=10&amp;post=4" TargetMode="External"/><Relationship Id="rId63" Type="http://schemas.openxmlformats.org/officeDocument/2006/relationships/hyperlink" Target="http://arv.ucsf.edu/insite?page=ar-00-02&amp;param=10&amp;post=4" TargetMode="External"/><Relationship Id="rId68" Type="http://schemas.openxmlformats.org/officeDocument/2006/relationships/hyperlink" Target="http://arv.ucsf.edu/insite?page=ar-00-02&amp;param=10&amp;post=4" TargetMode="External"/><Relationship Id="rId84" Type="http://schemas.openxmlformats.org/officeDocument/2006/relationships/hyperlink" Target="http://arv.ucsf.edu/insite?page=ar-00-02&amp;param=10&amp;post=4" TargetMode="External"/><Relationship Id="rId89" Type="http://schemas.openxmlformats.org/officeDocument/2006/relationships/hyperlink" Target="http://arv.ucsf.edu/insite?page=ar-00-02&amp;param=10&amp;post=4" TargetMode="External"/><Relationship Id="rId112"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arv.ucsf.edu/insite?page=ar-00-02&amp;param=10&amp;post=4" TargetMode="External"/><Relationship Id="rId29" Type="http://schemas.openxmlformats.org/officeDocument/2006/relationships/hyperlink" Target="http://arv.ucsf.edu/insite?page=ar-00-02&amp;param=10&amp;post=4" TargetMode="External"/><Relationship Id="rId107" Type="http://schemas.openxmlformats.org/officeDocument/2006/relationships/hyperlink" Target="http://arv.ucsf.edu/insite?page=ar-00-02&amp;param=10&amp;post=4" TargetMode="External"/><Relationship Id="rId11" Type="http://schemas.openxmlformats.org/officeDocument/2006/relationships/hyperlink" Target="http://arv.ucsf.edu/insite?page=ar-00-02&amp;param=10&amp;post=4" TargetMode="External"/><Relationship Id="rId24" Type="http://schemas.openxmlformats.org/officeDocument/2006/relationships/hyperlink" Target="http://arv.ucsf.edu/insite?page=ar-00-02&amp;param=10&amp;post=4" TargetMode="External"/><Relationship Id="rId32" Type="http://schemas.openxmlformats.org/officeDocument/2006/relationships/hyperlink" Target="http://arv.ucsf.edu/insite?page=ar-00-02&amp;param=10&amp;post=4" TargetMode="External"/><Relationship Id="rId37" Type="http://schemas.openxmlformats.org/officeDocument/2006/relationships/hyperlink" Target="http://arv.ucsf.edu/insite?page=ar-00-02&amp;param=10&amp;post=4" TargetMode="External"/><Relationship Id="rId40" Type="http://schemas.openxmlformats.org/officeDocument/2006/relationships/hyperlink" Target="http://arv.ucsf.edu/insite?page=ar-00-02&amp;param=10&amp;post=4" TargetMode="External"/><Relationship Id="rId45" Type="http://schemas.openxmlformats.org/officeDocument/2006/relationships/hyperlink" Target="http://arv.ucsf.edu/insite?page=ar-00-02&amp;param=10&amp;post=4" TargetMode="External"/><Relationship Id="rId53" Type="http://schemas.openxmlformats.org/officeDocument/2006/relationships/hyperlink" Target="http://arv.ucsf.edu/insite?page=ar-00-02&amp;param=10&amp;post=4" TargetMode="External"/><Relationship Id="rId58" Type="http://schemas.openxmlformats.org/officeDocument/2006/relationships/hyperlink" Target="http://arv.ucsf.edu/insite?page=ar-00-02&amp;param=10&amp;post=4" TargetMode="External"/><Relationship Id="rId66" Type="http://schemas.openxmlformats.org/officeDocument/2006/relationships/hyperlink" Target="http://arv.ucsf.edu/insite?page=ar-00-02&amp;param=10&amp;post=4" TargetMode="External"/><Relationship Id="rId74" Type="http://schemas.openxmlformats.org/officeDocument/2006/relationships/hyperlink" Target="http://arv.ucsf.edu/insite?page=ar-00-02&amp;param=10&amp;post=4" TargetMode="External"/><Relationship Id="rId79" Type="http://schemas.openxmlformats.org/officeDocument/2006/relationships/hyperlink" Target="http://arv.ucsf.edu/insite?page=ar-00-02&amp;param=10&amp;post=4" TargetMode="External"/><Relationship Id="rId87" Type="http://schemas.openxmlformats.org/officeDocument/2006/relationships/hyperlink" Target="http://arv.ucsf.edu/insite?page=ar-00-02&amp;param=10&amp;post=4" TargetMode="External"/><Relationship Id="rId102" Type="http://schemas.openxmlformats.org/officeDocument/2006/relationships/hyperlink" Target="http://arv.ucsf.edu/insite?page=ar-00-02&amp;param=10&amp;post=4" TargetMode="External"/><Relationship Id="rId110" Type="http://schemas.openxmlformats.org/officeDocument/2006/relationships/hyperlink" Target="http://arv.ucsf.edu/insite?page=ar-00-02&amp;param=10&amp;post=4" TargetMode="External"/><Relationship Id="rId5" Type="http://schemas.openxmlformats.org/officeDocument/2006/relationships/hyperlink" Target="http://arv.ucsf.edu/insite?page=ar-00-02&amp;param=10&amp;post=4" TargetMode="External"/><Relationship Id="rId61" Type="http://schemas.openxmlformats.org/officeDocument/2006/relationships/hyperlink" Target="http://arv.ucsf.edu/insite?page=ar-00-02&amp;param=10&amp;post=4" TargetMode="External"/><Relationship Id="rId82" Type="http://schemas.openxmlformats.org/officeDocument/2006/relationships/hyperlink" Target="http://arv.ucsf.edu/insite?page=ar-00-02&amp;param=10&amp;post=4" TargetMode="External"/><Relationship Id="rId90" Type="http://schemas.openxmlformats.org/officeDocument/2006/relationships/hyperlink" Target="http://arv.ucsf.edu/insite?page=ar-00-02&amp;param=10&amp;post=4" TargetMode="External"/><Relationship Id="rId95" Type="http://schemas.openxmlformats.org/officeDocument/2006/relationships/hyperlink" Target="http://arv.ucsf.edu/insite?page=ar-00-02&amp;param=10&amp;post=4" TargetMode="External"/><Relationship Id="rId19" Type="http://schemas.openxmlformats.org/officeDocument/2006/relationships/hyperlink" Target="http://arv.ucsf.edu/insite?page=ar-00-02&amp;param=10&amp;post=4" TargetMode="External"/><Relationship Id="rId14" Type="http://schemas.openxmlformats.org/officeDocument/2006/relationships/hyperlink" Target="http://arv.ucsf.edu/insite?page=ar-00-02&amp;param=10&amp;post=4" TargetMode="External"/><Relationship Id="rId22" Type="http://schemas.openxmlformats.org/officeDocument/2006/relationships/hyperlink" Target="http://arv.ucsf.edu/insite?page=ar-00-02&amp;param=10&amp;post=4" TargetMode="External"/><Relationship Id="rId27" Type="http://schemas.openxmlformats.org/officeDocument/2006/relationships/hyperlink" Target="http://arv.ucsf.edu/insite?page=ar-00-02&amp;param=10&amp;post=4" TargetMode="External"/><Relationship Id="rId30" Type="http://schemas.openxmlformats.org/officeDocument/2006/relationships/hyperlink" Target="http://arv.ucsf.edu/insite?page=ar-00-02&amp;param=10&amp;post=4" TargetMode="External"/><Relationship Id="rId35" Type="http://schemas.openxmlformats.org/officeDocument/2006/relationships/hyperlink" Target="http://arv.ucsf.edu/insite?page=ar-00-02&amp;param=10&amp;post=4" TargetMode="External"/><Relationship Id="rId43" Type="http://schemas.openxmlformats.org/officeDocument/2006/relationships/hyperlink" Target="http://arv.ucsf.edu/insite?page=ar-00-02&amp;param=10&amp;post=4" TargetMode="External"/><Relationship Id="rId48" Type="http://schemas.openxmlformats.org/officeDocument/2006/relationships/hyperlink" Target="http://arv.ucsf.edu/insite?page=ar-00-02&amp;param=10&amp;post=4" TargetMode="External"/><Relationship Id="rId56" Type="http://schemas.openxmlformats.org/officeDocument/2006/relationships/hyperlink" Target="http://arv.ucsf.edu/insite?page=ar-00-02&amp;param=10&amp;post=4" TargetMode="External"/><Relationship Id="rId64" Type="http://schemas.openxmlformats.org/officeDocument/2006/relationships/hyperlink" Target="http://arv.ucsf.edu/insite?page=ar-00-02&amp;param=10&amp;post=4" TargetMode="External"/><Relationship Id="rId69" Type="http://schemas.openxmlformats.org/officeDocument/2006/relationships/hyperlink" Target="http://arv.ucsf.edu/insite?page=ar-00-02&amp;param=10&amp;post=4" TargetMode="External"/><Relationship Id="rId77" Type="http://schemas.openxmlformats.org/officeDocument/2006/relationships/hyperlink" Target="http://arv.ucsf.edu/insite?page=ar-00-02&amp;param=10&amp;post=4" TargetMode="External"/><Relationship Id="rId100" Type="http://schemas.openxmlformats.org/officeDocument/2006/relationships/hyperlink" Target="http://arv.ucsf.edu/insite?page=ar-00-02&amp;param=10&amp;post=4" TargetMode="External"/><Relationship Id="rId105" Type="http://schemas.openxmlformats.org/officeDocument/2006/relationships/hyperlink" Target="http://arv.ucsf.edu/insite?page=ar-00-02&amp;param=10&amp;post=4" TargetMode="External"/><Relationship Id="rId8" Type="http://schemas.openxmlformats.org/officeDocument/2006/relationships/hyperlink" Target="http://arv.ucsf.edu/insite?page=ar-00-02&amp;param=10&amp;post=4" TargetMode="External"/><Relationship Id="rId51" Type="http://schemas.openxmlformats.org/officeDocument/2006/relationships/hyperlink" Target="http://arv.ucsf.edu/insite?page=ar-00-02&amp;param=10&amp;post=4" TargetMode="External"/><Relationship Id="rId72" Type="http://schemas.openxmlformats.org/officeDocument/2006/relationships/hyperlink" Target="http://arv.ucsf.edu/insite?page=ar-00-02&amp;param=10&amp;post=4" TargetMode="External"/><Relationship Id="rId80" Type="http://schemas.openxmlformats.org/officeDocument/2006/relationships/hyperlink" Target="http://arv.ucsf.edu/insite?page=ar-00-02&amp;param=10&amp;post=4" TargetMode="External"/><Relationship Id="rId85" Type="http://schemas.openxmlformats.org/officeDocument/2006/relationships/hyperlink" Target="http://arv.ucsf.edu/insite?page=ar-00-02&amp;param=10&amp;post=4" TargetMode="External"/><Relationship Id="rId93" Type="http://schemas.openxmlformats.org/officeDocument/2006/relationships/hyperlink" Target="http://arv.ucsf.edu/insite?page=ar-00-02&amp;param=10&amp;post=4" TargetMode="External"/><Relationship Id="rId98" Type="http://schemas.openxmlformats.org/officeDocument/2006/relationships/hyperlink" Target="http://arv.ucsf.edu/insite?page=ar-00-02&amp;param=10&amp;post=4" TargetMode="External"/><Relationship Id="rId3" Type="http://schemas.openxmlformats.org/officeDocument/2006/relationships/webSettings" Target="webSettings.xml"/><Relationship Id="rId12" Type="http://schemas.openxmlformats.org/officeDocument/2006/relationships/hyperlink" Target="http://arv.ucsf.edu/insite?page=ar-00-02&amp;param=10&amp;post=4" TargetMode="External"/><Relationship Id="rId17" Type="http://schemas.openxmlformats.org/officeDocument/2006/relationships/hyperlink" Target="http://arv.ucsf.edu/insite?page=ar-00-02&amp;param=10&amp;post=4" TargetMode="External"/><Relationship Id="rId25" Type="http://schemas.openxmlformats.org/officeDocument/2006/relationships/hyperlink" Target="http://arv.ucsf.edu/insite?page=ar-00-02&amp;param=10&amp;post=4" TargetMode="External"/><Relationship Id="rId33" Type="http://schemas.openxmlformats.org/officeDocument/2006/relationships/hyperlink" Target="http://arv.ucsf.edu/insite?page=ar-00-02&amp;param=10&amp;post=4" TargetMode="External"/><Relationship Id="rId38" Type="http://schemas.openxmlformats.org/officeDocument/2006/relationships/hyperlink" Target="http://arv.ucsf.edu/insite?page=ar-00-02&amp;param=10&amp;post=4" TargetMode="External"/><Relationship Id="rId46" Type="http://schemas.openxmlformats.org/officeDocument/2006/relationships/hyperlink" Target="http://arv.ucsf.edu/insite?page=ar-00-02&amp;param=10&amp;post=4" TargetMode="External"/><Relationship Id="rId59" Type="http://schemas.openxmlformats.org/officeDocument/2006/relationships/hyperlink" Target="http://arv.ucsf.edu/insite?page=ar-00-02&amp;param=10&amp;post=4" TargetMode="External"/><Relationship Id="rId67" Type="http://schemas.openxmlformats.org/officeDocument/2006/relationships/hyperlink" Target="http://arv.ucsf.edu/insite?page=ar-00-02&amp;param=10&amp;post=4" TargetMode="External"/><Relationship Id="rId103" Type="http://schemas.openxmlformats.org/officeDocument/2006/relationships/hyperlink" Target="http://arv.ucsf.edu/insite?page=ar-00-02&amp;param=10&amp;post=4" TargetMode="External"/><Relationship Id="rId108" Type="http://schemas.openxmlformats.org/officeDocument/2006/relationships/hyperlink" Target="http://arv.ucsf.edu/insite?page=ar-00-02&amp;param=10&amp;post=4" TargetMode="External"/><Relationship Id="rId20" Type="http://schemas.openxmlformats.org/officeDocument/2006/relationships/hyperlink" Target="http://arv.ucsf.edu/insite?page=ar-00-02&amp;param=10&amp;post=4" TargetMode="External"/><Relationship Id="rId41" Type="http://schemas.openxmlformats.org/officeDocument/2006/relationships/hyperlink" Target="http://arv.ucsf.edu/insite?page=ar-00-02&amp;param=10&amp;post=4" TargetMode="External"/><Relationship Id="rId54" Type="http://schemas.openxmlformats.org/officeDocument/2006/relationships/hyperlink" Target="http://arv.ucsf.edu/insite?page=ar-00-02&amp;param=10&amp;post=4" TargetMode="External"/><Relationship Id="rId62" Type="http://schemas.openxmlformats.org/officeDocument/2006/relationships/hyperlink" Target="http://arv.ucsf.edu/insite?page=ar-00-02&amp;param=10&amp;post=4" TargetMode="External"/><Relationship Id="rId70" Type="http://schemas.openxmlformats.org/officeDocument/2006/relationships/hyperlink" Target="http://arv.ucsf.edu/insite?page=ar-00-02&amp;param=10&amp;post=4" TargetMode="External"/><Relationship Id="rId75" Type="http://schemas.openxmlformats.org/officeDocument/2006/relationships/hyperlink" Target="http://arv.ucsf.edu/insite?page=ar-00-02&amp;param=10&amp;post=4" TargetMode="External"/><Relationship Id="rId83" Type="http://schemas.openxmlformats.org/officeDocument/2006/relationships/hyperlink" Target="http://arv.ucsf.edu/insite?page=ar-00-02&amp;param=10&amp;post=4" TargetMode="External"/><Relationship Id="rId88" Type="http://schemas.openxmlformats.org/officeDocument/2006/relationships/hyperlink" Target="http://arv.ucsf.edu/insite?page=ar-00-02&amp;param=10&amp;post=4" TargetMode="External"/><Relationship Id="rId91" Type="http://schemas.openxmlformats.org/officeDocument/2006/relationships/hyperlink" Target="http://arv.ucsf.edu/insite?page=ar-00-02&amp;param=10&amp;post=4" TargetMode="External"/><Relationship Id="rId96" Type="http://schemas.openxmlformats.org/officeDocument/2006/relationships/hyperlink" Target="http://arv.ucsf.edu/insite?page=ar-00-02&amp;param=10&amp;post=4" TargetMode="External"/><Relationship Id="rId11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arv.ucsf.edu/insite?page=ar-00-02&amp;param=10&amp;post=4" TargetMode="External"/><Relationship Id="rId15" Type="http://schemas.openxmlformats.org/officeDocument/2006/relationships/hyperlink" Target="http://arv.ucsf.edu/insite?page=ar-00-02&amp;param=10&amp;post=4" TargetMode="External"/><Relationship Id="rId23" Type="http://schemas.openxmlformats.org/officeDocument/2006/relationships/hyperlink" Target="http://arv.ucsf.edu/insite?page=ar-00-02&amp;param=10&amp;post=4" TargetMode="External"/><Relationship Id="rId28" Type="http://schemas.openxmlformats.org/officeDocument/2006/relationships/hyperlink" Target="http://arv.ucsf.edu/insite?page=ar-00-02&amp;param=10&amp;post=4" TargetMode="External"/><Relationship Id="rId36" Type="http://schemas.openxmlformats.org/officeDocument/2006/relationships/hyperlink" Target="http://arv.ucsf.edu/insite?page=ar-00-02&amp;param=10&amp;post=4" TargetMode="External"/><Relationship Id="rId49" Type="http://schemas.openxmlformats.org/officeDocument/2006/relationships/hyperlink" Target="http://arv.ucsf.edu/insite?page=ar-00-02&amp;param=10&amp;post=4" TargetMode="External"/><Relationship Id="rId57" Type="http://schemas.openxmlformats.org/officeDocument/2006/relationships/hyperlink" Target="http://arv.ucsf.edu/insite?page=ar-00-02&amp;param=10&amp;post=4" TargetMode="External"/><Relationship Id="rId106" Type="http://schemas.openxmlformats.org/officeDocument/2006/relationships/hyperlink" Target="http://arv.ucsf.edu/insite?page=ar-00-02&amp;param=10&amp;post=4" TargetMode="External"/><Relationship Id="rId10" Type="http://schemas.openxmlformats.org/officeDocument/2006/relationships/hyperlink" Target="http://arv.ucsf.edu/insite?page=ar-00-02&amp;param=10&amp;post=4" TargetMode="External"/><Relationship Id="rId31" Type="http://schemas.openxmlformats.org/officeDocument/2006/relationships/hyperlink" Target="http://arv.ucsf.edu/insite?page=ar-00-02&amp;param=10&amp;post=4" TargetMode="External"/><Relationship Id="rId44" Type="http://schemas.openxmlformats.org/officeDocument/2006/relationships/hyperlink" Target="http://arv.ucsf.edu/insite?page=ar-00-02&amp;param=10&amp;post=4" TargetMode="External"/><Relationship Id="rId52" Type="http://schemas.openxmlformats.org/officeDocument/2006/relationships/hyperlink" Target="http://arv.ucsf.edu/insite?page=ar-00-02&amp;param=10&amp;post=4" TargetMode="External"/><Relationship Id="rId60" Type="http://schemas.openxmlformats.org/officeDocument/2006/relationships/hyperlink" Target="http://arv.ucsf.edu/insite?page=ar-00-02&amp;param=10&amp;post=4" TargetMode="External"/><Relationship Id="rId65" Type="http://schemas.openxmlformats.org/officeDocument/2006/relationships/hyperlink" Target="http://arv.ucsf.edu/insite?page=ar-00-02&amp;param=10&amp;post=4" TargetMode="External"/><Relationship Id="rId73" Type="http://schemas.openxmlformats.org/officeDocument/2006/relationships/hyperlink" Target="http://arv.ucsf.edu/insite?page=ar-00-02&amp;param=10&amp;post=4" TargetMode="External"/><Relationship Id="rId78" Type="http://schemas.openxmlformats.org/officeDocument/2006/relationships/hyperlink" Target="http://arv.ucsf.edu/insite?page=ar-00-02&amp;param=10&amp;post=4" TargetMode="External"/><Relationship Id="rId81" Type="http://schemas.openxmlformats.org/officeDocument/2006/relationships/hyperlink" Target="http://arv.ucsf.edu/insite?page=ar-00-02&amp;param=10&amp;post=4" TargetMode="External"/><Relationship Id="rId86" Type="http://schemas.openxmlformats.org/officeDocument/2006/relationships/hyperlink" Target="http://arv.ucsf.edu/insite?page=ar-00-02&amp;param=10&amp;post=4" TargetMode="External"/><Relationship Id="rId94" Type="http://schemas.openxmlformats.org/officeDocument/2006/relationships/hyperlink" Target="http://arv.ucsf.edu/insite?page=ar-00-02&amp;param=10&amp;post=4" TargetMode="External"/><Relationship Id="rId99" Type="http://schemas.openxmlformats.org/officeDocument/2006/relationships/hyperlink" Target="http://arv.ucsf.edu/insite?page=ar-00-02&amp;param=10&amp;post=4" TargetMode="External"/><Relationship Id="rId101" Type="http://schemas.openxmlformats.org/officeDocument/2006/relationships/hyperlink" Target="http://arv.ucsf.edu/insite?page=ar-00-02&amp;param=10&amp;post=4" TargetMode="External"/><Relationship Id="rId4" Type="http://schemas.openxmlformats.org/officeDocument/2006/relationships/hyperlink" Target="http://arv.ucsf.edu/insite?page=ar-00-02&amp;param=10&amp;post=4" TargetMode="External"/><Relationship Id="rId9" Type="http://schemas.openxmlformats.org/officeDocument/2006/relationships/hyperlink" Target="http://arv.ucsf.edu/insite?page=ar-00-02&amp;param=10&amp;post=4" TargetMode="External"/><Relationship Id="rId13" Type="http://schemas.openxmlformats.org/officeDocument/2006/relationships/hyperlink" Target="http://arv.ucsf.edu/insite?page=ar-00-02&amp;param=10&amp;post=4" TargetMode="External"/><Relationship Id="rId18" Type="http://schemas.openxmlformats.org/officeDocument/2006/relationships/hyperlink" Target="http://arv.ucsf.edu/insite?page=ar-00-02&amp;param=10&amp;post=4" TargetMode="External"/><Relationship Id="rId39" Type="http://schemas.openxmlformats.org/officeDocument/2006/relationships/hyperlink" Target="http://arv.ucsf.edu/insite?page=ar-00-02&amp;param=10&amp;post=4" TargetMode="External"/><Relationship Id="rId109" Type="http://schemas.openxmlformats.org/officeDocument/2006/relationships/hyperlink" Target="http://arv.ucsf.edu/insite?page=ar-00-02&amp;param=10&amp;post=4" TargetMode="External"/><Relationship Id="rId34" Type="http://schemas.openxmlformats.org/officeDocument/2006/relationships/hyperlink" Target="http://arv.ucsf.edu/insite?page=ar-00-02&amp;param=10&amp;post=4" TargetMode="External"/><Relationship Id="rId50" Type="http://schemas.openxmlformats.org/officeDocument/2006/relationships/hyperlink" Target="http://arv.ucsf.edu/insite?page=ar-00-02&amp;param=10&amp;post=4" TargetMode="External"/><Relationship Id="rId55" Type="http://schemas.openxmlformats.org/officeDocument/2006/relationships/hyperlink" Target="http://arv.ucsf.edu/insite?page=ar-00-02&amp;param=10&amp;post=4" TargetMode="External"/><Relationship Id="rId76" Type="http://schemas.openxmlformats.org/officeDocument/2006/relationships/hyperlink" Target="http://arv.ucsf.edu/insite?page=ar-00-02&amp;param=10&amp;post=4" TargetMode="External"/><Relationship Id="rId97" Type="http://schemas.openxmlformats.org/officeDocument/2006/relationships/hyperlink" Target="http://arv.ucsf.edu/insite?page=ar-00-02&amp;param=10&amp;post=4" TargetMode="External"/><Relationship Id="rId104" Type="http://schemas.openxmlformats.org/officeDocument/2006/relationships/hyperlink" Target="http://arv.ucsf.edu/insite?page=ar-00-02&amp;param=10&amp;post=4" TargetMode="External"/><Relationship Id="rId7" Type="http://schemas.openxmlformats.org/officeDocument/2006/relationships/hyperlink" Target="http://arv.ucsf.edu/insite?page=ar-00-02&amp;param=10&amp;post=4" TargetMode="External"/><Relationship Id="rId71" Type="http://schemas.openxmlformats.org/officeDocument/2006/relationships/hyperlink" Target="http://arv.ucsf.edu/insite?page=ar-00-02&amp;param=10&amp;post=4" TargetMode="External"/><Relationship Id="rId92" Type="http://schemas.openxmlformats.org/officeDocument/2006/relationships/hyperlink" Target="http://arv.ucsf.edu/insite?page=ar-00-02&amp;param=10&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10209</Words>
  <Characters>58193</Characters>
  <Application>Microsoft Office Word</Application>
  <DocSecurity>0</DocSecurity>
  <Lines>484</Lines>
  <Paragraphs>136</Paragraphs>
  <ScaleCrop>false</ScaleCrop>
  <Company/>
  <LinksUpToDate>false</LinksUpToDate>
  <CharactersWithSpaces>68266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1</cp:revision>
  <dcterms:created xsi:type="dcterms:W3CDTF">2017-01-26T20:37:00Z</dcterms:created>
  <dcterms:modified xsi:type="dcterms:W3CDTF">2017-01-26T20:38:00Z</dcterms:modified>
</cp:coreProperties>
</file>