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59C" w:rsidRPr="00A8359C" w:rsidRDefault="00A8359C" w:rsidP="00A8359C">
      <w:pPr>
        <w:shd w:val="clear" w:color="auto" w:fill="FFFFFF"/>
        <w:spacing w:after="100" w:afterAutospacing="1" w:line="240" w:lineRule="auto"/>
        <w:rPr>
          <w:rFonts w:ascii="Arial" w:eastAsia="Times New Roman" w:hAnsi="Arial" w:cs="Arial"/>
          <w:b/>
          <w:bCs/>
          <w:color w:val="606060"/>
          <w:sz w:val="24"/>
          <w:szCs w:val="24"/>
        </w:rPr>
      </w:pPr>
      <w:r w:rsidRPr="00A8359C">
        <w:rPr>
          <w:rFonts w:ascii="Arial" w:eastAsia="Times New Roman" w:hAnsi="Arial" w:cs="Arial"/>
          <w:b/>
          <w:bCs/>
          <w:color w:val="606060"/>
          <w:sz w:val="24"/>
          <w:szCs w:val="24"/>
        </w:rPr>
        <w:t>All Interactions with Dol</w:t>
      </w:r>
      <w:bookmarkStart w:id="0" w:name="_GoBack"/>
      <w:bookmarkEnd w:id="0"/>
      <w:r w:rsidRPr="00A8359C">
        <w:rPr>
          <w:rFonts w:ascii="Arial" w:eastAsia="Times New Roman" w:hAnsi="Arial" w:cs="Arial"/>
          <w:b/>
          <w:bCs/>
          <w:color w:val="606060"/>
          <w:sz w:val="24"/>
          <w:szCs w:val="24"/>
        </w:rPr>
        <w:t>utegravir (Tivicay)</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04"/>
        <w:gridCol w:w="1343"/>
        <w:gridCol w:w="1036"/>
        <w:gridCol w:w="914"/>
        <w:gridCol w:w="1097"/>
        <w:gridCol w:w="973"/>
        <w:gridCol w:w="1076"/>
        <w:gridCol w:w="1201"/>
      </w:tblGrid>
      <w:tr w:rsidR="00A8359C" w:rsidRPr="00A8359C" w:rsidTr="00A8359C">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30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Antacids</w:t>
            </w:r>
            <w:hyperlink r:id="rId4"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Maalox given 2 hours after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26%; Cmin: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30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Administer dolutegravir 2 hours before or 6 hours after antacids.</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Antacids</w:t>
            </w:r>
            <w:hyperlink r:id="rId5"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Maalox given simultaneously as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74%; Cmin: decreased 74%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 not coadminister simultaneously. Administer dolutegravir 2 hours before or 6 hours after antacids.</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Atazanavir</w:t>
            </w:r>
            <w:hyperlink r:id="rId6"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300 mg QD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increased 62%; Cmin: increased 121%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Atazanavir</w:t>
            </w:r>
            <w:hyperlink r:id="rId7"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increased 91%; Cmin: increased 180%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Boceprevir</w:t>
            </w:r>
            <w:hyperlink r:id="rId8"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Calcium carbonate</w:t>
            </w:r>
            <w:hyperlink r:id="rId9" w:anchor="685" w:history="1">
              <w:r w:rsidRPr="00A8359C">
                <w:rPr>
                  <w:rFonts w:ascii="Verdana" w:eastAsia="Times New Roman" w:hAnsi="Verdana" w:cs="Times New Roman"/>
                  <w:color w:val="003399"/>
                  <w:sz w:val="14"/>
                  <w:szCs w:val="14"/>
                  <w:u w:val="single"/>
                  <w:vertAlign w:val="superscript"/>
                </w:rPr>
                <w:t>685</w:t>
              </w:r>
            </w:hyperlink>
            <w:r w:rsidRPr="00A8359C">
              <w:rPr>
                <w:rFonts w:ascii="Verdana" w:eastAsia="Times New Roman" w:hAnsi="Verdana" w:cs="Times New Roman"/>
                <w:color w:val="333333"/>
                <w:sz w:val="14"/>
                <w:szCs w:val="14"/>
                <w:vertAlign w:val="superscript"/>
              </w:rPr>
              <w:t>,</w:t>
            </w:r>
            <w:hyperlink r:id="rId10" w:anchor="641" w:history="1">
              <w:r w:rsidRPr="00A8359C">
                <w:rPr>
                  <w:rFonts w:ascii="Verdana" w:eastAsia="Times New Roman" w:hAnsi="Verdana" w:cs="Times New Roman"/>
                  <w:color w:val="003399"/>
                  <w:sz w:val="14"/>
                  <w:szCs w:val="14"/>
                  <w:u w:val="single"/>
                  <w:vertAlign w:val="superscript"/>
                </w:rPr>
                <w:t>641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1200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Dolutegravir AUC decreased </w:t>
            </w:r>
            <w:r w:rsidRPr="00A8359C">
              <w:rPr>
                <w:rFonts w:ascii="Verdana" w:eastAsia="Times New Roman" w:hAnsi="Verdana" w:cs="Times New Roman"/>
                <w:color w:val="333333"/>
                <w:sz w:val="18"/>
                <w:szCs w:val="18"/>
              </w:rPr>
              <w:lastRenderedPageBreak/>
              <w:t>~39% if taken together, fasting conditions.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 xml:space="preserve">Potential decreased </w:t>
            </w:r>
            <w:r w:rsidRPr="00A8359C">
              <w:rPr>
                <w:rFonts w:ascii="Verdana" w:eastAsia="Times New Roman" w:hAnsi="Verdana" w:cs="Times New Roman"/>
                <w:color w:val="333333"/>
                <w:sz w:val="18"/>
                <w:szCs w:val="18"/>
              </w:rPr>
              <w:lastRenderedPageBreak/>
              <w:t>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Administer dolutegravir 2 hours </w:t>
            </w:r>
            <w:r w:rsidRPr="00A8359C">
              <w:rPr>
                <w:rFonts w:ascii="Verdana" w:eastAsia="Times New Roman" w:hAnsi="Verdana" w:cs="Times New Roman"/>
                <w:color w:val="333333"/>
                <w:sz w:val="18"/>
                <w:szCs w:val="18"/>
              </w:rPr>
              <w:lastRenderedPageBreak/>
              <w:t>before or 6 hours after calcium-containing supplements. Alternatively, administer dolutegravir simulatenously with calcium supplements and with food.</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Carbamazepine</w:t>
            </w:r>
            <w:hyperlink r:id="rId11"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consider alternative anticonvulsants</w:t>
            </w:r>
          </w:p>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i/>
                <w:iCs/>
                <w:color w:val="333333"/>
                <w:sz w:val="18"/>
                <w:szCs w:val="18"/>
              </w:rPr>
              <w:t>Alternative Agents</w:t>
            </w:r>
            <w:r w:rsidRPr="00A8359C">
              <w:rPr>
                <w:rFonts w:ascii="Verdana" w:eastAsia="Times New Roman" w:hAnsi="Verdana" w:cs="Times New Roman"/>
                <w:color w:val="333333"/>
                <w:sz w:val="18"/>
                <w:szCs w:val="18"/>
              </w:rPr>
              <w:t>: </w:t>
            </w:r>
            <w:r w:rsidRPr="00A8359C">
              <w:rPr>
                <w:rFonts w:ascii="Verdana" w:eastAsia="Times New Roman" w:hAnsi="Verdana" w:cs="Times New Roman"/>
                <w:color w:val="333333"/>
                <w:sz w:val="18"/>
                <w:szCs w:val="18"/>
              </w:rPr>
              <w:br/>
            </w:r>
            <w:r w:rsidRPr="00A8359C">
              <w:rPr>
                <w:rFonts w:ascii="Verdana" w:eastAsia="Times New Roman" w:hAnsi="Verdana" w:cs="Times New Roman"/>
                <w:b/>
                <w:bCs/>
                <w:color w:val="333333"/>
                <w:sz w:val="18"/>
                <w:szCs w:val="18"/>
              </w:rPr>
              <w:t>Gabapentin, Lamotrigine, Levitiracetam, Tiagabine Topiramate</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Daclatasvir</w:t>
            </w:r>
            <w:hyperlink r:id="rId12" w:anchor="747" w:history="1">
              <w:r w:rsidRPr="00A8359C">
                <w:rPr>
                  <w:rFonts w:ascii="Verdana" w:eastAsia="Times New Roman" w:hAnsi="Verdana" w:cs="Times New Roman"/>
                  <w:color w:val="003399"/>
                  <w:sz w:val="14"/>
                  <w:szCs w:val="14"/>
                  <w:u w:val="single"/>
                  <w:vertAlign w:val="superscript"/>
                </w:rPr>
                <w:t>747</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Cmax increased 29%; AUC increased 33%; Cmin increased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Darunavir</w:t>
            </w:r>
            <w:hyperlink r:id="rId13"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Dolutegravir AUC: decreased 22%; </w:t>
            </w:r>
            <w:r w:rsidRPr="00A8359C">
              <w:rPr>
                <w:rFonts w:ascii="Verdana" w:eastAsia="Times New Roman" w:hAnsi="Verdana" w:cs="Times New Roman"/>
                <w:color w:val="333333"/>
                <w:sz w:val="18"/>
                <w:szCs w:val="18"/>
              </w:rPr>
              <w:lastRenderedPageBreak/>
              <w:t>Cmin: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Dofetilide</w:t>
            </w:r>
            <w:hyperlink r:id="rId14"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(Tikosyn)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increase dofetilide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 increased dofetilide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DTG may increase plasma concentrations of drugs eliminated by OCT2 or MATE1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 do not coadminister</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Efavirenz</w:t>
            </w:r>
            <w:hyperlink r:id="rId15"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57%; Cmin: decreased 75%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If no INSTI resistance, increase dolutegravir dosage to 50 mg BID. If known or clinically suspected INSTI resistance, use alternative combination</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Ethinyl estradiol/norgestimate</w:t>
            </w:r>
            <w:hyperlink r:id="rId16"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(others)(Ortho Tri-Cyclen, Ortho Tri-Cyclen)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0.035 mg ethinyl estradiol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Etravirine</w:t>
            </w:r>
            <w:hyperlink r:id="rId17"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71%; Cmin: decreased 88%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Do not coadminister etravirine with dolutegravir unless boosted atazanavir, </w:t>
            </w:r>
            <w:r w:rsidRPr="00A8359C">
              <w:rPr>
                <w:rFonts w:ascii="Verdana" w:eastAsia="Times New Roman" w:hAnsi="Verdana" w:cs="Times New Roman"/>
                <w:color w:val="333333"/>
                <w:sz w:val="18"/>
                <w:szCs w:val="18"/>
              </w:rPr>
              <w:lastRenderedPageBreak/>
              <w:t>darunavir or lopinavir are also being used concomitantly.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Etravirine</w:t>
            </w:r>
            <w:hyperlink r:id="rId18"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200 mg BID with darunavir/ritonavir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25%; Cmin: decreased 37%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If no INSTI resistance, no dose adjustment necessary. If known or clinically suspected INSTI resistance, increase dolutegravir dosage to 50 mg BID</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Etravirine</w:t>
            </w:r>
            <w:hyperlink r:id="rId19"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200 mg BID with lopinavir/ritonavir 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increased 11%; Cmin: increased 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If no INSTI resistance, no dose adjustment necessary. If known or clinically suspected INSTI resistance, increase dolutegravir dosage to 50 mg BID</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Ferrous fumarate</w:t>
            </w:r>
            <w:hyperlink r:id="rId20" w:anchor="687" w:history="1">
              <w:r w:rsidRPr="00A8359C">
                <w:rPr>
                  <w:rFonts w:ascii="Verdana" w:eastAsia="Times New Roman" w:hAnsi="Verdana" w:cs="Times New Roman"/>
                  <w:color w:val="003399"/>
                  <w:sz w:val="14"/>
                  <w:szCs w:val="14"/>
                  <w:u w:val="single"/>
                  <w:vertAlign w:val="superscript"/>
                </w:rPr>
                <w:t>687</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324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Dolutegravir AUC decreased 54% when administered simultaneously with ferrous fumarate, fasting conditions. No significant change in </w:t>
            </w:r>
            <w:r w:rsidRPr="00A8359C">
              <w:rPr>
                <w:rFonts w:ascii="Verdana" w:eastAsia="Times New Roman" w:hAnsi="Verdana" w:cs="Times New Roman"/>
                <w:color w:val="333333"/>
                <w:sz w:val="18"/>
                <w:szCs w:val="18"/>
              </w:rPr>
              <w:lastRenderedPageBreak/>
              <w:t>dolutegravir AUC if given simultaneously with ferrous fumarate, with food.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Potentially decreased dolutegravir effectiveness if given with iron.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Chelation of dolutegravir by divalent cations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Administer dolutegravir 2 hours before or 6 hours after medicines with divalent cations (Ca++, Fe++). Alternatively, dolutegravir can be taken </w:t>
            </w:r>
            <w:r w:rsidRPr="00A8359C">
              <w:rPr>
                <w:rFonts w:ascii="Verdana" w:eastAsia="Times New Roman" w:hAnsi="Verdana" w:cs="Times New Roman"/>
                <w:color w:val="333333"/>
                <w:sz w:val="18"/>
                <w:szCs w:val="18"/>
              </w:rPr>
              <w:lastRenderedPageBreak/>
              <w:t>simultaneously with iron supplements, with food.</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Fosamprenavir</w:t>
            </w:r>
            <w:hyperlink r:id="rId21"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35%;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If no INSTI resistance, increase dolutegravir dosage to 50 mg BID. If known or clinically suspected INSTI resistance, use alternative combination</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Lopinavir/ritonavir</w:t>
            </w:r>
            <w:hyperlink r:id="rId22"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Metformin</w:t>
            </w:r>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(Glucophage)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Metformin AUC increased 79%; Cmax increase 66%, Cmin increase 9% when given with dolutegravir once daily. If given with </w:t>
            </w:r>
            <w:r w:rsidRPr="00A8359C">
              <w:rPr>
                <w:rFonts w:ascii="Verdana" w:eastAsia="Times New Roman" w:hAnsi="Verdana" w:cs="Times New Roman"/>
                <w:color w:val="333333"/>
                <w:sz w:val="18"/>
                <w:szCs w:val="18"/>
              </w:rPr>
              <w:lastRenderedPageBreak/>
              <w:t>dolutegravir 50 mg BID, then metformin AUC increase 2.4 fold; Cmax increase 2 fold and Cmin increase 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 increased adverse effects from metformin (e.g. GI side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In patients taking dolutegravir who are starting metformin, begin with low metformin dose and titrate up carefully. Recommended dose limit of metformin 1000 mg daily. If patient is </w:t>
            </w:r>
            <w:r w:rsidRPr="00A8359C">
              <w:rPr>
                <w:rFonts w:ascii="Verdana" w:eastAsia="Times New Roman" w:hAnsi="Verdana" w:cs="Times New Roman"/>
                <w:color w:val="333333"/>
                <w:sz w:val="18"/>
                <w:szCs w:val="18"/>
              </w:rPr>
              <w:lastRenderedPageBreak/>
              <w:t>already on metformin and initiating dolutegravir, monitor glucose, hemoglobin a1c, and metformin adverse effects and adjust dose as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Methadone</w:t>
            </w:r>
            <w:hyperlink r:id="rId23"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16-150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Midazolam</w:t>
            </w:r>
            <w:hyperlink r:id="rId24"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(Versed)(Versed)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Multiple vitamin</w:t>
            </w:r>
            <w:hyperlink r:id="rId25" w:anchor="641" w:history="1">
              <w:r w:rsidRPr="00A8359C">
                <w:rPr>
                  <w:rFonts w:ascii="Verdana" w:eastAsia="Times New Roman" w:hAnsi="Verdana" w:cs="Times New Roman"/>
                  <w:color w:val="003399"/>
                  <w:sz w:val="14"/>
                  <w:szCs w:val="14"/>
                  <w:u w:val="single"/>
                  <w:vertAlign w:val="superscript"/>
                </w:rPr>
                <w:t>641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One-A-Day given simultaneously with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33%; Cmin: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Administer dolutegravir 2 hours before or 6 hours after multiple vitamins.</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Nevirapine</w:t>
            </w:r>
            <w:hyperlink r:id="rId26"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200 mg QD; 200 mg BID; 400 mg QD (XR 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19%;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Norgestromin</w:t>
            </w:r>
            <w:hyperlink r:id="rId27" w:anchor="641" w:history="1">
              <w:r w:rsidRPr="00A8359C">
                <w:rPr>
                  <w:rFonts w:ascii="Verdana" w:eastAsia="Times New Roman" w:hAnsi="Verdana" w:cs="Times New Roman"/>
                  <w:color w:val="003399"/>
                  <w:sz w:val="14"/>
                  <w:szCs w:val="14"/>
                  <w:u w:val="single"/>
                  <w:vertAlign w:val="superscript"/>
                </w:rPr>
                <w:t>641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0.25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w:t>
            </w:r>
            <w:r w:rsidRPr="00A8359C">
              <w:rPr>
                <w:rFonts w:ascii="Verdana" w:eastAsia="Times New Roman" w:hAnsi="Verdana" w:cs="Times New Roman"/>
                <w:color w:val="333333"/>
                <w:sz w:val="18"/>
                <w:szCs w:val="18"/>
              </w:rPr>
              <w:lastRenderedPageBreak/>
              <w:t>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Omeprazole</w:t>
            </w:r>
            <w:hyperlink r:id="rId28"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40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Oxcarbazepine</w:t>
            </w:r>
            <w:hyperlink r:id="rId29"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(Oxtellar, Trileptal)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 consider alternative anticonvulsants</w:t>
            </w:r>
          </w:p>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i/>
                <w:iCs/>
                <w:color w:val="333333"/>
                <w:sz w:val="18"/>
                <w:szCs w:val="18"/>
              </w:rPr>
              <w:t>Alternative Agents</w:t>
            </w:r>
            <w:r w:rsidRPr="00A8359C">
              <w:rPr>
                <w:rFonts w:ascii="Verdana" w:eastAsia="Times New Roman" w:hAnsi="Verdana" w:cs="Times New Roman"/>
                <w:color w:val="333333"/>
                <w:sz w:val="18"/>
                <w:szCs w:val="18"/>
              </w:rPr>
              <w:t>: </w:t>
            </w:r>
            <w:r w:rsidRPr="00A8359C">
              <w:rPr>
                <w:rFonts w:ascii="Verdana" w:eastAsia="Times New Roman" w:hAnsi="Verdana" w:cs="Times New Roman"/>
                <w:color w:val="333333"/>
                <w:sz w:val="18"/>
                <w:szCs w:val="18"/>
              </w:rPr>
              <w:br/>
            </w:r>
            <w:r w:rsidRPr="00A8359C">
              <w:rPr>
                <w:rFonts w:ascii="Verdana" w:eastAsia="Times New Roman" w:hAnsi="Verdana" w:cs="Times New Roman"/>
                <w:b/>
                <w:bCs/>
                <w:color w:val="333333"/>
                <w:sz w:val="18"/>
                <w:szCs w:val="18"/>
              </w:rPr>
              <w:t>Gabapentin, Lamotrigine, Levitiracetam, Tiagabine Topiramate</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Phenobarbital</w:t>
            </w:r>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(Luminal, 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 consider alternative anticonvulsants</w:t>
            </w:r>
          </w:p>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i/>
                <w:iCs/>
                <w:color w:val="333333"/>
                <w:sz w:val="18"/>
                <w:szCs w:val="18"/>
              </w:rPr>
              <w:t>Alternative Agents</w:t>
            </w:r>
            <w:r w:rsidRPr="00A8359C">
              <w:rPr>
                <w:rFonts w:ascii="Verdana" w:eastAsia="Times New Roman" w:hAnsi="Verdana" w:cs="Times New Roman"/>
                <w:color w:val="333333"/>
                <w:sz w:val="18"/>
                <w:szCs w:val="18"/>
              </w:rPr>
              <w:t>: </w:t>
            </w:r>
            <w:r w:rsidRPr="00A8359C">
              <w:rPr>
                <w:rFonts w:ascii="Verdana" w:eastAsia="Times New Roman" w:hAnsi="Verdana" w:cs="Times New Roman"/>
                <w:color w:val="333333"/>
                <w:sz w:val="18"/>
                <w:szCs w:val="18"/>
              </w:rPr>
              <w:br/>
            </w:r>
            <w:r w:rsidRPr="00A8359C">
              <w:rPr>
                <w:rFonts w:ascii="Verdana" w:eastAsia="Times New Roman" w:hAnsi="Verdana" w:cs="Times New Roman"/>
                <w:b/>
                <w:bCs/>
                <w:color w:val="333333"/>
                <w:sz w:val="18"/>
                <w:szCs w:val="18"/>
              </w:rPr>
              <w:t>Gabapentin, Lamotrigine, Levitiracetam, Tiagabine Topiramate</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Phenytoin</w:t>
            </w:r>
            <w:hyperlink r:id="rId30"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(Dilantin)(Dilantin)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Potentially decreased dolutegravir </w:t>
            </w:r>
            <w:r w:rsidRPr="00A8359C">
              <w:rPr>
                <w:rFonts w:ascii="Verdana" w:eastAsia="Times New Roman" w:hAnsi="Verdana" w:cs="Times New Roman"/>
                <w:color w:val="333333"/>
                <w:sz w:val="18"/>
                <w:szCs w:val="18"/>
              </w:rPr>
              <w:lastRenderedPageBreak/>
              <w:t>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consider alternative anticonvulsants</w:t>
            </w:r>
          </w:p>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i/>
                <w:iCs/>
                <w:color w:val="333333"/>
                <w:sz w:val="18"/>
                <w:szCs w:val="18"/>
              </w:rPr>
              <w:lastRenderedPageBreak/>
              <w:t>Alternative Agents</w:t>
            </w:r>
            <w:r w:rsidRPr="00A8359C">
              <w:rPr>
                <w:rFonts w:ascii="Verdana" w:eastAsia="Times New Roman" w:hAnsi="Verdana" w:cs="Times New Roman"/>
                <w:color w:val="333333"/>
                <w:sz w:val="18"/>
                <w:szCs w:val="18"/>
              </w:rPr>
              <w:t>: </w:t>
            </w:r>
            <w:r w:rsidRPr="00A8359C">
              <w:rPr>
                <w:rFonts w:ascii="Verdana" w:eastAsia="Times New Roman" w:hAnsi="Verdana" w:cs="Times New Roman"/>
                <w:color w:val="333333"/>
                <w:sz w:val="18"/>
                <w:szCs w:val="18"/>
              </w:rPr>
              <w:br/>
            </w:r>
            <w:r w:rsidRPr="00A8359C">
              <w:rPr>
                <w:rFonts w:ascii="Verdana" w:eastAsia="Times New Roman" w:hAnsi="Verdana" w:cs="Times New Roman"/>
                <w:b/>
                <w:bCs/>
                <w:color w:val="333333"/>
                <w:sz w:val="18"/>
                <w:szCs w:val="18"/>
              </w:rPr>
              <w:t>Gabapentin, Lamotrigine, Levitiracetam, Tiagabine Topiramate</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Prednisolone</w:t>
            </w:r>
            <w:hyperlink r:id="rId31"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 mg QD with taper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Rifabutin</w:t>
            </w:r>
            <w:hyperlink r:id="rId32"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Cmin: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Rifampin</w:t>
            </w:r>
            <w:hyperlink r:id="rId33"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54%; Cmin: decreased 72% (when compared to dolutegravir 50 mg BID without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Increase dolutegravir to 50 mg BID when used with rifampin</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Rifampin</w:t>
            </w:r>
            <w:hyperlink r:id="rId34"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 xml:space="preserve">Dolutegravir AUC: increased 33%; Cmin: increased 22% (when compared to </w:t>
            </w:r>
            <w:r w:rsidRPr="00A8359C">
              <w:rPr>
                <w:rFonts w:ascii="Verdana" w:eastAsia="Times New Roman" w:hAnsi="Verdana" w:cs="Times New Roman"/>
                <w:color w:val="333333"/>
                <w:sz w:val="18"/>
                <w:szCs w:val="18"/>
              </w:rPr>
              <w:lastRenderedPageBreak/>
              <w:t>dolutegravir 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 when rifampin is used with dolutegravir 50 mg BID</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Rifapentine</w:t>
            </w:r>
            <w:hyperlink r:id="rId35"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(Priftin)(Priftin)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 do not coadminister</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Rilpivirine</w:t>
            </w:r>
            <w:hyperlink r:id="rId36"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(RPV)(Edurant)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25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Rilpivirine Cmin increased 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Cmin: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St. John's Wort</w:t>
            </w:r>
            <w:hyperlink r:id="rId37" w:anchor="691" w:history="1">
              <w:r w:rsidRPr="00A8359C">
                <w:rPr>
                  <w:rFonts w:ascii="Verdana" w:eastAsia="Times New Roman" w:hAnsi="Verdana" w:cs="Times New Roman"/>
                  <w:color w:val="003399"/>
                  <w:sz w:val="14"/>
                  <w:szCs w:val="14"/>
                  <w:u w:val="single"/>
                  <w:vertAlign w:val="superscript"/>
                </w:rPr>
                <w:t>691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(Hypericum perforatum)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may decrease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Contraindicated - do not coadminister</w:t>
            </w:r>
          </w:p>
        </w:tc>
      </w:tr>
      <w:tr w:rsidR="00A8359C" w:rsidRPr="00A8359C" w:rsidTr="00A8359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Dose of Dolutegravir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Effect on Dolutegravir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A8359C" w:rsidRPr="00A8359C" w:rsidRDefault="00A8359C" w:rsidP="00A8359C">
            <w:pPr>
              <w:spacing w:after="0" w:line="240" w:lineRule="auto"/>
              <w:jc w:val="center"/>
              <w:rPr>
                <w:rFonts w:ascii="Verdana" w:eastAsia="Times New Roman" w:hAnsi="Verdana" w:cs="Times New Roman"/>
                <w:b/>
                <w:bCs/>
                <w:color w:val="333333"/>
                <w:sz w:val="18"/>
                <w:szCs w:val="18"/>
              </w:rPr>
            </w:pPr>
            <w:r w:rsidRPr="00A8359C">
              <w:rPr>
                <w:rFonts w:ascii="Verdana" w:eastAsia="Times New Roman" w:hAnsi="Verdana" w:cs="Times New Roman"/>
                <w:b/>
                <w:bCs/>
                <w:color w:val="333333"/>
                <w:sz w:val="18"/>
                <w:szCs w:val="18"/>
              </w:rPr>
              <w:t>Management</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Sucralfate</w:t>
            </w:r>
            <w:hyperlink r:id="rId38" w:anchor="689" w:history="1">
              <w:r w:rsidRPr="00A8359C">
                <w:rPr>
                  <w:rFonts w:ascii="Verdana" w:eastAsia="Times New Roman" w:hAnsi="Verdana" w:cs="Times New Roman"/>
                  <w:color w:val="003399"/>
                  <w:sz w:val="14"/>
                  <w:szCs w:val="14"/>
                  <w:u w:val="single"/>
                  <w:vertAlign w:val="superscript"/>
                </w:rPr>
                <w:t>689</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(Carafate)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Not studied - may result in decreased dolutegravir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decreased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Administer dolutegravir 2 hours before or 6 hours after sucralfate.</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Telaprevir</w:t>
            </w:r>
            <w:hyperlink r:id="rId39"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750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increased 25%; Cmin: increased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Tenofovir alafenamide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lastRenderedPageBreak/>
              <w:t>Tenofovir disoproxil fumarate</w:t>
            </w:r>
            <w:hyperlink r:id="rId40"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TDF AUC: increased 12%; Cmin: increased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No dose adjustment necessary</w:t>
            </w:r>
          </w:p>
        </w:tc>
      </w:tr>
      <w:tr w:rsidR="00A8359C" w:rsidRPr="00A8359C" w:rsidTr="00A8359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Tipranavir</w:t>
            </w:r>
            <w:hyperlink r:id="rId41" w:anchor="641" w:history="1">
              <w:r w:rsidRPr="00A8359C">
                <w:rPr>
                  <w:rFonts w:ascii="Verdana" w:eastAsia="Times New Roman" w:hAnsi="Verdana" w:cs="Times New Roman"/>
                  <w:color w:val="003399"/>
                  <w:sz w:val="14"/>
                  <w:szCs w:val="14"/>
                  <w:u w:val="single"/>
                  <w:vertAlign w:val="superscript"/>
                </w:rPr>
                <w:t>641</w:t>
              </w:r>
            </w:hyperlink>
          </w:p>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500 mg BID with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Dolutegravir AUC: decreased 59%; Cmin: decreased 76%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after="0"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A8359C" w:rsidRPr="00A8359C" w:rsidRDefault="00A8359C" w:rsidP="00A8359C">
            <w:pPr>
              <w:spacing w:before="100" w:beforeAutospacing="1" w:after="100" w:afterAutospacing="1" w:line="240" w:lineRule="auto"/>
              <w:rPr>
                <w:rFonts w:ascii="Verdana" w:eastAsia="Times New Roman" w:hAnsi="Verdana" w:cs="Times New Roman"/>
                <w:color w:val="333333"/>
                <w:sz w:val="18"/>
                <w:szCs w:val="18"/>
              </w:rPr>
            </w:pPr>
            <w:r w:rsidRPr="00A8359C">
              <w:rPr>
                <w:rFonts w:ascii="Verdana" w:eastAsia="Times New Roman" w:hAnsi="Verdana" w:cs="Times New Roman"/>
                <w:color w:val="333333"/>
                <w:sz w:val="18"/>
                <w:szCs w:val="18"/>
              </w:rPr>
              <w:t>If no INSTI resistance, increase dolutegravir dosage to 50 mg BID. If known or clinically suspected INSTI resistance, use alternative combination</w:t>
            </w:r>
          </w:p>
        </w:tc>
      </w:tr>
      <w:tr w:rsidR="00A8359C" w:rsidRPr="00A8359C" w:rsidTr="00A8359C">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 indicates that there are no data available</w:t>
            </w:r>
          </w:p>
        </w:tc>
      </w:tr>
    </w:tbl>
    <w:p w:rsidR="00A8359C" w:rsidRPr="00A8359C" w:rsidRDefault="00A8359C" w:rsidP="00A8359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1" w:name="641"/>
            <w:r w:rsidRPr="00A8359C">
              <w:rPr>
                <w:rFonts w:ascii="Arial" w:eastAsia="Times New Roman" w:hAnsi="Arial" w:cs="Arial"/>
                <w:color w:val="003399"/>
                <w:sz w:val="18"/>
                <w:szCs w:val="18"/>
              </w:rPr>
              <w:t> </w:t>
            </w:r>
            <w:bookmarkEnd w:id="1"/>
            <w:r w:rsidRPr="00A8359C">
              <w:rPr>
                <w:rFonts w:ascii="Arial" w:eastAsia="Times New Roman" w:hAnsi="Arial" w:cs="Arial"/>
                <w:color w:val="003399"/>
                <w:sz w:val="18"/>
                <w:szCs w:val="18"/>
              </w:rPr>
              <w:t>641:</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Tivicay [package insert]. Research Triangle Park, NC: Viiv Healthcare; Sept 2013.</w:t>
            </w:r>
          </w:p>
        </w:tc>
      </w:tr>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2" w:name="685"/>
            <w:r w:rsidRPr="00A8359C">
              <w:rPr>
                <w:rFonts w:ascii="Arial" w:eastAsia="Times New Roman" w:hAnsi="Arial" w:cs="Arial"/>
                <w:color w:val="003399"/>
                <w:sz w:val="18"/>
                <w:szCs w:val="18"/>
              </w:rPr>
              <w:t> </w:t>
            </w:r>
            <w:bookmarkEnd w:id="2"/>
            <w:r w:rsidRPr="00A8359C">
              <w:rPr>
                <w:rFonts w:ascii="Arial" w:eastAsia="Times New Roman" w:hAnsi="Arial" w:cs="Arial"/>
                <w:color w:val="003399"/>
                <w:sz w:val="18"/>
                <w:szCs w:val="18"/>
              </w:rPr>
              <w:t>685:</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Song I, Borland J, Arya N, Wynne B, Piscitelli S. The effect of calcium and iron supplements on the pharmacokinetics of Dolutegravir in healthy subjects. 15th International Workshop on Clinical Pharmacology of HIV and Hepatitis Therapy. May 19-21, 2014. Washington, DC. Abstract P_13.</w:t>
            </w:r>
          </w:p>
        </w:tc>
      </w:tr>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3" w:name="687"/>
            <w:r w:rsidRPr="00A8359C">
              <w:rPr>
                <w:rFonts w:ascii="Arial" w:eastAsia="Times New Roman" w:hAnsi="Arial" w:cs="Arial"/>
                <w:color w:val="003399"/>
                <w:sz w:val="18"/>
                <w:szCs w:val="18"/>
              </w:rPr>
              <w:t> </w:t>
            </w:r>
            <w:bookmarkEnd w:id="3"/>
            <w:r w:rsidRPr="00A8359C">
              <w:rPr>
                <w:rFonts w:ascii="Arial" w:eastAsia="Times New Roman" w:hAnsi="Arial" w:cs="Arial"/>
                <w:color w:val="003399"/>
                <w:sz w:val="18"/>
                <w:szCs w:val="18"/>
              </w:rPr>
              <w:t>687:</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Song, I., Borland, J., Arya, N., Wynne, B. and Piscitelli, S. (2015), Pharmacokinetics of dolutegravir when administered with mineral supplements in healthy adult subjects. Journal of Clinical Pharma, 55: 490–496</w:t>
            </w:r>
          </w:p>
        </w:tc>
      </w:tr>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4" w:name="689"/>
            <w:r w:rsidRPr="00A8359C">
              <w:rPr>
                <w:rFonts w:ascii="Arial" w:eastAsia="Times New Roman" w:hAnsi="Arial" w:cs="Arial"/>
                <w:color w:val="003399"/>
                <w:sz w:val="18"/>
                <w:szCs w:val="18"/>
              </w:rPr>
              <w:t> </w:t>
            </w:r>
            <w:bookmarkEnd w:id="4"/>
            <w:r w:rsidRPr="00A8359C">
              <w:rPr>
                <w:rFonts w:ascii="Arial" w:eastAsia="Times New Roman" w:hAnsi="Arial" w:cs="Arial"/>
                <w:color w:val="003399"/>
                <w:sz w:val="18"/>
                <w:szCs w:val="18"/>
              </w:rPr>
              <w:t>689:</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Tivicay [package insert]. Research Triangle Park, NC: Viiv Healthcare; August 2015</w:t>
            </w:r>
          </w:p>
        </w:tc>
      </w:tr>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5" w:name="691"/>
            <w:r w:rsidRPr="00A8359C">
              <w:rPr>
                <w:rFonts w:ascii="Arial" w:eastAsia="Times New Roman" w:hAnsi="Arial" w:cs="Arial"/>
                <w:color w:val="003399"/>
                <w:sz w:val="18"/>
                <w:szCs w:val="18"/>
              </w:rPr>
              <w:t> </w:t>
            </w:r>
            <w:bookmarkEnd w:id="5"/>
            <w:r w:rsidRPr="00A8359C">
              <w:rPr>
                <w:rFonts w:ascii="Arial" w:eastAsia="Times New Roman" w:hAnsi="Arial" w:cs="Arial"/>
                <w:color w:val="003399"/>
                <w:sz w:val="18"/>
                <w:szCs w:val="18"/>
              </w:rPr>
              <w:t>691:</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Tivicay [package insert]. Research Triangle Park, NC: Viiv Healthcare; August 2015</w:t>
            </w:r>
          </w:p>
        </w:tc>
      </w:tr>
      <w:tr w:rsidR="00A8359C" w:rsidRPr="00A8359C" w:rsidTr="00A8359C">
        <w:trPr>
          <w:tblCellSpacing w:w="15" w:type="dxa"/>
        </w:trPr>
        <w:tc>
          <w:tcPr>
            <w:tcW w:w="0" w:type="auto"/>
            <w:shd w:val="clear" w:color="auto" w:fill="FFFFFF"/>
            <w:hideMark/>
          </w:tcPr>
          <w:p w:rsidR="00A8359C" w:rsidRPr="00A8359C" w:rsidRDefault="00A8359C" w:rsidP="00A8359C">
            <w:pPr>
              <w:spacing w:after="0" w:line="240" w:lineRule="auto"/>
              <w:jc w:val="right"/>
              <w:rPr>
                <w:rFonts w:ascii="Arial" w:eastAsia="Times New Roman" w:hAnsi="Arial" w:cs="Arial"/>
                <w:color w:val="003399"/>
                <w:sz w:val="18"/>
                <w:szCs w:val="18"/>
              </w:rPr>
            </w:pPr>
            <w:bookmarkStart w:id="6" w:name="747"/>
            <w:r w:rsidRPr="00A8359C">
              <w:rPr>
                <w:rFonts w:ascii="Arial" w:eastAsia="Times New Roman" w:hAnsi="Arial" w:cs="Arial"/>
                <w:color w:val="003399"/>
                <w:sz w:val="18"/>
                <w:szCs w:val="18"/>
              </w:rPr>
              <w:t> </w:t>
            </w:r>
            <w:bookmarkEnd w:id="6"/>
            <w:r w:rsidRPr="00A8359C">
              <w:rPr>
                <w:rFonts w:ascii="Arial" w:eastAsia="Times New Roman" w:hAnsi="Arial" w:cs="Arial"/>
                <w:color w:val="003399"/>
                <w:sz w:val="18"/>
                <w:szCs w:val="18"/>
              </w:rPr>
              <w:t>747:</w:t>
            </w:r>
          </w:p>
        </w:tc>
        <w:tc>
          <w:tcPr>
            <w:tcW w:w="0" w:type="auto"/>
            <w:shd w:val="clear" w:color="auto" w:fill="FFFFFF"/>
            <w:vAlign w:val="center"/>
            <w:hideMark/>
          </w:tcPr>
          <w:p w:rsidR="00A8359C" w:rsidRPr="00A8359C" w:rsidRDefault="00A8359C" w:rsidP="00A8359C">
            <w:pPr>
              <w:spacing w:after="0" w:line="240" w:lineRule="auto"/>
              <w:rPr>
                <w:rFonts w:ascii="Arial" w:eastAsia="Times New Roman" w:hAnsi="Arial" w:cs="Arial"/>
                <w:color w:val="000000"/>
                <w:sz w:val="18"/>
                <w:szCs w:val="18"/>
              </w:rPr>
            </w:pPr>
            <w:r w:rsidRPr="00A8359C">
              <w:rPr>
                <w:rFonts w:ascii="Arial" w:eastAsia="Times New Roman" w:hAnsi="Arial" w:cs="Arial"/>
                <w:color w:val="000000"/>
                <w:sz w:val="18"/>
                <w:szCs w:val="18"/>
              </w:rPr>
              <w:t>Daklinza [package insert]. Princeton, NJ: Bristol-Myers Squibb Company,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9C"/>
    <w:rsid w:val="00244653"/>
    <w:rsid w:val="002B2852"/>
    <w:rsid w:val="00A8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D97E8-D3EB-4B40-B35C-85F67A49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brsec1">
    <w:name w:val="kbrsec1"/>
    <w:basedOn w:val="Normal"/>
    <w:rsid w:val="00A8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59C"/>
    <w:rPr>
      <w:color w:val="0000FF"/>
      <w:u w:val="single"/>
    </w:rPr>
  </w:style>
  <w:style w:type="paragraph" w:styleId="NormalWeb">
    <w:name w:val="Normal (Web)"/>
    <w:basedOn w:val="Normal"/>
    <w:uiPriority w:val="99"/>
    <w:semiHidden/>
    <w:unhideWhenUsed/>
    <w:rsid w:val="00A835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A8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96209">
      <w:bodyDiv w:val="1"/>
      <w:marLeft w:val="0"/>
      <w:marRight w:val="0"/>
      <w:marTop w:val="0"/>
      <w:marBottom w:val="0"/>
      <w:divBdr>
        <w:top w:val="none" w:sz="0" w:space="0" w:color="auto"/>
        <w:left w:val="none" w:sz="0" w:space="0" w:color="auto"/>
        <w:bottom w:val="none" w:sz="0" w:space="0" w:color="auto"/>
        <w:right w:val="none" w:sz="0" w:space="0" w:color="auto"/>
      </w:divBdr>
      <w:divsChild>
        <w:div w:id="1457530920">
          <w:marLeft w:val="0"/>
          <w:marRight w:val="0"/>
          <w:marTop w:val="0"/>
          <w:marBottom w:val="0"/>
          <w:divBdr>
            <w:top w:val="none" w:sz="0" w:space="0" w:color="auto"/>
            <w:left w:val="none" w:sz="0" w:space="0" w:color="auto"/>
            <w:bottom w:val="none" w:sz="0" w:space="0" w:color="auto"/>
            <w:right w:val="none" w:sz="0" w:space="0" w:color="auto"/>
          </w:divBdr>
        </w:div>
        <w:div w:id="287666963">
          <w:marLeft w:val="0"/>
          <w:marRight w:val="0"/>
          <w:marTop w:val="0"/>
          <w:marBottom w:val="0"/>
          <w:divBdr>
            <w:top w:val="none" w:sz="0" w:space="0" w:color="auto"/>
            <w:left w:val="none" w:sz="0" w:space="0" w:color="auto"/>
            <w:bottom w:val="none" w:sz="0" w:space="0" w:color="auto"/>
            <w:right w:val="none" w:sz="0" w:space="0" w:color="auto"/>
          </w:divBdr>
        </w:div>
        <w:div w:id="1426801730">
          <w:marLeft w:val="0"/>
          <w:marRight w:val="0"/>
          <w:marTop w:val="0"/>
          <w:marBottom w:val="0"/>
          <w:divBdr>
            <w:top w:val="none" w:sz="0" w:space="0" w:color="auto"/>
            <w:left w:val="none" w:sz="0" w:space="0" w:color="auto"/>
            <w:bottom w:val="none" w:sz="0" w:space="0" w:color="auto"/>
            <w:right w:val="none" w:sz="0" w:space="0" w:color="auto"/>
          </w:divBdr>
        </w:div>
        <w:div w:id="1114254694">
          <w:marLeft w:val="0"/>
          <w:marRight w:val="0"/>
          <w:marTop w:val="0"/>
          <w:marBottom w:val="0"/>
          <w:divBdr>
            <w:top w:val="none" w:sz="0" w:space="0" w:color="auto"/>
            <w:left w:val="none" w:sz="0" w:space="0" w:color="auto"/>
            <w:bottom w:val="none" w:sz="0" w:space="0" w:color="auto"/>
            <w:right w:val="none" w:sz="0" w:space="0" w:color="auto"/>
          </w:divBdr>
        </w:div>
        <w:div w:id="941495848">
          <w:marLeft w:val="0"/>
          <w:marRight w:val="0"/>
          <w:marTop w:val="0"/>
          <w:marBottom w:val="0"/>
          <w:divBdr>
            <w:top w:val="none" w:sz="0" w:space="0" w:color="auto"/>
            <w:left w:val="none" w:sz="0" w:space="0" w:color="auto"/>
            <w:bottom w:val="none" w:sz="0" w:space="0" w:color="auto"/>
            <w:right w:val="none" w:sz="0" w:space="0" w:color="auto"/>
          </w:divBdr>
        </w:div>
        <w:div w:id="2031442801">
          <w:marLeft w:val="0"/>
          <w:marRight w:val="0"/>
          <w:marTop w:val="0"/>
          <w:marBottom w:val="0"/>
          <w:divBdr>
            <w:top w:val="none" w:sz="0" w:space="0" w:color="auto"/>
            <w:left w:val="none" w:sz="0" w:space="0" w:color="auto"/>
            <w:bottom w:val="none" w:sz="0" w:space="0" w:color="auto"/>
            <w:right w:val="none" w:sz="0" w:space="0" w:color="auto"/>
          </w:divBdr>
        </w:div>
        <w:div w:id="653026628">
          <w:marLeft w:val="0"/>
          <w:marRight w:val="0"/>
          <w:marTop w:val="0"/>
          <w:marBottom w:val="0"/>
          <w:divBdr>
            <w:top w:val="none" w:sz="0" w:space="0" w:color="auto"/>
            <w:left w:val="none" w:sz="0" w:space="0" w:color="auto"/>
            <w:bottom w:val="none" w:sz="0" w:space="0" w:color="auto"/>
            <w:right w:val="none" w:sz="0" w:space="0" w:color="auto"/>
          </w:divBdr>
        </w:div>
        <w:div w:id="55011618">
          <w:marLeft w:val="0"/>
          <w:marRight w:val="0"/>
          <w:marTop w:val="0"/>
          <w:marBottom w:val="0"/>
          <w:divBdr>
            <w:top w:val="none" w:sz="0" w:space="0" w:color="auto"/>
            <w:left w:val="none" w:sz="0" w:space="0" w:color="auto"/>
            <w:bottom w:val="none" w:sz="0" w:space="0" w:color="auto"/>
            <w:right w:val="none" w:sz="0" w:space="0" w:color="auto"/>
          </w:divBdr>
        </w:div>
        <w:div w:id="1858156382">
          <w:marLeft w:val="0"/>
          <w:marRight w:val="0"/>
          <w:marTop w:val="0"/>
          <w:marBottom w:val="0"/>
          <w:divBdr>
            <w:top w:val="none" w:sz="0" w:space="0" w:color="auto"/>
            <w:left w:val="none" w:sz="0" w:space="0" w:color="auto"/>
            <w:bottom w:val="none" w:sz="0" w:space="0" w:color="auto"/>
            <w:right w:val="none" w:sz="0" w:space="0" w:color="auto"/>
          </w:divBdr>
        </w:div>
        <w:div w:id="702245401">
          <w:marLeft w:val="0"/>
          <w:marRight w:val="0"/>
          <w:marTop w:val="0"/>
          <w:marBottom w:val="0"/>
          <w:divBdr>
            <w:top w:val="none" w:sz="0" w:space="0" w:color="auto"/>
            <w:left w:val="none" w:sz="0" w:space="0" w:color="auto"/>
            <w:bottom w:val="none" w:sz="0" w:space="0" w:color="auto"/>
            <w:right w:val="none" w:sz="0" w:space="0" w:color="auto"/>
          </w:divBdr>
        </w:div>
        <w:div w:id="1454516951">
          <w:marLeft w:val="0"/>
          <w:marRight w:val="0"/>
          <w:marTop w:val="0"/>
          <w:marBottom w:val="0"/>
          <w:divBdr>
            <w:top w:val="none" w:sz="0" w:space="0" w:color="auto"/>
            <w:left w:val="none" w:sz="0" w:space="0" w:color="auto"/>
            <w:bottom w:val="none" w:sz="0" w:space="0" w:color="auto"/>
            <w:right w:val="none" w:sz="0" w:space="0" w:color="auto"/>
          </w:divBdr>
        </w:div>
        <w:div w:id="372969555">
          <w:marLeft w:val="0"/>
          <w:marRight w:val="0"/>
          <w:marTop w:val="0"/>
          <w:marBottom w:val="0"/>
          <w:divBdr>
            <w:top w:val="none" w:sz="0" w:space="0" w:color="auto"/>
            <w:left w:val="none" w:sz="0" w:space="0" w:color="auto"/>
            <w:bottom w:val="none" w:sz="0" w:space="0" w:color="auto"/>
            <w:right w:val="none" w:sz="0" w:space="0" w:color="auto"/>
          </w:divBdr>
        </w:div>
        <w:div w:id="1389573296">
          <w:marLeft w:val="0"/>
          <w:marRight w:val="0"/>
          <w:marTop w:val="0"/>
          <w:marBottom w:val="0"/>
          <w:divBdr>
            <w:top w:val="none" w:sz="0" w:space="0" w:color="auto"/>
            <w:left w:val="none" w:sz="0" w:space="0" w:color="auto"/>
            <w:bottom w:val="none" w:sz="0" w:space="0" w:color="auto"/>
            <w:right w:val="none" w:sz="0" w:space="0" w:color="auto"/>
          </w:divBdr>
        </w:div>
        <w:div w:id="1380588465">
          <w:marLeft w:val="0"/>
          <w:marRight w:val="0"/>
          <w:marTop w:val="0"/>
          <w:marBottom w:val="0"/>
          <w:divBdr>
            <w:top w:val="none" w:sz="0" w:space="0" w:color="auto"/>
            <w:left w:val="none" w:sz="0" w:space="0" w:color="auto"/>
            <w:bottom w:val="none" w:sz="0" w:space="0" w:color="auto"/>
            <w:right w:val="none" w:sz="0" w:space="0" w:color="auto"/>
          </w:divBdr>
        </w:div>
        <w:div w:id="1978101638">
          <w:marLeft w:val="0"/>
          <w:marRight w:val="0"/>
          <w:marTop w:val="0"/>
          <w:marBottom w:val="0"/>
          <w:divBdr>
            <w:top w:val="none" w:sz="0" w:space="0" w:color="auto"/>
            <w:left w:val="none" w:sz="0" w:space="0" w:color="auto"/>
            <w:bottom w:val="none" w:sz="0" w:space="0" w:color="auto"/>
            <w:right w:val="none" w:sz="0" w:space="0" w:color="auto"/>
          </w:divBdr>
        </w:div>
        <w:div w:id="87041637">
          <w:marLeft w:val="0"/>
          <w:marRight w:val="0"/>
          <w:marTop w:val="0"/>
          <w:marBottom w:val="0"/>
          <w:divBdr>
            <w:top w:val="none" w:sz="0" w:space="0" w:color="auto"/>
            <w:left w:val="none" w:sz="0" w:space="0" w:color="auto"/>
            <w:bottom w:val="none" w:sz="0" w:space="0" w:color="auto"/>
            <w:right w:val="none" w:sz="0" w:space="0" w:color="auto"/>
          </w:divBdr>
        </w:div>
        <w:div w:id="2062170997">
          <w:marLeft w:val="0"/>
          <w:marRight w:val="0"/>
          <w:marTop w:val="0"/>
          <w:marBottom w:val="0"/>
          <w:divBdr>
            <w:top w:val="none" w:sz="0" w:space="0" w:color="auto"/>
            <w:left w:val="none" w:sz="0" w:space="0" w:color="auto"/>
            <w:bottom w:val="none" w:sz="0" w:space="0" w:color="auto"/>
            <w:right w:val="none" w:sz="0" w:space="0" w:color="auto"/>
          </w:divBdr>
        </w:div>
        <w:div w:id="30304022">
          <w:marLeft w:val="0"/>
          <w:marRight w:val="0"/>
          <w:marTop w:val="0"/>
          <w:marBottom w:val="0"/>
          <w:divBdr>
            <w:top w:val="none" w:sz="0" w:space="0" w:color="auto"/>
            <w:left w:val="none" w:sz="0" w:space="0" w:color="auto"/>
            <w:bottom w:val="none" w:sz="0" w:space="0" w:color="auto"/>
            <w:right w:val="none" w:sz="0" w:space="0" w:color="auto"/>
          </w:divBdr>
        </w:div>
        <w:div w:id="1828127739">
          <w:marLeft w:val="0"/>
          <w:marRight w:val="0"/>
          <w:marTop w:val="0"/>
          <w:marBottom w:val="0"/>
          <w:divBdr>
            <w:top w:val="none" w:sz="0" w:space="0" w:color="auto"/>
            <w:left w:val="none" w:sz="0" w:space="0" w:color="auto"/>
            <w:bottom w:val="none" w:sz="0" w:space="0" w:color="auto"/>
            <w:right w:val="none" w:sz="0" w:space="0" w:color="auto"/>
          </w:divBdr>
        </w:div>
        <w:div w:id="1193835947">
          <w:marLeft w:val="0"/>
          <w:marRight w:val="0"/>
          <w:marTop w:val="0"/>
          <w:marBottom w:val="0"/>
          <w:divBdr>
            <w:top w:val="none" w:sz="0" w:space="0" w:color="auto"/>
            <w:left w:val="none" w:sz="0" w:space="0" w:color="auto"/>
            <w:bottom w:val="none" w:sz="0" w:space="0" w:color="auto"/>
            <w:right w:val="none" w:sz="0" w:space="0" w:color="auto"/>
          </w:divBdr>
        </w:div>
        <w:div w:id="666402490">
          <w:marLeft w:val="0"/>
          <w:marRight w:val="0"/>
          <w:marTop w:val="0"/>
          <w:marBottom w:val="0"/>
          <w:divBdr>
            <w:top w:val="none" w:sz="0" w:space="0" w:color="auto"/>
            <w:left w:val="none" w:sz="0" w:space="0" w:color="auto"/>
            <w:bottom w:val="none" w:sz="0" w:space="0" w:color="auto"/>
            <w:right w:val="none" w:sz="0" w:space="0" w:color="auto"/>
          </w:divBdr>
        </w:div>
        <w:div w:id="1539246049">
          <w:marLeft w:val="0"/>
          <w:marRight w:val="0"/>
          <w:marTop w:val="0"/>
          <w:marBottom w:val="0"/>
          <w:divBdr>
            <w:top w:val="none" w:sz="0" w:space="0" w:color="auto"/>
            <w:left w:val="none" w:sz="0" w:space="0" w:color="auto"/>
            <w:bottom w:val="none" w:sz="0" w:space="0" w:color="auto"/>
            <w:right w:val="none" w:sz="0" w:space="0" w:color="auto"/>
          </w:divBdr>
        </w:div>
        <w:div w:id="1327440585">
          <w:marLeft w:val="0"/>
          <w:marRight w:val="0"/>
          <w:marTop w:val="0"/>
          <w:marBottom w:val="0"/>
          <w:divBdr>
            <w:top w:val="none" w:sz="0" w:space="0" w:color="auto"/>
            <w:left w:val="none" w:sz="0" w:space="0" w:color="auto"/>
            <w:bottom w:val="none" w:sz="0" w:space="0" w:color="auto"/>
            <w:right w:val="none" w:sz="0" w:space="0" w:color="auto"/>
          </w:divBdr>
        </w:div>
        <w:div w:id="474687891">
          <w:marLeft w:val="0"/>
          <w:marRight w:val="0"/>
          <w:marTop w:val="0"/>
          <w:marBottom w:val="0"/>
          <w:divBdr>
            <w:top w:val="none" w:sz="0" w:space="0" w:color="auto"/>
            <w:left w:val="none" w:sz="0" w:space="0" w:color="auto"/>
            <w:bottom w:val="none" w:sz="0" w:space="0" w:color="auto"/>
            <w:right w:val="none" w:sz="0" w:space="0" w:color="auto"/>
          </w:divBdr>
        </w:div>
        <w:div w:id="183328562">
          <w:marLeft w:val="0"/>
          <w:marRight w:val="0"/>
          <w:marTop w:val="0"/>
          <w:marBottom w:val="0"/>
          <w:divBdr>
            <w:top w:val="none" w:sz="0" w:space="0" w:color="auto"/>
            <w:left w:val="none" w:sz="0" w:space="0" w:color="auto"/>
            <w:bottom w:val="none" w:sz="0" w:space="0" w:color="auto"/>
            <w:right w:val="none" w:sz="0" w:space="0" w:color="auto"/>
          </w:divBdr>
        </w:div>
        <w:div w:id="458033420">
          <w:marLeft w:val="0"/>
          <w:marRight w:val="0"/>
          <w:marTop w:val="0"/>
          <w:marBottom w:val="0"/>
          <w:divBdr>
            <w:top w:val="none" w:sz="0" w:space="0" w:color="auto"/>
            <w:left w:val="none" w:sz="0" w:space="0" w:color="auto"/>
            <w:bottom w:val="none" w:sz="0" w:space="0" w:color="auto"/>
            <w:right w:val="none" w:sz="0" w:space="0" w:color="auto"/>
          </w:divBdr>
        </w:div>
        <w:div w:id="375005491">
          <w:marLeft w:val="0"/>
          <w:marRight w:val="0"/>
          <w:marTop w:val="0"/>
          <w:marBottom w:val="0"/>
          <w:divBdr>
            <w:top w:val="none" w:sz="0" w:space="0" w:color="auto"/>
            <w:left w:val="none" w:sz="0" w:space="0" w:color="auto"/>
            <w:bottom w:val="none" w:sz="0" w:space="0" w:color="auto"/>
            <w:right w:val="none" w:sz="0" w:space="0" w:color="auto"/>
          </w:divBdr>
        </w:div>
        <w:div w:id="641886656">
          <w:marLeft w:val="0"/>
          <w:marRight w:val="0"/>
          <w:marTop w:val="0"/>
          <w:marBottom w:val="0"/>
          <w:divBdr>
            <w:top w:val="none" w:sz="0" w:space="0" w:color="auto"/>
            <w:left w:val="none" w:sz="0" w:space="0" w:color="auto"/>
            <w:bottom w:val="none" w:sz="0" w:space="0" w:color="auto"/>
            <w:right w:val="none" w:sz="0" w:space="0" w:color="auto"/>
          </w:divBdr>
        </w:div>
        <w:div w:id="118424749">
          <w:marLeft w:val="0"/>
          <w:marRight w:val="0"/>
          <w:marTop w:val="0"/>
          <w:marBottom w:val="0"/>
          <w:divBdr>
            <w:top w:val="none" w:sz="0" w:space="0" w:color="auto"/>
            <w:left w:val="none" w:sz="0" w:space="0" w:color="auto"/>
            <w:bottom w:val="none" w:sz="0" w:space="0" w:color="auto"/>
            <w:right w:val="none" w:sz="0" w:space="0" w:color="auto"/>
          </w:divBdr>
        </w:div>
        <w:div w:id="1798526470">
          <w:marLeft w:val="0"/>
          <w:marRight w:val="0"/>
          <w:marTop w:val="0"/>
          <w:marBottom w:val="0"/>
          <w:divBdr>
            <w:top w:val="none" w:sz="0" w:space="0" w:color="auto"/>
            <w:left w:val="none" w:sz="0" w:space="0" w:color="auto"/>
            <w:bottom w:val="none" w:sz="0" w:space="0" w:color="auto"/>
            <w:right w:val="none" w:sz="0" w:space="0" w:color="auto"/>
          </w:divBdr>
        </w:div>
        <w:div w:id="1461916140">
          <w:marLeft w:val="0"/>
          <w:marRight w:val="0"/>
          <w:marTop w:val="0"/>
          <w:marBottom w:val="0"/>
          <w:divBdr>
            <w:top w:val="none" w:sz="0" w:space="0" w:color="auto"/>
            <w:left w:val="none" w:sz="0" w:space="0" w:color="auto"/>
            <w:bottom w:val="none" w:sz="0" w:space="0" w:color="auto"/>
            <w:right w:val="none" w:sz="0" w:space="0" w:color="auto"/>
          </w:divBdr>
        </w:div>
        <w:div w:id="447161199">
          <w:marLeft w:val="0"/>
          <w:marRight w:val="0"/>
          <w:marTop w:val="0"/>
          <w:marBottom w:val="0"/>
          <w:divBdr>
            <w:top w:val="none" w:sz="0" w:space="0" w:color="auto"/>
            <w:left w:val="none" w:sz="0" w:space="0" w:color="auto"/>
            <w:bottom w:val="none" w:sz="0" w:space="0" w:color="auto"/>
            <w:right w:val="none" w:sz="0" w:space="0" w:color="auto"/>
          </w:divBdr>
        </w:div>
        <w:div w:id="2108456926">
          <w:marLeft w:val="0"/>
          <w:marRight w:val="0"/>
          <w:marTop w:val="0"/>
          <w:marBottom w:val="0"/>
          <w:divBdr>
            <w:top w:val="none" w:sz="0" w:space="0" w:color="auto"/>
            <w:left w:val="none" w:sz="0" w:space="0" w:color="auto"/>
            <w:bottom w:val="none" w:sz="0" w:space="0" w:color="auto"/>
            <w:right w:val="none" w:sz="0" w:space="0" w:color="auto"/>
          </w:divBdr>
        </w:div>
        <w:div w:id="267007800">
          <w:marLeft w:val="0"/>
          <w:marRight w:val="0"/>
          <w:marTop w:val="0"/>
          <w:marBottom w:val="0"/>
          <w:divBdr>
            <w:top w:val="none" w:sz="0" w:space="0" w:color="auto"/>
            <w:left w:val="none" w:sz="0" w:space="0" w:color="auto"/>
            <w:bottom w:val="none" w:sz="0" w:space="0" w:color="auto"/>
            <w:right w:val="none" w:sz="0" w:space="0" w:color="auto"/>
          </w:divBdr>
        </w:div>
        <w:div w:id="2043090559">
          <w:marLeft w:val="0"/>
          <w:marRight w:val="0"/>
          <w:marTop w:val="0"/>
          <w:marBottom w:val="0"/>
          <w:divBdr>
            <w:top w:val="none" w:sz="0" w:space="0" w:color="auto"/>
            <w:left w:val="none" w:sz="0" w:space="0" w:color="auto"/>
            <w:bottom w:val="none" w:sz="0" w:space="0" w:color="auto"/>
            <w:right w:val="none" w:sz="0" w:space="0" w:color="auto"/>
          </w:divBdr>
        </w:div>
        <w:div w:id="29860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v.ucsf.edu/insite?page=ar-00-02&amp;param=235&amp;post=4" TargetMode="External"/><Relationship Id="rId13" Type="http://schemas.openxmlformats.org/officeDocument/2006/relationships/hyperlink" Target="http://arv.ucsf.edu/insite?page=ar-00-02&amp;param=235&amp;post=4" TargetMode="External"/><Relationship Id="rId18" Type="http://schemas.openxmlformats.org/officeDocument/2006/relationships/hyperlink" Target="http://arv.ucsf.edu/insite?page=ar-00-02&amp;param=235&amp;post=4" TargetMode="External"/><Relationship Id="rId26" Type="http://schemas.openxmlformats.org/officeDocument/2006/relationships/hyperlink" Target="http://arv.ucsf.edu/insite?page=ar-00-02&amp;param=235&amp;post=4" TargetMode="External"/><Relationship Id="rId39" Type="http://schemas.openxmlformats.org/officeDocument/2006/relationships/hyperlink" Target="http://arv.ucsf.edu/insite?page=ar-00-02&amp;param=235&amp;post=4" TargetMode="External"/><Relationship Id="rId3" Type="http://schemas.openxmlformats.org/officeDocument/2006/relationships/webSettings" Target="webSettings.xml"/><Relationship Id="rId21" Type="http://schemas.openxmlformats.org/officeDocument/2006/relationships/hyperlink" Target="http://arv.ucsf.edu/insite?page=ar-00-02&amp;param=235&amp;post=4" TargetMode="External"/><Relationship Id="rId34" Type="http://schemas.openxmlformats.org/officeDocument/2006/relationships/hyperlink" Target="http://arv.ucsf.edu/insite?page=ar-00-02&amp;param=235&amp;post=4" TargetMode="External"/><Relationship Id="rId42" Type="http://schemas.openxmlformats.org/officeDocument/2006/relationships/fontTable" Target="fontTable.xml"/><Relationship Id="rId7" Type="http://schemas.openxmlformats.org/officeDocument/2006/relationships/hyperlink" Target="http://arv.ucsf.edu/insite?page=ar-00-02&amp;param=235&amp;post=4" TargetMode="External"/><Relationship Id="rId12" Type="http://schemas.openxmlformats.org/officeDocument/2006/relationships/hyperlink" Target="http://arv.ucsf.edu/insite?page=ar-00-02&amp;param=235&amp;post=4" TargetMode="External"/><Relationship Id="rId17" Type="http://schemas.openxmlformats.org/officeDocument/2006/relationships/hyperlink" Target="http://arv.ucsf.edu/insite?page=ar-00-02&amp;param=235&amp;post=4" TargetMode="External"/><Relationship Id="rId25" Type="http://schemas.openxmlformats.org/officeDocument/2006/relationships/hyperlink" Target="http://arv.ucsf.edu/insite?page=ar-00-02&amp;param=235&amp;post=4" TargetMode="External"/><Relationship Id="rId33" Type="http://schemas.openxmlformats.org/officeDocument/2006/relationships/hyperlink" Target="http://arv.ucsf.edu/insite?page=ar-00-02&amp;param=235&amp;post=4" TargetMode="External"/><Relationship Id="rId38" Type="http://schemas.openxmlformats.org/officeDocument/2006/relationships/hyperlink" Target="http://arv.ucsf.edu/insite?page=ar-00-02&amp;param=235&amp;post=4" TargetMode="External"/><Relationship Id="rId2" Type="http://schemas.openxmlformats.org/officeDocument/2006/relationships/settings" Target="settings.xml"/><Relationship Id="rId16" Type="http://schemas.openxmlformats.org/officeDocument/2006/relationships/hyperlink" Target="http://arv.ucsf.edu/insite?page=ar-00-02&amp;param=235&amp;post=4" TargetMode="External"/><Relationship Id="rId20" Type="http://schemas.openxmlformats.org/officeDocument/2006/relationships/hyperlink" Target="http://arv.ucsf.edu/insite?page=ar-00-02&amp;param=235&amp;post=4" TargetMode="External"/><Relationship Id="rId29" Type="http://schemas.openxmlformats.org/officeDocument/2006/relationships/hyperlink" Target="http://arv.ucsf.edu/insite?page=ar-00-02&amp;param=235&amp;post=4" TargetMode="External"/><Relationship Id="rId41" Type="http://schemas.openxmlformats.org/officeDocument/2006/relationships/hyperlink" Target="http://arv.ucsf.edu/insite?page=ar-00-02&amp;param=235&amp;post=4" TargetMode="External"/><Relationship Id="rId1" Type="http://schemas.openxmlformats.org/officeDocument/2006/relationships/styles" Target="styles.xml"/><Relationship Id="rId6" Type="http://schemas.openxmlformats.org/officeDocument/2006/relationships/hyperlink" Target="http://arv.ucsf.edu/insite?page=ar-00-02&amp;param=235&amp;post=4" TargetMode="External"/><Relationship Id="rId11" Type="http://schemas.openxmlformats.org/officeDocument/2006/relationships/hyperlink" Target="http://arv.ucsf.edu/insite?page=ar-00-02&amp;param=235&amp;post=4" TargetMode="External"/><Relationship Id="rId24" Type="http://schemas.openxmlformats.org/officeDocument/2006/relationships/hyperlink" Target="http://arv.ucsf.edu/insite?page=ar-00-02&amp;param=235&amp;post=4" TargetMode="External"/><Relationship Id="rId32" Type="http://schemas.openxmlformats.org/officeDocument/2006/relationships/hyperlink" Target="http://arv.ucsf.edu/insite?page=ar-00-02&amp;param=235&amp;post=4" TargetMode="External"/><Relationship Id="rId37" Type="http://schemas.openxmlformats.org/officeDocument/2006/relationships/hyperlink" Target="http://arv.ucsf.edu/insite?page=ar-00-02&amp;param=235&amp;post=4" TargetMode="External"/><Relationship Id="rId40" Type="http://schemas.openxmlformats.org/officeDocument/2006/relationships/hyperlink" Target="http://arv.ucsf.edu/insite?page=ar-00-02&amp;param=235&amp;post=4" TargetMode="External"/><Relationship Id="rId5" Type="http://schemas.openxmlformats.org/officeDocument/2006/relationships/hyperlink" Target="http://arv.ucsf.edu/insite?page=ar-00-02&amp;param=235&amp;post=4" TargetMode="External"/><Relationship Id="rId15" Type="http://schemas.openxmlformats.org/officeDocument/2006/relationships/hyperlink" Target="http://arv.ucsf.edu/insite?page=ar-00-02&amp;param=235&amp;post=4" TargetMode="External"/><Relationship Id="rId23" Type="http://schemas.openxmlformats.org/officeDocument/2006/relationships/hyperlink" Target="http://arv.ucsf.edu/insite?page=ar-00-02&amp;param=235&amp;post=4" TargetMode="External"/><Relationship Id="rId28" Type="http://schemas.openxmlformats.org/officeDocument/2006/relationships/hyperlink" Target="http://arv.ucsf.edu/insite?page=ar-00-02&amp;param=235&amp;post=4" TargetMode="External"/><Relationship Id="rId36" Type="http://schemas.openxmlformats.org/officeDocument/2006/relationships/hyperlink" Target="http://arv.ucsf.edu/insite?page=ar-00-02&amp;param=235&amp;post=4" TargetMode="External"/><Relationship Id="rId10" Type="http://schemas.openxmlformats.org/officeDocument/2006/relationships/hyperlink" Target="http://arv.ucsf.edu/insite?page=ar-00-02&amp;param=235&amp;post=4" TargetMode="External"/><Relationship Id="rId19" Type="http://schemas.openxmlformats.org/officeDocument/2006/relationships/hyperlink" Target="http://arv.ucsf.edu/insite?page=ar-00-02&amp;param=235&amp;post=4" TargetMode="External"/><Relationship Id="rId31" Type="http://schemas.openxmlformats.org/officeDocument/2006/relationships/hyperlink" Target="http://arv.ucsf.edu/insite?page=ar-00-02&amp;param=235&amp;post=4" TargetMode="External"/><Relationship Id="rId4" Type="http://schemas.openxmlformats.org/officeDocument/2006/relationships/hyperlink" Target="http://arv.ucsf.edu/insite?page=ar-00-02&amp;param=235&amp;post=4" TargetMode="External"/><Relationship Id="rId9" Type="http://schemas.openxmlformats.org/officeDocument/2006/relationships/hyperlink" Target="http://arv.ucsf.edu/insite?page=ar-00-02&amp;param=235&amp;post=4" TargetMode="External"/><Relationship Id="rId14" Type="http://schemas.openxmlformats.org/officeDocument/2006/relationships/hyperlink" Target="http://arv.ucsf.edu/insite?page=ar-00-02&amp;param=235&amp;post=4" TargetMode="External"/><Relationship Id="rId22" Type="http://schemas.openxmlformats.org/officeDocument/2006/relationships/hyperlink" Target="http://arv.ucsf.edu/insite?page=ar-00-02&amp;param=235&amp;post=4" TargetMode="External"/><Relationship Id="rId27" Type="http://schemas.openxmlformats.org/officeDocument/2006/relationships/hyperlink" Target="http://arv.ucsf.edu/insite?page=ar-00-02&amp;param=235&amp;post=4" TargetMode="External"/><Relationship Id="rId30" Type="http://schemas.openxmlformats.org/officeDocument/2006/relationships/hyperlink" Target="http://arv.ucsf.edu/insite?page=ar-00-02&amp;param=235&amp;post=4" TargetMode="External"/><Relationship Id="rId35" Type="http://schemas.openxmlformats.org/officeDocument/2006/relationships/hyperlink" Target="http://arv.ucsf.edu/insite?page=ar-00-02&amp;param=235&amp;post=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2017-01-26T20:41:00Z</dcterms:created>
  <dcterms:modified xsi:type="dcterms:W3CDTF">2017-01-26T20:42:00Z</dcterms:modified>
</cp:coreProperties>
</file>