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4F1" w:rsidRPr="000154F1" w:rsidRDefault="000154F1" w:rsidP="000154F1">
      <w:pPr>
        <w:shd w:val="clear" w:color="auto" w:fill="FFFFFF"/>
        <w:spacing w:after="100" w:afterAutospacing="1" w:line="240" w:lineRule="auto"/>
        <w:rPr>
          <w:rFonts w:ascii="Arial" w:eastAsia="Times New Roman" w:hAnsi="Arial" w:cs="Arial"/>
          <w:b/>
          <w:bCs/>
          <w:color w:val="606060"/>
          <w:sz w:val="24"/>
          <w:szCs w:val="24"/>
        </w:rPr>
      </w:pPr>
      <w:r w:rsidRPr="000154F1">
        <w:rPr>
          <w:rFonts w:ascii="Arial" w:eastAsia="Times New Roman" w:hAnsi="Arial" w:cs="Arial"/>
          <w:b/>
          <w:bCs/>
          <w:color w:val="606060"/>
          <w:sz w:val="24"/>
          <w:szCs w:val="24"/>
        </w:rPr>
        <w:t xml:space="preserve">All Interactions with </w:t>
      </w:r>
      <w:bookmarkStart w:id="0" w:name="_GoBack"/>
      <w:r w:rsidRPr="000154F1">
        <w:rPr>
          <w:rFonts w:ascii="Arial" w:eastAsia="Times New Roman" w:hAnsi="Arial" w:cs="Arial"/>
          <w:b/>
          <w:bCs/>
          <w:color w:val="606060"/>
          <w:sz w:val="24"/>
          <w:szCs w:val="24"/>
        </w:rPr>
        <w:t>Elvitegravir/ritonavir-boosted protease inhibitor</w:t>
      </w:r>
      <w:bookmarkEnd w:id="0"/>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754"/>
        <w:gridCol w:w="619"/>
        <w:gridCol w:w="1285"/>
        <w:gridCol w:w="1130"/>
        <w:gridCol w:w="1285"/>
        <w:gridCol w:w="1105"/>
        <w:gridCol w:w="901"/>
        <w:gridCol w:w="1265"/>
      </w:tblGrid>
      <w:tr w:rsidR="000154F1" w:rsidRPr="000154F1" w:rsidTr="000154F1">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30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30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30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30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30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30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30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30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30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Amiodarone</w:t>
            </w:r>
            <w:hyperlink r:id="rId4" w:anchor="699" w:history="1">
              <w:r w:rsidRPr="000154F1">
                <w:rPr>
                  <w:rFonts w:ascii="Verdana" w:eastAsia="Times New Roman" w:hAnsi="Verdana" w:cs="Times New Roman"/>
                  <w:color w:val="003399"/>
                  <w:sz w:val="14"/>
                  <w:szCs w:val="14"/>
                  <w:u w:val="single"/>
                  <w:vertAlign w:val="superscript"/>
                </w:rPr>
                <w:t>699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30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30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30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amiodarone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30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30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amiodarone effects (eg, hypotension, bradycardia,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30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 with saquinavir/ritonavir or tipranavir/ritonavir. Others use with caution; monitor amiodarone adverse effects. Consider obtaining ECG and monitoring amiodarone levels.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Amitriptyline</w:t>
            </w:r>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(Elavil)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expected increase in amitriptyline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amitriptyline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Initiate amitriptyline low dose and titrate according to response, adverse effects, and/or drug levels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Antacids</w:t>
            </w:r>
            <w:hyperlink r:id="rId5" w:anchor="707" w:history="1">
              <w:r w:rsidRPr="000154F1">
                <w:rPr>
                  <w:rFonts w:ascii="Verdana" w:eastAsia="Times New Roman" w:hAnsi="Verdana" w:cs="Times New Roman"/>
                  <w:color w:val="003399"/>
                  <w:sz w:val="14"/>
                  <w:szCs w:val="14"/>
                  <w:u w:val="single"/>
                  <w:vertAlign w:val="superscript"/>
                </w:rPr>
                <w:t>707</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Elvitegravir AUC decreased 40-50% if administered simultaneously with antacid. AUC decreased 15-20% if antacid administered 2 hours </w:t>
            </w:r>
            <w:r w:rsidRPr="000154F1">
              <w:rPr>
                <w:rFonts w:ascii="Verdana" w:eastAsia="Times New Roman" w:hAnsi="Verdana" w:cs="Times New Roman"/>
                <w:color w:val="333333"/>
                <w:sz w:val="18"/>
                <w:szCs w:val="18"/>
              </w:rPr>
              <w:lastRenderedPageBreak/>
              <w:t>before or after elvitegravir. No change in AUC if antacid administered 4 hours before or after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Potential for decreased effects of EVG if antacid administered within +/- 2 hours.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Separate administration of EVG and antacid by more than 2 hours.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Apixaban</w:t>
            </w:r>
            <w:hyperlink r:id="rId6" w:anchor="699" w:history="1">
              <w:r w:rsidRPr="000154F1">
                <w:rPr>
                  <w:rFonts w:ascii="Verdana" w:eastAsia="Times New Roman" w:hAnsi="Verdana" w:cs="Times New Roman"/>
                  <w:color w:val="003399"/>
                  <w:sz w:val="14"/>
                  <w:szCs w:val="14"/>
                  <w:u w:val="single"/>
                  <w:vertAlign w:val="superscript"/>
                </w:rPr>
                <w:t>699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apixaban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for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apixaban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Use alternative anticoagulant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Atorvastatin</w:t>
            </w:r>
            <w:hyperlink r:id="rId7" w:anchor="717" w:history="1">
              <w:r w:rsidRPr="000154F1">
                <w:rPr>
                  <w:rFonts w:ascii="Verdana" w:eastAsia="Times New Roman" w:hAnsi="Verdana" w:cs="Times New Roman"/>
                  <w:color w:val="003399"/>
                  <w:sz w:val="14"/>
                  <w:szCs w:val="14"/>
                  <w:u w:val="single"/>
                  <w:vertAlign w:val="superscript"/>
                </w:rPr>
                <w:t>717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See individual PIs for specific effects. Atorvastatin levels increased 79% - 836% with ritonavir-boosted PIs.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atorvastatin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 with tipranavir. Use with caution with other PIs - initiate lowest dose and titrate slowly, monitor for adverse effects. Do not exceed 20 mg atorvastatin daily for darunavir.</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Avanafil</w:t>
            </w:r>
            <w:hyperlink r:id="rId8" w:anchor="727" w:history="1">
              <w:r w:rsidRPr="000154F1">
                <w:rPr>
                  <w:rFonts w:ascii="Verdana" w:eastAsia="Times New Roman" w:hAnsi="Verdana" w:cs="Times New Roman"/>
                  <w:color w:val="003399"/>
                  <w:sz w:val="14"/>
                  <w:szCs w:val="14"/>
                  <w:u w:val="single"/>
                  <w:vertAlign w:val="superscript"/>
                </w:rPr>
                <w:t>727</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(Stendra)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avanafil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Avoid coadministration</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Boceprevir</w:t>
            </w:r>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(Victrelis)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decreased boceprevir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loss of anti-HCV activity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Bosentan</w:t>
            </w:r>
            <w:hyperlink r:id="rId9" w:anchor="699" w:history="1">
              <w:r w:rsidRPr="000154F1">
                <w:rPr>
                  <w:rFonts w:ascii="Verdana" w:eastAsia="Times New Roman" w:hAnsi="Verdana" w:cs="Times New Roman"/>
                  <w:color w:val="003399"/>
                  <w:sz w:val="14"/>
                  <w:szCs w:val="14"/>
                  <w:u w:val="single"/>
                  <w:vertAlign w:val="superscript"/>
                </w:rPr>
                <w:t>699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likely increased levels of bosentan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bosentan toxicity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bosentan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If patient has been on elvitegravir with a ritonavir boosted protease inhibitor for more than 10 days, start bosentan at 62.5 mg daily or every other day. If patient is currently on bosentan and requires the use of elvitegravir with a ritonavir boosted PI, stop bosentan for at least 36 hours prior to initiating ART. Wait 10 days and then resume bosentan </w:t>
            </w:r>
            <w:r w:rsidRPr="000154F1">
              <w:rPr>
                <w:rFonts w:ascii="Verdana" w:eastAsia="Times New Roman" w:hAnsi="Verdana" w:cs="Times New Roman"/>
                <w:color w:val="333333"/>
                <w:sz w:val="18"/>
                <w:szCs w:val="18"/>
              </w:rPr>
              <w:lastRenderedPageBreak/>
              <w:t>starting with 62.5 mg daily or every other day.</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Bupropion</w:t>
            </w:r>
            <w:hyperlink r:id="rId10" w:anchor="705" w:history="1">
              <w:r w:rsidRPr="000154F1">
                <w:rPr>
                  <w:rFonts w:ascii="Verdana" w:eastAsia="Times New Roman" w:hAnsi="Verdana" w:cs="Times New Roman"/>
                  <w:color w:val="003399"/>
                  <w:sz w:val="14"/>
                  <w:szCs w:val="14"/>
                  <w:u w:val="single"/>
                  <w:vertAlign w:val="superscript"/>
                </w:rPr>
                <w:t>705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(Zyban)(Wellbutrin)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decrease bupropion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decreased bupropion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bupropion response and adverse effects, titrate dose.</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Buspirone</w:t>
            </w:r>
            <w:hyperlink r:id="rId11" w:anchor="707" w:history="1">
              <w:r w:rsidRPr="000154F1">
                <w:rPr>
                  <w:rFonts w:ascii="Verdana" w:eastAsia="Times New Roman" w:hAnsi="Verdana" w:cs="Times New Roman"/>
                  <w:color w:val="003399"/>
                  <w:sz w:val="14"/>
                  <w:szCs w:val="14"/>
                  <w:u w:val="single"/>
                  <w:vertAlign w:val="superscript"/>
                </w:rPr>
                <w:t>707</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(Buspar)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possible increased levels of buspirone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buspirone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Start with low dose buspirone and titrate accordingly. Monitor for side effects.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Citalopram</w:t>
            </w:r>
            <w:hyperlink r:id="rId12" w:anchor="705" w:history="1">
              <w:r w:rsidRPr="000154F1">
                <w:rPr>
                  <w:rFonts w:ascii="Verdana" w:eastAsia="Times New Roman" w:hAnsi="Verdana" w:cs="Times New Roman"/>
                  <w:color w:val="003399"/>
                  <w:sz w:val="14"/>
                  <w:szCs w:val="14"/>
                  <w:u w:val="single"/>
                  <w:vertAlign w:val="superscript"/>
                </w:rPr>
                <w:t>705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(Celexa)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decrease citalopram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decreased antidepressant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citalopram response and titrate dose</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Cyclosporine</w:t>
            </w:r>
            <w:hyperlink r:id="rId13" w:anchor="721" w:history="1">
              <w:r w:rsidRPr="000154F1">
                <w:rPr>
                  <w:rFonts w:ascii="Verdana" w:eastAsia="Times New Roman" w:hAnsi="Verdana" w:cs="Times New Roman"/>
                  <w:color w:val="003399"/>
                  <w:sz w:val="14"/>
                  <w:szCs w:val="14"/>
                  <w:u w:val="single"/>
                  <w:vertAlign w:val="superscript"/>
                </w:rPr>
                <w:t>721</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(Neoral, Sandimmune)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ritonavir-boosted PI likely increases cyclosporine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cyclosporine toxicity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Initiate lower dose of immunosuppressant; monitor concentrations and toxicity, consult with specialist, and adjust dose as necessary</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Dabigatran</w:t>
            </w:r>
            <w:hyperlink r:id="rId14" w:anchor="701" w:history="1">
              <w:r w:rsidRPr="000154F1">
                <w:rPr>
                  <w:rFonts w:ascii="Verdana" w:eastAsia="Times New Roman" w:hAnsi="Verdana" w:cs="Times New Roman"/>
                  <w:color w:val="003399"/>
                  <w:sz w:val="14"/>
                  <w:szCs w:val="14"/>
                  <w:u w:val="single"/>
                  <w:vertAlign w:val="superscript"/>
                </w:rPr>
                <w:t>701</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(Pradaxa)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dabigatran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for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dabigatran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adjustment necessary if CrCl &gt; 50 ml/min. Avoid concomitant use if CrCl &lt; 50ml/min.</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Dasabuvir, Ombitasvir/Paritaprevir/Ritonavir</w:t>
            </w:r>
            <w:hyperlink r:id="rId15" w:anchor="711" w:history="1">
              <w:r w:rsidRPr="000154F1">
                <w:rPr>
                  <w:rFonts w:ascii="Verdana" w:eastAsia="Times New Roman" w:hAnsi="Verdana" w:cs="Times New Roman"/>
                  <w:color w:val="003399"/>
                  <w:sz w:val="14"/>
                  <w:szCs w:val="14"/>
                  <w:u w:val="single"/>
                  <w:vertAlign w:val="superscript"/>
                </w:rPr>
                <w:t>711</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Duplicate pharmacokinetic boosters (ritonavir) and CYP3A4 inhibition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Desipramine</w:t>
            </w:r>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(Norpramin)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Expected increase in desipramine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risk of desipramine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Initiate lowest dose of desipramine and titrate according to efficacy, adverse effects and/or levels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Dexamethasone</w:t>
            </w:r>
            <w:hyperlink r:id="rId16"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(Decadron)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decrease levels of elvitegravir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decreased elvitegravir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Use with caution; monitor viral load if extended dexamethasone use.</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Digoxin</w:t>
            </w:r>
            <w:hyperlink r:id="rId17"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(others)(Lanoxin)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digoxin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digoxin toxicity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Use with caution; monitor levels and digoxin </w:t>
            </w:r>
            <w:r w:rsidRPr="000154F1">
              <w:rPr>
                <w:rFonts w:ascii="Verdana" w:eastAsia="Times New Roman" w:hAnsi="Verdana" w:cs="Times New Roman"/>
                <w:color w:val="333333"/>
                <w:sz w:val="18"/>
                <w:szCs w:val="18"/>
              </w:rPr>
              <w:lastRenderedPageBreak/>
              <w:t>adverse effects</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Diltiazem</w:t>
            </w:r>
            <w:hyperlink r:id="rId18"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(Dilacor, Tiazac, Cardizem)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levels of diltiazem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increased risk of diltiazem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If using elvitegravir with ritonavir-boosted atazanavir, decrease diltiazem dose 50% and monitor ECG. For elvitegravir with other ritonavir boosted protease inhibitors, use diltiazem with caution.</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Disopyramide</w:t>
            </w:r>
            <w:hyperlink r:id="rId19"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(Norpace, Norpace CR)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disopyramide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increased risk of disopyramide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Use with caution; monitor for disopyramide toxicity</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Doxepin</w:t>
            </w:r>
            <w:hyperlink r:id="rId20" w:anchor="705" w:history="1">
              <w:r w:rsidRPr="000154F1">
                <w:rPr>
                  <w:rFonts w:ascii="Verdana" w:eastAsia="Times New Roman" w:hAnsi="Verdana" w:cs="Times New Roman"/>
                  <w:color w:val="003399"/>
                  <w:sz w:val="14"/>
                  <w:szCs w:val="14"/>
                  <w:u w:val="single"/>
                  <w:vertAlign w:val="superscript"/>
                </w:rPr>
                <w:t>705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(Silenor)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doxepin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Potential increase in doxepin-related adverse effects (e.g. sedation, </w:t>
            </w:r>
            <w:r w:rsidRPr="000154F1">
              <w:rPr>
                <w:rFonts w:ascii="Verdana" w:eastAsia="Times New Roman" w:hAnsi="Verdana" w:cs="Times New Roman"/>
                <w:color w:val="333333"/>
                <w:sz w:val="18"/>
                <w:szCs w:val="18"/>
              </w:rPr>
              <w:lastRenderedPageBreak/>
              <w:t>dry mouth, etc.)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Start with lowest possible dose of doxepin. Monitor response and titrate dose.</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Dronedarone</w:t>
            </w:r>
            <w:hyperlink r:id="rId21"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(Multaq)</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dronedarone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dronedarone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Escitalopram</w:t>
            </w:r>
            <w:hyperlink r:id="rId22" w:anchor="705" w:history="1">
              <w:r w:rsidRPr="000154F1">
                <w:rPr>
                  <w:rFonts w:ascii="Verdana" w:eastAsia="Times New Roman" w:hAnsi="Verdana" w:cs="Times New Roman"/>
                  <w:color w:val="003399"/>
                  <w:sz w:val="14"/>
                  <w:szCs w:val="14"/>
                  <w:u w:val="single"/>
                  <w:vertAlign w:val="superscript"/>
                </w:rPr>
                <w:t>705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(Lexapro)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decrease escitalopram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decreased antidepressant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escitalopram response and titrate dose</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Everolimus</w:t>
            </w:r>
            <w:hyperlink r:id="rId23" w:anchor="727" w:history="1">
              <w:r w:rsidRPr="000154F1">
                <w:rPr>
                  <w:rFonts w:ascii="Verdana" w:eastAsia="Times New Roman" w:hAnsi="Verdana" w:cs="Times New Roman"/>
                  <w:color w:val="003399"/>
                  <w:sz w:val="14"/>
                  <w:szCs w:val="14"/>
                  <w:u w:val="single"/>
                  <w:vertAlign w:val="superscript"/>
                </w:rPr>
                <w:t>727</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(Zortress, Afintor)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everolimus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everolimus effects (e.g. excessive 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sirolimus levels and adjust dose as indicated</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Flecainide</w:t>
            </w:r>
            <w:hyperlink r:id="rId24"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(Tambocor)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flecainide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flecainide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Fluoxetine</w:t>
            </w:r>
            <w:hyperlink r:id="rId25" w:anchor="705" w:history="1">
              <w:r w:rsidRPr="000154F1">
                <w:rPr>
                  <w:rFonts w:ascii="Verdana" w:eastAsia="Times New Roman" w:hAnsi="Verdana" w:cs="Times New Roman"/>
                  <w:color w:val="003399"/>
                  <w:sz w:val="14"/>
                  <w:szCs w:val="14"/>
                  <w:u w:val="single"/>
                  <w:vertAlign w:val="superscript"/>
                </w:rPr>
                <w:t>705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(Prozac)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decrease fluoxetine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decreased antidepressant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fluoxetine response and titrate dose</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Fluticasone</w:t>
            </w:r>
            <w:hyperlink r:id="rId26"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(Advair, Flonase, Aerobid)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Not studied; </w:t>
            </w:r>
            <w:r w:rsidRPr="000154F1">
              <w:rPr>
                <w:rFonts w:ascii="Verdana" w:eastAsia="Times New Roman" w:hAnsi="Verdana" w:cs="Times New Roman"/>
                <w:color w:val="333333"/>
                <w:sz w:val="18"/>
                <w:szCs w:val="18"/>
              </w:rPr>
              <w:lastRenderedPageBreak/>
              <w:t>likely increased levels of fluticasone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Possible increased </w:t>
            </w:r>
            <w:r w:rsidRPr="000154F1">
              <w:rPr>
                <w:rFonts w:ascii="Verdana" w:eastAsia="Times New Roman" w:hAnsi="Verdana" w:cs="Times New Roman"/>
                <w:color w:val="333333"/>
                <w:sz w:val="18"/>
                <w:szCs w:val="18"/>
              </w:rPr>
              <w:lastRenderedPageBreak/>
              <w:t>fluticasone effects (eg, Cushing's syndrome, adrenal 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 xml:space="preserve">Inhibition of </w:t>
            </w:r>
            <w:r w:rsidRPr="000154F1">
              <w:rPr>
                <w:rFonts w:ascii="Verdana" w:eastAsia="Times New Roman" w:hAnsi="Verdana" w:cs="Times New Roman"/>
                <w:color w:val="333333"/>
                <w:sz w:val="18"/>
                <w:szCs w:val="18"/>
              </w:rPr>
              <w:lastRenderedPageBreak/>
              <w:t>fluticasone metabolism by CYP3A4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 xml:space="preserve">Consider using </w:t>
            </w:r>
            <w:r w:rsidRPr="000154F1">
              <w:rPr>
                <w:rFonts w:ascii="Verdana" w:eastAsia="Times New Roman" w:hAnsi="Verdana" w:cs="Times New Roman"/>
                <w:color w:val="333333"/>
                <w:sz w:val="18"/>
                <w:szCs w:val="18"/>
              </w:rPr>
              <w:lastRenderedPageBreak/>
              <w:t>alternative corticosteroid such as beclomethasone</w:t>
            </w:r>
          </w:p>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i/>
                <w:iCs/>
                <w:color w:val="333333"/>
                <w:sz w:val="18"/>
                <w:szCs w:val="18"/>
              </w:rPr>
              <w:t>Alternative Agents</w:t>
            </w:r>
            <w:r w:rsidRPr="000154F1">
              <w:rPr>
                <w:rFonts w:ascii="Verdana" w:eastAsia="Times New Roman" w:hAnsi="Verdana" w:cs="Times New Roman"/>
                <w:color w:val="333333"/>
                <w:sz w:val="18"/>
                <w:szCs w:val="18"/>
              </w:rPr>
              <w:t>: </w:t>
            </w:r>
            <w:r w:rsidRPr="000154F1">
              <w:rPr>
                <w:rFonts w:ascii="Verdana" w:eastAsia="Times New Roman" w:hAnsi="Verdana" w:cs="Times New Roman"/>
                <w:color w:val="333333"/>
                <w:sz w:val="18"/>
                <w:szCs w:val="18"/>
              </w:rPr>
              <w:br/>
            </w:r>
            <w:r w:rsidRPr="000154F1">
              <w:rPr>
                <w:rFonts w:ascii="Verdana" w:eastAsia="Times New Roman" w:hAnsi="Verdana" w:cs="Times New Roman"/>
                <w:b/>
                <w:bCs/>
                <w:color w:val="333333"/>
                <w:sz w:val="18"/>
                <w:szCs w:val="18"/>
              </w:rPr>
              <w:t>Beclomethasone</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Fluvoxamine</w:t>
            </w:r>
            <w:hyperlink r:id="rId27" w:anchor="705" w:history="1">
              <w:r w:rsidRPr="000154F1">
                <w:rPr>
                  <w:rFonts w:ascii="Verdana" w:eastAsia="Times New Roman" w:hAnsi="Verdana" w:cs="Times New Roman"/>
                  <w:color w:val="003399"/>
                  <w:sz w:val="14"/>
                  <w:szCs w:val="14"/>
                  <w:u w:val="single"/>
                  <w:vertAlign w:val="superscript"/>
                </w:rPr>
                <w:t>705</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or decrease elvitegravir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decreased elvitegravir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Consider alternative antidepressant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Imipramine</w:t>
            </w:r>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(Tofranil)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Expected increased imipramine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imipramine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Initiate imipramine at lowest dose. Monitor response and titrate according to efficacy, adverse effects, and/or drug levels.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Itraconazole</w:t>
            </w:r>
            <w:hyperlink r:id="rId28"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itraconazole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potential increased elvitegravir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increased adverse effects from both elvitegravir and itraconazole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CYP3A4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Consider keeping doses of itraconazole less than 200 mg/day when elvitegravir is boosted with ritonavir or cobicistat.</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 xml:space="preserve">Dose of Elvitegravir/ritonavir-boosted </w:t>
            </w:r>
            <w:r w:rsidRPr="000154F1">
              <w:rPr>
                <w:rFonts w:ascii="Verdana" w:eastAsia="Times New Roman" w:hAnsi="Verdana" w:cs="Times New Roman"/>
                <w:b/>
                <w:bCs/>
                <w:color w:val="333333"/>
                <w:sz w:val="18"/>
                <w:szCs w:val="18"/>
              </w:rPr>
              <w:lastRenderedPageBreak/>
              <w:t>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lastRenderedPageBreak/>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 xml:space="preserve">Effect on Elvitegravir/ritonavir-boosted </w:t>
            </w:r>
            <w:r w:rsidRPr="000154F1">
              <w:rPr>
                <w:rFonts w:ascii="Verdana" w:eastAsia="Times New Roman" w:hAnsi="Verdana" w:cs="Times New Roman"/>
                <w:b/>
                <w:bCs/>
                <w:color w:val="333333"/>
                <w:sz w:val="18"/>
                <w:szCs w:val="18"/>
              </w:rPr>
              <w:lastRenderedPageBreak/>
              <w:t>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lastRenderedPageBreak/>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Ledipasvir/sofosbuvir</w:t>
            </w:r>
            <w:hyperlink r:id="rId29" w:anchor="713" w:history="1">
              <w:r w:rsidRPr="000154F1">
                <w:rPr>
                  <w:rFonts w:ascii="Verdana" w:eastAsia="Times New Roman" w:hAnsi="Verdana" w:cs="Times New Roman"/>
                  <w:color w:val="003399"/>
                  <w:sz w:val="14"/>
                  <w:szCs w:val="14"/>
                  <w:u w:val="single"/>
                  <w:vertAlign w:val="superscript"/>
                </w:rPr>
                <w:t>713</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Ledipasvir 90 mg QD with sofosbuvir 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150/150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Ledipasvir AUC increased 96-113% with atazanavir/ritonavir. No significant effect expected with atazanavir/cobicistat, darunavir, fosamprenavir, lopinavir/ritonavir, saquinavir. Decreased ledipasvir/sofosbuvir levels expected with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With atazanavir/ritonavir, atazanavir AUC increased 33%; no significant effect expected for atazanavir/cobicistat, darunavir, fosamprenavir, lopinavir/ritonavir, saquinavir, or tipranavir.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loss of anti-HCV activity if combined with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dose adjustment necessary; monitor for tenofovir toxicity if tenofovir included in the regimen.</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Lidocaine</w:t>
            </w:r>
            <w:hyperlink r:id="rId30"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(Xylocaine)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effects of lidocaine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increased risk of lidocaine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 with saquinavir/ritonavir. Use with caution with other protease inhibitors; monitor for lidocaine toxicity.</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Lovastatin</w:t>
            </w:r>
            <w:hyperlink r:id="rId31" w:anchor="719" w:history="1">
              <w:r w:rsidRPr="000154F1">
                <w:rPr>
                  <w:rFonts w:ascii="Verdana" w:eastAsia="Times New Roman" w:hAnsi="Verdana" w:cs="Times New Roman"/>
                  <w:color w:val="003399"/>
                  <w:sz w:val="14"/>
                  <w:szCs w:val="14"/>
                  <w:u w:val="single"/>
                  <w:vertAlign w:val="superscript"/>
                </w:rPr>
                <w:t>719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(Mevacor)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lovastatin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risk of lovastatin adverse effects (rhabdomyolysis, etc.)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i/>
                <w:iCs/>
                <w:color w:val="333333"/>
                <w:sz w:val="18"/>
                <w:szCs w:val="18"/>
              </w:rPr>
              <w:t>Alternative Agents</w:t>
            </w:r>
            <w:r w:rsidRPr="000154F1">
              <w:rPr>
                <w:rFonts w:ascii="Verdana" w:eastAsia="Times New Roman" w:hAnsi="Verdana" w:cs="Times New Roman"/>
                <w:color w:val="333333"/>
                <w:sz w:val="18"/>
                <w:szCs w:val="18"/>
              </w:rPr>
              <w:t>: </w:t>
            </w:r>
            <w:r w:rsidRPr="000154F1">
              <w:rPr>
                <w:rFonts w:ascii="Verdana" w:eastAsia="Times New Roman" w:hAnsi="Verdana" w:cs="Times New Roman"/>
                <w:color w:val="333333"/>
                <w:sz w:val="18"/>
                <w:szCs w:val="18"/>
              </w:rPr>
              <w:br/>
            </w:r>
            <w:r w:rsidRPr="000154F1">
              <w:rPr>
                <w:rFonts w:ascii="Verdana" w:eastAsia="Times New Roman" w:hAnsi="Verdana" w:cs="Times New Roman"/>
                <w:b/>
                <w:bCs/>
                <w:color w:val="333333"/>
                <w:sz w:val="18"/>
                <w:szCs w:val="18"/>
              </w:rPr>
              <w:t>Atorvastatin Pravastatin</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Methadone</w:t>
            </w:r>
            <w:hyperlink r:id="rId32" w:anchor="727" w:history="1">
              <w:r w:rsidRPr="000154F1">
                <w:rPr>
                  <w:rFonts w:ascii="Verdana" w:eastAsia="Times New Roman" w:hAnsi="Verdana" w:cs="Times New Roman"/>
                  <w:color w:val="003399"/>
                  <w:sz w:val="14"/>
                  <w:szCs w:val="14"/>
                  <w:u w:val="single"/>
                  <w:vertAlign w:val="superscript"/>
                </w:rPr>
                <w:t>727</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Methadone AUC decreased 19-53% when co-administered with ritonavir-boosted protease inhibitors.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decreased methadone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pain control and signs of opioid withdrawl. Dose adjust accordingly.</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Methylprednisolone</w:t>
            </w:r>
            <w:hyperlink r:id="rId33"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(Solu-medrol, Depo-medrol)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levels of methyprednisolone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adrenal insufficiency and Cushing's syndrome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Mexiletine</w:t>
            </w:r>
            <w:hyperlink r:id="rId34" w:anchor="699" w:history="1">
              <w:r w:rsidRPr="000154F1">
                <w:rPr>
                  <w:rFonts w:ascii="Verdana" w:eastAsia="Times New Roman" w:hAnsi="Verdana" w:cs="Times New Roman"/>
                  <w:color w:val="003399"/>
                  <w:sz w:val="14"/>
                  <w:szCs w:val="14"/>
                  <w:u w:val="single"/>
                  <w:vertAlign w:val="superscript"/>
                </w:rPr>
                <w:t>699</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levels of mexiletine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increased risk of mexiletine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Use with caution; monitor for mexiletine toxicity</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Norgestimate/ethinyl estradiol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Not studied; possible </w:t>
            </w:r>
            <w:r w:rsidRPr="000154F1">
              <w:rPr>
                <w:rFonts w:ascii="Verdana" w:eastAsia="Times New Roman" w:hAnsi="Verdana" w:cs="Times New Roman"/>
                <w:color w:val="333333"/>
                <w:sz w:val="18"/>
                <w:szCs w:val="18"/>
              </w:rPr>
              <w:lastRenderedPageBreak/>
              <w:t>decreased levels of ethinyl estradiol and norethindrone.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 xml:space="preserve">No clinically significant effect on </w:t>
            </w:r>
            <w:r w:rsidRPr="000154F1">
              <w:rPr>
                <w:rFonts w:ascii="Verdana" w:eastAsia="Times New Roman" w:hAnsi="Verdana" w:cs="Times New Roman"/>
                <w:color w:val="333333"/>
                <w:sz w:val="18"/>
                <w:szCs w:val="18"/>
              </w:rPr>
              <w:lastRenderedPageBreak/>
              <w:t>antiretrovirals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 xml:space="preserve">Possible loss of hormonal </w:t>
            </w:r>
            <w:r w:rsidRPr="000154F1">
              <w:rPr>
                <w:rFonts w:ascii="Verdana" w:eastAsia="Times New Roman" w:hAnsi="Verdana" w:cs="Times New Roman"/>
                <w:color w:val="333333"/>
                <w:sz w:val="18"/>
                <w:szCs w:val="18"/>
              </w:rPr>
              <w:lastRenderedPageBreak/>
              <w:t>contraceptive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With atazanavir/ritonavir, </w:t>
            </w:r>
            <w:r w:rsidRPr="000154F1">
              <w:rPr>
                <w:rFonts w:ascii="Verdana" w:eastAsia="Times New Roman" w:hAnsi="Verdana" w:cs="Times New Roman"/>
                <w:color w:val="333333"/>
                <w:sz w:val="18"/>
                <w:szCs w:val="18"/>
              </w:rPr>
              <w:lastRenderedPageBreak/>
              <w:t>oral contraceptive should contain at least 35 mcg of ethinyl estradiol and only norethindrone has been studied. For other ritonavir boosted PIs recommend alternative or additional contraceptive method.</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Nortriptyline</w:t>
            </w:r>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(Pamelor)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Expected increased nortriptyline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nortriptyline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Initiate nortriptyline at lowest dose. Monitor response and titrate according to efficacy, adverse effects, and/or drug levels.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Paroxetine</w:t>
            </w:r>
            <w:hyperlink r:id="rId35" w:anchor="705" w:history="1">
              <w:r w:rsidRPr="000154F1">
                <w:rPr>
                  <w:rFonts w:ascii="Verdana" w:eastAsia="Times New Roman" w:hAnsi="Verdana" w:cs="Times New Roman"/>
                  <w:color w:val="003399"/>
                  <w:sz w:val="14"/>
                  <w:szCs w:val="14"/>
                  <w:u w:val="single"/>
                  <w:vertAlign w:val="superscript"/>
                </w:rPr>
                <w:t>705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(Paxil)(Paxil)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decrease paroxetine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decreased antidepressant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paroxetine response and titrate dose</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Pitavastatin</w:t>
            </w:r>
            <w:hyperlink r:id="rId36" w:anchor="603" w:history="1">
              <w:r w:rsidRPr="000154F1">
                <w:rPr>
                  <w:rFonts w:ascii="Verdana" w:eastAsia="Times New Roman" w:hAnsi="Verdana" w:cs="Times New Roman"/>
                  <w:color w:val="003399"/>
                  <w:sz w:val="14"/>
                  <w:szCs w:val="14"/>
                  <w:u w:val="single"/>
                  <w:vertAlign w:val="superscript"/>
                </w:rPr>
                <w:t>603</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(Livalo)</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Studied with darunavir/ritonavir (pitavastatin AUC decreased </w:t>
            </w:r>
            <w:r w:rsidRPr="000154F1">
              <w:rPr>
                <w:rFonts w:ascii="Verdana" w:eastAsia="Times New Roman" w:hAnsi="Verdana" w:cs="Times New Roman"/>
                <w:color w:val="333333"/>
                <w:sz w:val="18"/>
                <w:szCs w:val="18"/>
              </w:rPr>
              <w:lastRenderedPageBreak/>
              <w:t>26%), and lopinavir/ritonavir (pitavastatin AUC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No expected effect on ARV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decreased pitavastatin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dosage adjustment necessary; monitor and titrate to effect.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Posaconazole</w:t>
            </w:r>
            <w:hyperlink r:id="rId37" w:anchor="519" w:history="1">
              <w:r w:rsidRPr="000154F1">
                <w:rPr>
                  <w:rFonts w:ascii="Verdana" w:eastAsia="Times New Roman" w:hAnsi="Verdana" w:cs="Times New Roman"/>
                  <w:color w:val="003399"/>
                  <w:sz w:val="14"/>
                  <w:szCs w:val="14"/>
                  <w:u w:val="single"/>
                  <w:vertAlign w:val="superscript"/>
                </w:rPr>
                <w:t>519</w:t>
              </w:r>
            </w:hyperlink>
            <w:r w:rsidRPr="000154F1">
              <w:rPr>
                <w:rFonts w:ascii="Verdana" w:eastAsia="Times New Roman" w:hAnsi="Verdana" w:cs="Times New Roman"/>
                <w:color w:val="333333"/>
                <w:sz w:val="14"/>
                <w:szCs w:val="14"/>
                <w:vertAlign w:val="superscript"/>
              </w:rPr>
              <w:t>, </w:t>
            </w:r>
            <w:hyperlink r:id="rId38"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(Noxafil)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elvitegravir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increased elvitegravir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elvitegravir adverse effects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Prednisolone</w:t>
            </w:r>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prednisolone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Possibly increased prednisolone effects (adrenal insufficiency, Cushing’s syndrome).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Propafenone</w:t>
            </w:r>
            <w:hyperlink r:id="rId39"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(Rythmol)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propafenone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increased risk of propafenone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 with saquinavir, tipranavir, or fosamprenavir. Use with other PIs with caution; monitor for propafenone toxicity</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Quetiapine</w:t>
            </w:r>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(Seroquel)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Not studied; </w:t>
            </w:r>
            <w:r w:rsidRPr="000154F1">
              <w:rPr>
                <w:rFonts w:ascii="Verdana" w:eastAsia="Times New Roman" w:hAnsi="Verdana" w:cs="Times New Roman"/>
                <w:color w:val="333333"/>
                <w:sz w:val="18"/>
                <w:szCs w:val="18"/>
              </w:rPr>
              <w:lastRenderedPageBreak/>
              <w:t>potential increased quetiapine AUC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Possible increased </w:t>
            </w:r>
            <w:r w:rsidRPr="000154F1">
              <w:rPr>
                <w:rFonts w:ascii="Verdana" w:eastAsia="Times New Roman" w:hAnsi="Verdana" w:cs="Times New Roman"/>
                <w:color w:val="333333"/>
                <w:sz w:val="18"/>
                <w:szCs w:val="18"/>
              </w:rPr>
              <w:lastRenderedPageBreak/>
              <w:t>risk of quetiapine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For patients currently on </w:t>
            </w:r>
            <w:r w:rsidRPr="000154F1">
              <w:rPr>
                <w:rFonts w:ascii="Verdana" w:eastAsia="Times New Roman" w:hAnsi="Verdana" w:cs="Times New Roman"/>
                <w:color w:val="333333"/>
                <w:sz w:val="18"/>
                <w:szCs w:val="18"/>
              </w:rPr>
              <w:lastRenderedPageBreak/>
              <w:t>elvitegravir/cobicistat: initiate quetiapine at lowest possible dose. Titrate accordingly and monitor for adverse effects. If patient already on quetiapine and requiring new elvitegravir/cobicistat: reduce queitapine to 1/6 of original dose. Titrate and monitor efficacy and adverse effects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Quinidine</w:t>
            </w:r>
            <w:hyperlink r:id="rId40"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(others)(Quindex)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levels of quinidine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quinidine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Use with caution; monitor for quinidine toxicity</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Rifabutin</w:t>
            </w:r>
            <w:hyperlink r:id="rId41" w:anchor="697" w:history="1">
              <w:r w:rsidRPr="000154F1">
                <w:rPr>
                  <w:rFonts w:ascii="Verdana" w:eastAsia="Times New Roman" w:hAnsi="Verdana" w:cs="Times New Roman"/>
                  <w:color w:val="003399"/>
                  <w:sz w:val="14"/>
                  <w:szCs w:val="14"/>
                  <w:u w:val="single"/>
                  <w:vertAlign w:val="superscript"/>
                </w:rPr>
                <w:t>697</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AUC of 25-O-desacetyl-rifabutin (metabolite) by 951%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rifabutin adverse effects (e.g. uveitis)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Decrease rifabutin dose to 150 mg daily or 300 mg three times weekly</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Rifampin</w:t>
            </w:r>
            <w:hyperlink r:id="rId42" w:anchor="639" w:history="1">
              <w:r w:rsidRPr="000154F1">
                <w:rPr>
                  <w:rFonts w:ascii="Verdana" w:eastAsia="Times New Roman" w:hAnsi="Verdana" w:cs="Times New Roman"/>
                  <w:color w:val="003399"/>
                  <w:sz w:val="14"/>
                  <w:szCs w:val="14"/>
                  <w:u w:val="single"/>
                  <w:vertAlign w:val="superscript"/>
                </w:rPr>
                <w:t>639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Expected significant decrease in elvitegravir, cobicistat, and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loss of antiretroviral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Induction of CYP3A4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i/>
                <w:iCs/>
                <w:color w:val="333333"/>
                <w:sz w:val="18"/>
                <w:szCs w:val="18"/>
              </w:rPr>
              <w:t>Alternative Agents</w:t>
            </w:r>
            <w:r w:rsidRPr="000154F1">
              <w:rPr>
                <w:rFonts w:ascii="Verdana" w:eastAsia="Times New Roman" w:hAnsi="Verdana" w:cs="Times New Roman"/>
                <w:color w:val="333333"/>
                <w:sz w:val="18"/>
                <w:szCs w:val="18"/>
              </w:rPr>
              <w:t>: </w:t>
            </w:r>
            <w:r w:rsidRPr="000154F1">
              <w:rPr>
                <w:rFonts w:ascii="Verdana" w:eastAsia="Times New Roman" w:hAnsi="Verdana" w:cs="Times New Roman"/>
                <w:color w:val="333333"/>
                <w:sz w:val="18"/>
                <w:szCs w:val="18"/>
              </w:rPr>
              <w:br/>
            </w:r>
            <w:r w:rsidRPr="000154F1">
              <w:rPr>
                <w:rFonts w:ascii="Verdana" w:eastAsia="Times New Roman" w:hAnsi="Verdana" w:cs="Times New Roman"/>
                <w:b/>
                <w:bCs/>
                <w:color w:val="333333"/>
                <w:sz w:val="18"/>
                <w:szCs w:val="18"/>
              </w:rPr>
              <w:t>Rifabutin</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Rifapentine</w:t>
            </w:r>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(Priftin)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Expected significant decrease in elvitegravir and cobicistat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loss of antiretroviral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Rivaroxaban</w:t>
            </w:r>
            <w:hyperlink r:id="rId43" w:anchor="703" w:history="1">
              <w:r w:rsidRPr="000154F1">
                <w:rPr>
                  <w:rFonts w:ascii="Verdana" w:eastAsia="Times New Roman" w:hAnsi="Verdana" w:cs="Times New Roman"/>
                  <w:color w:val="003399"/>
                  <w:sz w:val="14"/>
                  <w:szCs w:val="14"/>
                  <w:u w:val="single"/>
                  <w:vertAlign w:val="superscript"/>
                </w:rPr>
                <w:t>703</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(Xarelto)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rivaroxaban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for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rivaroxaban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Avoid concomitant use; use alternative anticoagulant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Rosuvastatin</w:t>
            </w:r>
            <w:hyperlink r:id="rId44" w:anchor="723" w:history="1">
              <w:r w:rsidRPr="000154F1">
                <w:rPr>
                  <w:rFonts w:ascii="Verdana" w:eastAsia="Times New Roman" w:hAnsi="Verdana" w:cs="Times New Roman"/>
                  <w:color w:val="003399"/>
                  <w:sz w:val="14"/>
                  <w:szCs w:val="14"/>
                  <w:u w:val="single"/>
                  <w:vertAlign w:val="superscript"/>
                </w:rPr>
                <w:t>723</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(Crestor)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Atazanavir/ritonavir AUC increases 3-fold. Lopinavir/ritonavir increases AUC 108%. Darunavir/ritonavir increases AUC 48%. Tipranavir/ritonavir </w:t>
            </w:r>
            <w:r w:rsidRPr="000154F1">
              <w:rPr>
                <w:rFonts w:ascii="Verdana" w:eastAsia="Times New Roman" w:hAnsi="Verdana" w:cs="Times New Roman"/>
                <w:color w:val="333333"/>
                <w:sz w:val="18"/>
                <w:szCs w:val="18"/>
              </w:rPr>
              <w:lastRenderedPageBreak/>
              <w:t>increases AUC 26%. Rosuvastatin Cmax increased 123-700% when combined with above listed agents.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rosuvastatin effects; potential increased risk of myopathy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Initiate rosuvastatin at lowest dose and titrate carefully. Monitor for adverse effects. Do not exceed 10mg rosuvastatin daily if administering with lopinavir/rit</w:t>
            </w:r>
            <w:r w:rsidRPr="000154F1">
              <w:rPr>
                <w:rFonts w:ascii="Verdana" w:eastAsia="Times New Roman" w:hAnsi="Verdana" w:cs="Times New Roman"/>
                <w:color w:val="333333"/>
                <w:sz w:val="18"/>
                <w:szCs w:val="18"/>
              </w:rPr>
              <w:lastRenderedPageBreak/>
              <w:t>onavir or atazanavir/ritonavir.</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Sertraline</w:t>
            </w:r>
            <w:hyperlink r:id="rId45" w:anchor="705" w:history="1">
              <w:r w:rsidRPr="000154F1">
                <w:rPr>
                  <w:rFonts w:ascii="Verdana" w:eastAsia="Times New Roman" w:hAnsi="Verdana" w:cs="Times New Roman"/>
                  <w:color w:val="003399"/>
                  <w:sz w:val="14"/>
                  <w:szCs w:val="14"/>
                  <w:u w:val="single"/>
                  <w:vertAlign w:val="superscript"/>
                </w:rPr>
                <w:t>705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(Zoloft)(Zoloft)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decrease sertraline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decreased antidepressant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sertraline response and titrate dose</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Sildenafil</w:t>
            </w:r>
            <w:hyperlink r:id="rId46" w:anchor="727" w:history="1">
              <w:r w:rsidRPr="000154F1">
                <w:rPr>
                  <w:rFonts w:ascii="Verdana" w:eastAsia="Times New Roman" w:hAnsi="Verdana" w:cs="Times New Roman"/>
                  <w:color w:val="003399"/>
                  <w:sz w:val="14"/>
                  <w:szCs w:val="14"/>
                  <w:u w:val="single"/>
                  <w:vertAlign w:val="superscript"/>
                </w:rPr>
                <w:t>727</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Sildenafil levels increased when co-administered with boosted protease inhibitors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sildenafil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For erectile dysfunction, initiate sildenafil 25 mg every 48 hours and monitor for adverse effects. Manufacturer recommends not to exceed dose of 25 mg every 48 hours. Do not coadminister if using sildenafil for pulmonary arterial hypertension.</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Simeprevir</w:t>
            </w:r>
            <w:hyperlink r:id="rId47" w:anchor="679" w:history="1">
              <w:r w:rsidRPr="000154F1">
                <w:rPr>
                  <w:rFonts w:ascii="Verdana" w:eastAsia="Times New Roman" w:hAnsi="Verdana" w:cs="Times New Roman"/>
                  <w:color w:val="003399"/>
                  <w:sz w:val="14"/>
                  <w:szCs w:val="14"/>
                  <w:u w:val="single"/>
                  <w:vertAlign w:val="superscript"/>
                </w:rPr>
                <w:t>679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150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Studied with darunavir and </w:t>
            </w:r>
            <w:r w:rsidRPr="000154F1">
              <w:rPr>
                <w:rFonts w:ascii="Verdana" w:eastAsia="Times New Roman" w:hAnsi="Verdana" w:cs="Times New Roman"/>
                <w:color w:val="333333"/>
                <w:sz w:val="18"/>
                <w:szCs w:val="18"/>
              </w:rPr>
              <w:lastRenderedPageBreak/>
              <w:t>ritonavir. Expected increases in AUC 159% - 618%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 xml:space="preserve">Studied with darunavir and ritonavir, </w:t>
            </w:r>
            <w:r w:rsidRPr="000154F1">
              <w:rPr>
                <w:rFonts w:ascii="Verdana" w:eastAsia="Times New Roman" w:hAnsi="Verdana" w:cs="Times New Roman"/>
                <w:color w:val="333333"/>
                <w:sz w:val="18"/>
                <w:szCs w:val="18"/>
              </w:rPr>
              <w:lastRenderedPageBreak/>
              <w:t>increases in protease inhibitor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Increased simeprevir 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Simvastatin</w:t>
            </w:r>
            <w:hyperlink r:id="rId48" w:anchor="725" w:history="1">
              <w:r w:rsidRPr="000154F1">
                <w:rPr>
                  <w:rFonts w:ascii="Verdana" w:eastAsia="Times New Roman" w:hAnsi="Verdana" w:cs="Times New Roman"/>
                  <w:color w:val="003399"/>
                  <w:sz w:val="14"/>
                  <w:szCs w:val="14"/>
                  <w:u w:val="single"/>
                  <w:vertAlign w:val="superscript"/>
                </w:rPr>
                <w:t>725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(Zocor)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with PIs used with elvitegravir/ritonavir. Significant increase in simvastatin levels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simvastatin adverse effects (e.g. myopathy)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Sirolimus</w:t>
            </w:r>
            <w:hyperlink r:id="rId49" w:anchor="727" w:history="1">
              <w:r w:rsidRPr="000154F1">
                <w:rPr>
                  <w:rFonts w:ascii="Verdana" w:eastAsia="Times New Roman" w:hAnsi="Verdana" w:cs="Times New Roman"/>
                  <w:color w:val="003399"/>
                  <w:sz w:val="14"/>
                  <w:szCs w:val="14"/>
                  <w:u w:val="single"/>
                  <w:vertAlign w:val="superscript"/>
                </w:rPr>
                <w:t>727</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(Rapamycin)(Rapamune)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sirolimus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sirolimus effects (eg, excessive 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and adjust sirolimus dose as indicated</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St. John's Wort</w:t>
            </w:r>
            <w:hyperlink r:id="rId50" w:anchor="691" w:history="1">
              <w:r w:rsidRPr="000154F1">
                <w:rPr>
                  <w:rFonts w:ascii="Verdana" w:eastAsia="Times New Roman" w:hAnsi="Verdana" w:cs="Times New Roman"/>
                  <w:color w:val="003399"/>
                  <w:sz w:val="14"/>
                  <w:szCs w:val="14"/>
                  <w:u w:val="single"/>
                  <w:vertAlign w:val="superscript"/>
                </w:rPr>
                <w:t>691</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(Hypericum perforatum)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Expected decrease in elvitegravir, cobicistat, and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Potentially decreased antiretroviral effects and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Induction of CYP450 3A4 by St. 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Tacrolimus</w:t>
            </w:r>
            <w:hyperlink r:id="rId51" w:anchor="727" w:history="1">
              <w:r w:rsidRPr="000154F1">
                <w:rPr>
                  <w:rFonts w:ascii="Verdana" w:eastAsia="Times New Roman" w:hAnsi="Verdana" w:cs="Times New Roman"/>
                  <w:color w:val="003399"/>
                  <w:sz w:val="14"/>
                  <w:szCs w:val="14"/>
                  <w:u w:val="single"/>
                  <w:vertAlign w:val="superscript"/>
                </w:rPr>
                <w:t>727</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(Prograf)</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Not studied; may increase </w:t>
            </w:r>
            <w:r w:rsidRPr="000154F1">
              <w:rPr>
                <w:rFonts w:ascii="Verdana" w:eastAsia="Times New Roman" w:hAnsi="Verdana" w:cs="Times New Roman"/>
                <w:color w:val="333333"/>
                <w:sz w:val="18"/>
                <w:szCs w:val="18"/>
              </w:rPr>
              <w:lastRenderedPageBreak/>
              <w:t>tacrolimus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Increased tacrolimus effects (increased </w:t>
            </w:r>
            <w:r w:rsidRPr="000154F1">
              <w:rPr>
                <w:rFonts w:ascii="Verdana" w:eastAsia="Times New Roman" w:hAnsi="Verdana" w:cs="Times New Roman"/>
                <w:color w:val="333333"/>
                <w:sz w:val="18"/>
                <w:szCs w:val="18"/>
              </w:rPr>
              <w:lastRenderedPageBreak/>
              <w:t>immunosuppression)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 xml:space="preserve">Inhibition of CYP450 3A4 by </w:t>
            </w:r>
            <w:r w:rsidRPr="000154F1">
              <w:rPr>
                <w:rFonts w:ascii="Verdana" w:eastAsia="Times New Roman" w:hAnsi="Verdana" w:cs="Times New Roman"/>
                <w:color w:val="333333"/>
                <w:sz w:val="18"/>
                <w:szCs w:val="18"/>
              </w:rPr>
              <w:lastRenderedPageBreak/>
              <w:t>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Monitor and adjust tacrolimus as indicated</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Tadalafil</w:t>
            </w:r>
            <w:hyperlink r:id="rId52" w:anchor="731" w:history="1">
              <w:r w:rsidRPr="000154F1">
                <w:rPr>
                  <w:rFonts w:ascii="Verdana" w:eastAsia="Times New Roman" w:hAnsi="Verdana" w:cs="Times New Roman"/>
                  <w:color w:val="003399"/>
                  <w:sz w:val="14"/>
                  <w:szCs w:val="14"/>
                  <w:u w:val="single"/>
                  <w:vertAlign w:val="superscript"/>
                </w:rPr>
                <w:t>731</w:t>
              </w:r>
            </w:hyperlink>
            <w:r w:rsidRPr="000154F1">
              <w:rPr>
                <w:rFonts w:ascii="Verdana" w:eastAsia="Times New Roman" w:hAnsi="Verdana" w:cs="Times New Roman"/>
                <w:color w:val="333333"/>
                <w:sz w:val="14"/>
                <w:szCs w:val="14"/>
                <w:vertAlign w:val="superscript"/>
              </w:rPr>
              <w:t>, </w:t>
            </w:r>
            <w:hyperlink r:id="rId53" w:anchor="727" w:history="1">
              <w:r w:rsidRPr="000154F1">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Tadalafil levels increased when administered with ritonavir-boosted protease inhibitors.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Increased tadalafil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If initiating tadalafil for pulmonary arterial hypertension (PAH) in a patient already taking elvitegravir/ritonavir/PI for &gt;1 week: start tadalafil 20 mg once daily and increase to 40 mg as tolerated. If patient with PAH requires initiation of elvitegravir/ritonavir/PI: Stop tadalafil 24 hours prior to starting ART. Wait one week, then initiate tadalafil at 20 mg orally once daily. May increase to 40 mg as tolerated. For erectile dysfunction initiate tadalafil 5 mg dose do not exceed </w:t>
            </w:r>
            <w:r w:rsidRPr="000154F1">
              <w:rPr>
                <w:rFonts w:ascii="Verdana" w:eastAsia="Times New Roman" w:hAnsi="Verdana" w:cs="Times New Roman"/>
                <w:color w:val="333333"/>
                <w:sz w:val="18"/>
                <w:szCs w:val="18"/>
              </w:rPr>
              <w:lastRenderedPageBreak/>
              <w:t>10 mg in 72 hours.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Ticagrelor</w:t>
            </w:r>
            <w:hyperlink r:id="rId54" w:anchor="705" w:history="1">
              <w:r w:rsidRPr="000154F1">
                <w:rPr>
                  <w:rFonts w:ascii="Verdana" w:eastAsia="Times New Roman" w:hAnsi="Verdana" w:cs="Times New Roman"/>
                  <w:color w:val="003399"/>
                  <w:sz w:val="14"/>
                  <w:szCs w:val="14"/>
                  <w:u w:val="single"/>
                  <w:vertAlign w:val="superscript"/>
                </w:rPr>
                <w:t>705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(Brilinta)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ticagrelor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for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ticagrelor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Avoid concomitant use; use alternative antiplatelet agent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Trazodone</w:t>
            </w:r>
            <w:hyperlink r:id="rId55"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(Desyrel)(Desyrel)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trazodone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increase in trazodone effects (e.g. sedation)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Start with lowest dose of trazodone and titrate to response.</w:t>
            </w:r>
          </w:p>
        </w:tc>
      </w:tr>
      <w:tr w:rsidR="000154F1" w:rsidRPr="000154F1" w:rsidTr="000154F1">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Dose of Elvitegravir/ritonavir-boosted protease inhibitor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Effect on Elvitegravir/ritonavir-boosted protease inhibitor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0154F1" w:rsidRPr="000154F1" w:rsidRDefault="000154F1" w:rsidP="000154F1">
            <w:pPr>
              <w:spacing w:after="0" w:line="240" w:lineRule="auto"/>
              <w:jc w:val="center"/>
              <w:rPr>
                <w:rFonts w:ascii="Verdana" w:eastAsia="Times New Roman" w:hAnsi="Verdana" w:cs="Times New Roman"/>
                <w:b/>
                <w:bCs/>
                <w:color w:val="333333"/>
                <w:sz w:val="18"/>
                <w:szCs w:val="18"/>
              </w:rPr>
            </w:pPr>
            <w:r w:rsidRPr="000154F1">
              <w:rPr>
                <w:rFonts w:ascii="Verdana" w:eastAsia="Times New Roman" w:hAnsi="Verdana" w:cs="Times New Roman"/>
                <w:b/>
                <w:bCs/>
                <w:color w:val="333333"/>
                <w:sz w:val="18"/>
                <w:szCs w:val="18"/>
              </w:rPr>
              <w:t>Management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Triamcinolone</w:t>
            </w:r>
            <w:hyperlink r:id="rId56" w:anchor="707" w:history="1">
              <w:r w:rsidRPr="000154F1">
                <w:rPr>
                  <w:rFonts w:ascii="Verdana" w:eastAsia="Times New Roman" w:hAnsi="Verdana" w:cs="Times New Roman"/>
                  <w:color w:val="003399"/>
                  <w:sz w:val="14"/>
                  <w:szCs w:val="14"/>
                  <w:u w:val="single"/>
                  <w:vertAlign w:val="superscript"/>
                </w:rPr>
                <w:t>707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triamcinolone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risk of adrenal insufficiency and Cushing's syndrome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Do not coadminister</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Vardenafil</w:t>
            </w:r>
            <w:hyperlink r:id="rId57" w:anchor="727" w:history="1">
              <w:r w:rsidRPr="000154F1">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vardenafil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 effect expected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increased vardenafil effects (e.g. hypotension,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Initiate vardenafil 2.5 mg every 72 hours and monitor for adverse effects</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Verapamil</w:t>
            </w:r>
            <w:hyperlink r:id="rId58"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(Isoptin, Verelan, Calan)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Not studied; may increase </w:t>
            </w:r>
            <w:r w:rsidRPr="000154F1">
              <w:rPr>
                <w:rFonts w:ascii="Verdana" w:eastAsia="Times New Roman" w:hAnsi="Verdana" w:cs="Times New Roman"/>
                <w:color w:val="333333"/>
                <w:sz w:val="18"/>
                <w:szCs w:val="18"/>
              </w:rPr>
              <w:lastRenderedPageBreak/>
              <w:t>levels of verapamil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 xml:space="preserve">Potential increased risk of verapamil </w:t>
            </w:r>
            <w:r w:rsidRPr="000154F1">
              <w:rPr>
                <w:rFonts w:ascii="Verdana" w:eastAsia="Times New Roman" w:hAnsi="Verdana" w:cs="Times New Roman"/>
                <w:color w:val="333333"/>
                <w:sz w:val="18"/>
                <w:szCs w:val="18"/>
              </w:rPr>
              <w:lastRenderedPageBreak/>
              <w:t>adverse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Use with caution and monitor ECG</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Vorapaxar</w:t>
            </w:r>
            <w:hyperlink r:id="rId59" w:anchor="705" w:history="1">
              <w:r w:rsidRPr="000154F1">
                <w:rPr>
                  <w:rFonts w:ascii="Verdana" w:eastAsia="Times New Roman" w:hAnsi="Verdana" w:cs="Times New Roman"/>
                  <w:color w:val="003399"/>
                  <w:sz w:val="14"/>
                  <w:szCs w:val="14"/>
                  <w:u w:val="single"/>
                  <w:vertAlign w:val="superscript"/>
                </w:rPr>
                <w:t>705</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(Zontivity)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vorapaxar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for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Inhibition of vorapaxar metabolism via CYP3A4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Avoid concomitant use; use alternative antiplatelet agent</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Voriconazole</w:t>
            </w:r>
            <w:hyperlink r:id="rId60" w:anchor="515" w:history="1">
              <w:r w:rsidRPr="000154F1">
                <w:rPr>
                  <w:rFonts w:ascii="Verdana" w:eastAsia="Times New Roman" w:hAnsi="Verdana" w:cs="Times New Roman"/>
                  <w:color w:val="003399"/>
                  <w:sz w:val="14"/>
                  <w:szCs w:val="14"/>
                  <w:u w:val="single"/>
                  <w:vertAlign w:val="superscript"/>
                </w:rPr>
                <w:t>515</w:t>
              </w:r>
            </w:hyperlink>
            <w:r w:rsidRPr="000154F1">
              <w:rPr>
                <w:rFonts w:ascii="Verdana" w:eastAsia="Times New Roman" w:hAnsi="Verdana" w:cs="Times New Roman"/>
                <w:color w:val="333333"/>
                <w:sz w:val="14"/>
                <w:szCs w:val="14"/>
                <w:vertAlign w:val="superscript"/>
              </w:rPr>
              <w:t>, </w:t>
            </w:r>
            <w:hyperlink r:id="rId61"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(VFend)(VFend)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voriconazole levels reduced up to 39% when administered with ritonavir-boosted protease inhibitors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elvitegravir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Possible decreased antifungal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Weigh risks and benefits of using combination; consider monitoring voriconazole levels if used.</w:t>
            </w:r>
          </w:p>
        </w:tc>
      </w:tr>
      <w:tr w:rsidR="000154F1" w:rsidRPr="000154F1" w:rsidTr="000154F1">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Warfarin</w:t>
            </w:r>
            <w:hyperlink r:id="rId62" w:anchor="699" w:history="1">
              <w:r w:rsidRPr="000154F1">
                <w:rPr>
                  <w:rFonts w:ascii="Verdana" w:eastAsia="Times New Roman" w:hAnsi="Verdana" w:cs="Times New Roman"/>
                  <w:color w:val="003399"/>
                  <w:sz w:val="14"/>
                  <w:szCs w:val="14"/>
                  <w:u w:val="single"/>
                  <w:vertAlign w:val="superscript"/>
                </w:rPr>
                <w:t>699</w:t>
              </w:r>
            </w:hyperlink>
          </w:p>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(Coumadin)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Not studied; may increase warfarin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Potential increased risk of bleeding</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after="0"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0154F1" w:rsidRPr="000154F1" w:rsidRDefault="000154F1" w:rsidP="000154F1">
            <w:pPr>
              <w:spacing w:before="100" w:beforeAutospacing="1" w:after="100" w:afterAutospacing="1" w:line="240" w:lineRule="auto"/>
              <w:rPr>
                <w:rFonts w:ascii="Verdana" w:eastAsia="Times New Roman" w:hAnsi="Verdana" w:cs="Times New Roman"/>
                <w:color w:val="333333"/>
                <w:sz w:val="18"/>
                <w:szCs w:val="18"/>
              </w:rPr>
            </w:pPr>
            <w:r w:rsidRPr="000154F1">
              <w:rPr>
                <w:rFonts w:ascii="Verdana" w:eastAsia="Times New Roman" w:hAnsi="Verdana" w:cs="Times New Roman"/>
                <w:color w:val="333333"/>
                <w:sz w:val="18"/>
                <w:szCs w:val="18"/>
              </w:rPr>
              <w:t>Monitor INR and adjust warfarin dose</w:t>
            </w:r>
          </w:p>
        </w:tc>
      </w:tr>
      <w:tr w:rsidR="000154F1" w:rsidRPr="000154F1" w:rsidTr="000154F1">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 indicates that there are no data available</w:t>
            </w:r>
          </w:p>
        </w:tc>
      </w:tr>
    </w:tbl>
    <w:p w:rsidR="000154F1" w:rsidRPr="000154F1" w:rsidRDefault="000154F1" w:rsidP="000154F1">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 w:name="515"/>
            <w:r w:rsidRPr="000154F1">
              <w:rPr>
                <w:rFonts w:ascii="Arial" w:eastAsia="Times New Roman" w:hAnsi="Arial" w:cs="Arial"/>
                <w:color w:val="003399"/>
                <w:sz w:val="18"/>
                <w:szCs w:val="18"/>
              </w:rPr>
              <w:t> </w:t>
            </w:r>
            <w:bookmarkEnd w:id="1"/>
            <w:r w:rsidRPr="000154F1">
              <w:rPr>
                <w:rFonts w:ascii="Arial" w:eastAsia="Times New Roman" w:hAnsi="Arial" w:cs="Arial"/>
                <w:color w:val="003399"/>
                <w:sz w:val="18"/>
                <w:szCs w:val="18"/>
              </w:rPr>
              <w:t>515:</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Reyataz [package insert]. Princeton, NJ: Bristol-Myers Squibb Company, March 2012.</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2" w:name="519"/>
            <w:r w:rsidRPr="000154F1">
              <w:rPr>
                <w:rFonts w:ascii="Arial" w:eastAsia="Times New Roman" w:hAnsi="Arial" w:cs="Arial"/>
                <w:color w:val="003399"/>
                <w:sz w:val="18"/>
                <w:szCs w:val="18"/>
              </w:rPr>
              <w:t> </w:t>
            </w:r>
            <w:bookmarkEnd w:id="2"/>
            <w:r w:rsidRPr="000154F1">
              <w:rPr>
                <w:rFonts w:ascii="Arial" w:eastAsia="Times New Roman" w:hAnsi="Arial" w:cs="Arial"/>
                <w:color w:val="003399"/>
                <w:sz w:val="18"/>
                <w:szCs w:val="18"/>
              </w:rPr>
              <w:t>519:</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Krishna G, Moton A, Ma, L, et al. Effects of oral posaconazole on the pharmacokinetics of atazanavir alone and with ritonavir or with efavirenz in healthy adult volunteers. J Acquir Immune Defic Syndr 2009; 51: 437-444.</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3" w:name="603"/>
            <w:r w:rsidRPr="000154F1">
              <w:rPr>
                <w:rFonts w:ascii="Arial" w:eastAsia="Times New Roman" w:hAnsi="Arial" w:cs="Arial"/>
                <w:color w:val="003399"/>
                <w:sz w:val="18"/>
                <w:szCs w:val="18"/>
              </w:rPr>
              <w:t> </w:t>
            </w:r>
            <w:bookmarkEnd w:id="3"/>
            <w:r w:rsidRPr="000154F1">
              <w:rPr>
                <w:rFonts w:ascii="Arial" w:eastAsia="Times New Roman" w:hAnsi="Arial" w:cs="Arial"/>
                <w:color w:val="003399"/>
                <w:sz w:val="18"/>
                <w:szCs w:val="18"/>
              </w:rPr>
              <w:t>603:</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Livalo [package insert]. Montgomery, AL: Kowa Pharmaceuticals America, Inc.; February 2012.</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4" w:name="639"/>
            <w:r w:rsidRPr="000154F1">
              <w:rPr>
                <w:rFonts w:ascii="Arial" w:eastAsia="Times New Roman" w:hAnsi="Arial" w:cs="Arial"/>
                <w:color w:val="003399"/>
                <w:sz w:val="18"/>
                <w:szCs w:val="18"/>
              </w:rPr>
              <w:t> </w:t>
            </w:r>
            <w:bookmarkEnd w:id="4"/>
            <w:r w:rsidRPr="000154F1">
              <w:rPr>
                <w:rFonts w:ascii="Arial" w:eastAsia="Times New Roman" w:hAnsi="Arial" w:cs="Arial"/>
                <w:color w:val="003399"/>
                <w:sz w:val="18"/>
                <w:szCs w:val="18"/>
              </w:rPr>
              <w:t>639:</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DHHS. Guidelines for the use of antiretroviral agents in HIV-1 infected adults and adolescents. Feb 12, 2013.</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5" w:name="679"/>
            <w:r w:rsidRPr="000154F1">
              <w:rPr>
                <w:rFonts w:ascii="Arial" w:eastAsia="Times New Roman" w:hAnsi="Arial" w:cs="Arial"/>
                <w:color w:val="003399"/>
                <w:sz w:val="18"/>
                <w:szCs w:val="18"/>
              </w:rPr>
              <w:t> </w:t>
            </w:r>
            <w:bookmarkEnd w:id="5"/>
            <w:r w:rsidRPr="000154F1">
              <w:rPr>
                <w:rFonts w:ascii="Arial" w:eastAsia="Times New Roman" w:hAnsi="Arial" w:cs="Arial"/>
                <w:color w:val="003399"/>
                <w:sz w:val="18"/>
                <w:szCs w:val="18"/>
              </w:rPr>
              <w:t>679:</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Olysio [package insert]. Titusville, NJ: Janssen Therapeutics; 2013.</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6" w:name="691"/>
            <w:r w:rsidRPr="000154F1">
              <w:rPr>
                <w:rFonts w:ascii="Arial" w:eastAsia="Times New Roman" w:hAnsi="Arial" w:cs="Arial"/>
                <w:color w:val="003399"/>
                <w:sz w:val="18"/>
                <w:szCs w:val="18"/>
              </w:rPr>
              <w:t> </w:t>
            </w:r>
            <w:bookmarkEnd w:id="6"/>
            <w:r w:rsidRPr="000154F1">
              <w:rPr>
                <w:rFonts w:ascii="Arial" w:eastAsia="Times New Roman" w:hAnsi="Arial" w:cs="Arial"/>
                <w:color w:val="003399"/>
                <w:sz w:val="18"/>
                <w:szCs w:val="18"/>
              </w:rPr>
              <w:t>691:</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Tivicay [package insert]. Research Triangle Park, NC: Viiv Healthcare; August 2015</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7" w:name="697"/>
            <w:r w:rsidRPr="000154F1">
              <w:rPr>
                <w:rFonts w:ascii="Arial" w:eastAsia="Times New Roman" w:hAnsi="Arial" w:cs="Arial"/>
                <w:color w:val="003399"/>
                <w:sz w:val="18"/>
                <w:szCs w:val="18"/>
              </w:rPr>
              <w:t> </w:t>
            </w:r>
            <w:bookmarkEnd w:id="7"/>
            <w:r w:rsidRPr="000154F1">
              <w:rPr>
                <w:rFonts w:ascii="Arial" w:eastAsia="Times New Roman" w:hAnsi="Arial" w:cs="Arial"/>
                <w:color w:val="003399"/>
                <w:sz w:val="18"/>
                <w:szCs w:val="18"/>
              </w:rPr>
              <w:t>697:</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Vitekta [package insert]. Gilead Sciences; Foster City, CA. July 2015</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8" w:name="699"/>
            <w:r w:rsidRPr="000154F1">
              <w:rPr>
                <w:rFonts w:ascii="Arial" w:eastAsia="Times New Roman" w:hAnsi="Arial" w:cs="Arial"/>
                <w:color w:val="003399"/>
                <w:sz w:val="18"/>
                <w:szCs w:val="18"/>
              </w:rPr>
              <w:t> </w:t>
            </w:r>
            <w:bookmarkEnd w:id="8"/>
            <w:r w:rsidRPr="000154F1">
              <w:rPr>
                <w:rFonts w:ascii="Arial" w:eastAsia="Times New Roman" w:hAnsi="Arial" w:cs="Arial"/>
                <w:color w:val="003399"/>
                <w:sz w:val="18"/>
                <w:szCs w:val="18"/>
              </w:rPr>
              <w:t>699:</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9" w:name="701"/>
            <w:r w:rsidRPr="000154F1">
              <w:rPr>
                <w:rFonts w:ascii="Arial" w:eastAsia="Times New Roman" w:hAnsi="Arial" w:cs="Arial"/>
                <w:color w:val="003399"/>
                <w:sz w:val="18"/>
                <w:szCs w:val="18"/>
              </w:rPr>
              <w:t> </w:t>
            </w:r>
            <w:bookmarkEnd w:id="9"/>
            <w:r w:rsidRPr="000154F1">
              <w:rPr>
                <w:rFonts w:ascii="Arial" w:eastAsia="Times New Roman" w:hAnsi="Arial" w:cs="Arial"/>
                <w:color w:val="003399"/>
                <w:sz w:val="18"/>
                <w:szCs w:val="18"/>
              </w:rPr>
              <w:t>701:</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0" w:name="703"/>
            <w:r w:rsidRPr="000154F1">
              <w:rPr>
                <w:rFonts w:ascii="Arial" w:eastAsia="Times New Roman" w:hAnsi="Arial" w:cs="Arial"/>
                <w:color w:val="003399"/>
                <w:sz w:val="18"/>
                <w:szCs w:val="18"/>
              </w:rPr>
              <w:t> </w:t>
            </w:r>
            <w:bookmarkEnd w:id="10"/>
            <w:r w:rsidRPr="000154F1">
              <w:rPr>
                <w:rFonts w:ascii="Arial" w:eastAsia="Times New Roman" w:hAnsi="Arial" w:cs="Arial"/>
                <w:color w:val="003399"/>
                <w:sz w:val="18"/>
                <w:szCs w:val="18"/>
              </w:rPr>
              <w:t>703:</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Tybost [package insert]. Foster City, CA: Gilead Sciences, November 2015.</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1" w:name="705"/>
            <w:r w:rsidRPr="000154F1">
              <w:rPr>
                <w:rFonts w:ascii="Arial" w:eastAsia="Times New Roman" w:hAnsi="Arial" w:cs="Arial"/>
                <w:color w:val="003399"/>
                <w:sz w:val="18"/>
                <w:szCs w:val="18"/>
              </w:rPr>
              <w:lastRenderedPageBreak/>
              <w:t> </w:t>
            </w:r>
            <w:bookmarkEnd w:id="11"/>
            <w:r w:rsidRPr="000154F1">
              <w:rPr>
                <w:rFonts w:ascii="Arial" w:eastAsia="Times New Roman" w:hAnsi="Arial" w:cs="Arial"/>
                <w:color w:val="003399"/>
                <w:sz w:val="18"/>
                <w:szCs w:val="18"/>
              </w:rPr>
              <w:t>705:</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2" w:name="707"/>
            <w:r w:rsidRPr="000154F1">
              <w:rPr>
                <w:rFonts w:ascii="Arial" w:eastAsia="Times New Roman" w:hAnsi="Arial" w:cs="Arial"/>
                <w:color w:val="003399"/>
                <w:sz w:val="18"/>
                <w:szCs w:val="18"/>
              </w:rPr>
              <w:t> </w:t>
            </w:r>
            <w:bookmarkEnd w:id="12"/>
            <w:r w:rsidRPr="000154F1">
              <w:rPr>
                <w:rFonts w:ascii="Arial" w:eastAsia="Times New Roman" w:hAnsi="Arial" w:cs="Arial"/>
                <w:color w:val="003399"/>
                <w:sz w:val="18"/>
                <w:szCs w:val="18"/>
              </w:rPr>
              <w:t>707:</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3" w:name="711"/>
            <w:r w:rsidRPr="000154F1">
              <w:rPr>
                <w:rFonts w:ascii="Arial" w:eastAsia="Times New Roman" w:hAnsi="Arial" w:cs="Arial"/>
                <w:color w:val="003399"/>
                <w:sz w:val="18"/>
                <w:szCs w:val="18"/>
              </w:rPr>
              <w:t> </w:t>
            </w:r>
            <w:bookmarkEnd w:id="13"/>
            <w:r w:rsidRPr="000154F1">
              <w:rPr>
                <w:rFonts w:ascii="Arial" w:eastAsia="Times New Roman" w:hAnsi="Arial" w:cs="Arial"/>
                <w:color w:val="003399"/>
                <w:sz w:val="18"/>
                <w:szCs w:val="18"/>
              </w:rPr>
              <w:t>711:</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4" w:name="713"/>
            <w:r w:rsidRPr="000154F1">
              <w:rPr>
                <w:rFonts w:ascii="Arial" w:eastAsia="Times New Roman" w:hAnsi="Arial" w:cs="Arial"/>
                <w:color w:val="003399"/>
                <w:sz w:val="18"/>
                <w:szCs w:val="18"/>
              </w:rPr>
              <w:t> </w:t>
            </w:r>
            <w:bookmarkEnd w:id="14"/>
            <w:r w:rsidRPr="000154F1">
              <w:rPr>
                <w:rFonts w:ascii="Arial" w:eastAsia="Times New Roman" w:hAnsi="Arial" w:cs="Arial"/>
                <w:color w:val="003399"/>
                <w:sz w:val="18"/>
                <w:szCs w:val="18"/>
              </w:rPr>
              <w:t>713:</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Harvoni [package insert]. Foster City,CA: Gilead Sciences; 2016.</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5" w:name="717"/>
            <w:r w:rsidRPr="000154F1">
              <w:rPr>
                <w:rFonts w:ascii="Arial" w:eastAsia="Times New Roman" w:hAnsi="Arial" w:cs="Arial"/>
                <w:color w:val="003399"/>
                <w:sz w:val="18"/>
                <w:szCs w:val="18"/>
              </w:rPr>
              <w:t> </w:t>
            </w:r>
            <w:bookmarkEnd w:id="15"/>
            <w:r w:rsidRPr="000154F1">
              <w:rPr>
                <w:rFonts w:ascii="Arial" w:eastAsia="Times New Roman" w:hAnsi="Arial" w:cs="Arial"/>
                <w:color w:val="003399"/>
                <w:sz w:val="18"/>
                <w:szCs w:val="18"/>
              </w:rPr>
              <w:t>717:</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Stribild [package insert]. Foster City, CA: Gilead Sciences, Inc.; Feb 2016</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6" w:name="719"/>
            <w:r w:rsidRPr="000154F1">
              <w:rPr>
                <w:rFonts w:ascii="Arial" w:eastAsia="Times New Roman" w:hAnsi="Arial" w:cs="Arial"/>
                <w:color w:val="003399"/>
                <w:sz w:val="18"/>
                <w:szCs w:val="18"/>
              </w:rPr>
              <w:t> </w:t>
            </w:r>
            <w:bookmarkEnd w:id="16"/>
            <w:r w:rsidRPr="000154F1">
              <w:rPr>
                <w:rFonts w:ascii="Arial" w:eastAsia="Times New Roman" w:hAnsi="Arial" w:cs="Arial"/>
                <w:color w:val="003399"/>
                <w:sz w:val="18"/>
                <w:szCs w:val="18"/>
              </w:rPr>
              <w:t>719:</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Tybost [package insert]. Foster City, CA: Gilead Sciences, Inc.; Nov 2015</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7" w:name="721"/>
            <w:r w:rsidRPr="000154F1">
              <w:rPr>
                <w:rFonts w:ascii="Arial" w:eastAsia="Times New Roman" w:hAnsi="Arial" w:cs="Arial"/>
                <w:color w:val="003399"/>
                <w:sz w:val="18"/>
                <w:szCs w:val="18"/>
              </w:rPr>
              <w:t> </w:t>
            </w:r>
            <w:bookmarkEnd w:id="17"/>
            <w:r w:rsidRPr="000154F1">
              <w:rPr>
                <w:rFonts w:ascii="Arial" w:eastAsia="Times New Roman" w:hAnsi="Arial" w:cs="Arial"/>
                <w:color w:val="003399"/>
                <w:sz w:val="18"/>
                <w:szCs w:val="18"/>
              </w:rPr>
              <w:t>721:</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8" w:name="723"/>
            <w:r w:rsidRPr="000154F1">
              <w:rPr>
                <w:rFonts w:ascii="Arial" w:eastAsia="Times New Roman" w:hAnsi="Arial" w:cs="Arial"/>
                <w:color w:val="003399"/>
                <w:sz w:val="18"/>
                <w:szCs w:val="18"/>
              </w:rPr>
              <w:t> </w:t>
            </w:r>
            <w:bookmarkEnd w:id="18"/>
            <w:r w:rsidRPr="000154F1">
              <w:rPr>
                <w:rFonts w:ascii="Arial" w:eastAsia="Times New Roman" w:hAnsi="Arial" w:cs="Arial"/>
                <w:color w:val="003399"/>
                <w:sz w:val="18"/>
                <w:szCs w:val="18"/>
              </w:rPr>
              <w:t>723:</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19" w:name="725"/>
            <w:r w:rsidRPr="000154F1">
              <w:rPr>
                <w:rFonts w:ascii="Arial" w:eastAsia="Times New Roman" w:hAnsi="Arial" w:cs="Arial"/>
                <w:color w:val="003399"/>
                <w:sz w:val="18"/>
                <w:szCs w:val="18"/>
              </w:rPr>
              <w:t> </w:t>
            </w:r>
            <w:bookmarkEnd w:id="19"/>
            <w:r w:rsidRPr="000154F1">
              <w:rPr>
                <w:rFonts w:ascii="Arial" w:eastAsia="Times New Roman" w:hAnsi="Arial" w:cs="Arial"/>
                <w:color w:val="003399"/>
                <w:sz w:val="18"/>
                <w:szCs w:val="18"/>
              </w:rPr>
              <w:t>725:</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20" w:name="727"/>
            <w:r w:rsidRPr="000154F1">
              <w:rPr>
                <w:rFonts w:ascii="Arial" w:eastAsia="Times New Roman" w:hAnsi="Arial" w:cs="Arial"/>
                <w:color w:val="003399"/>
                <w:sz w:val="18"/>
                <w:szCs w:val="18"/>
              </w:rPr>
              <w:t> </w:t>
            </w:r>
            <w:bookmarkEnd w:id="20"/>
            <w:r w:rsidRPr="000154F1">
              <w:rPr>
                <w:rFonts w:ascii="Arial" w:eastAsia="Times New Roman" w:hAnsi="Arial" w:cs="Arial"/>
                <w:color w:val="003399"/>
                <w:sz w:val="18"/>
                <w:szCs w:val="18"/>
              </w:rPr>
              <w:t>727:</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0154F1" w:rsidRPr="000154F1" w:rsidTr="000154F1">
        <w:trPr>
          <w:tblCellSpacing w:w="15" w:type="dxa"/>
        </w:trPr>
        <w:tc>
          <w:tcPr>
            <w:tcW w:w="0" w:type="auto"/>
            <w:shd w:val="clear" w:color="auto" w:fill="FFFFFF"/>
            <w:hideMark/>
          </w:tcPr>
          <w:p w:rsidR="000154F1" w:rsidRPr="000154F1" w:rsidRDefault="000154F1" w:rsidP="000154F1">
            <w:pPr>
              <w:spacing w:after="0" w:line="240" w:lineRule="auto"/>
              <w:jc w:val="right"/>
              <w:rPr>
                <w:rFonts w:ascii="Arial" w:eastAsia="Times New Roman" w:hAnsi="Arial" w:cs="Arial"/>
                <w:color w:val="003399"/>
                <w:sz w:val="18"/>
                <w:szCs w:val="18"/>
              </w:rPr>
            </w:pPr>
            <w:bookmarkStart w:id="21" w:name="731"/>
            <w:r w:rsidRPr="000154F1">
              <w:rPr>
                <w:rFonts w:ascii="Arial" w:eastAsia="Times New Roman" w:hAnsi="Arial" w:cs="Arial"/>
                <w:color w:val="003399"/>
                <w:sz w:val="18"/>
                <w:szCs w:val="18"/>
              </w:rPr>
              <w:t> </w:t>
            </w:r>
            <w:bookmarkEnd w:id="21"/>
            <w:r w:rsidRPr="000154F1">
              <w:rPr>
                <w:rFonts w:ascii="Arial" w:eastAsia="Times New Roman" w:hAnsi="Arial" w:cs="Arial"/>
                <w:color w:val="003399"/>
                <w:sz w:val="18"/>
                <w:szCs w:val="18"/>
              </w:rPr>
              <w:t>731:</w:t>
            </w:r>
          </w:p>
        </w:tc>
        <w:tc>
          <w:tcPr>
            <w:tcW w:w="0" w:type="auto"/>
            <w:shd w:val="clear" w:color="auto" w:fill="FFFFFF"/>
            <w:vAlign w:val="center"/>
            <w:hideMark/>
          </w:tcPr>
          <w:p w:rsidR="000154F1" w:rsidRPr="000154F1" w:rsidRDefault="000154F1" w:rsidP="000154F1">
            <w:pPr>
              <w:spacing w:after="0" w:line="240" w:lineRule="auto"/>
              <w:rPr>
                <w:rFonts w:ascii="Arial" w:eastAsia="Times New Roman" w:hAnsi="Arial" w:cs="Arial"/>
                <w:color w:val="000000"/>
                <w:sz w:val="18"/>
                <w:szCs w:val="18"/>
              </w:rPr>
            </w:pPr>
            <w:r w:rsidRPr="000154F1">
              <w:rPr>
                <w:rFonts w:ascii="Arial" w:eastAsia="Times New Roman" w:hAnsi="Arial" w:cs="Arial"/>
                <w:color w:val="000000"/>
                <w:sz w:val="18"/>
                <w:szCs w:val="18"/>
              </w:rPr>
              <w:t>Vitekta [package insert]. Foster City, CA: Gilead Sciences; Feb 2016</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F1"/>
    <w:rsid w:val="000154F1"/>
    <w:rsid w:val="00244653"/>
    <w:rsid w:val="002B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24B13-FA79-4B33-A247-DAD1AF51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154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015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154F1"/>
    <w:rPr>
      <w:color w:val="0000FF"/>
      <w:u w:val="single"/>
    </w:rPr>
  </w:style>
  <w:style w:type="character" w:styleId="FollowedHyperlink">
    <w:name w:val="FollowedHyperlink"/>
    <w:basedOn w:val="DefaultParagraphFont"/>
    <w:uiPriority w:val="99"/>
    <w:semiHidden/>
    <w:unhideWhenUsed/>
    <w:rsid w:val="000154F1"/>
    <w:rPr>
      <w:color w:val="800080"/>
      <w:u w:val="single"/>
    </w:rPr>
  </w:style>
  <w:style w:type="paragraph" w:styleId="NormalWeb">
    <w:name w:val="Normal (Web)"/>
    <w:basedOn w:val="Normal"/>
    <w:uiPriority w:val="99"/>
    <w:semiHidden/>
    <w:unhideWhenUsed/>
    <w:rsid w:val="000154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0154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153483">
      <w:bodyDiv w:val="1"/>
      <w:marLeft w:val="0"/>
      <w:marRight w:val="0"/>
      <w:marTop w:val="0"/>
      <w:marBottom w:val="0"/>
      <w:divBdr>
        <w:top w:val="none" w:sz="0" w:space="0" w:color="auto"/>
        <w:left w:val="none" w:sz="0" w:space="0" w:color="auto"/>
        <w:bottom w:val="none" w:sz="0" w:space="0" w:color="auto"/>
        <w:right w:val="none" w:sz="0" w:space="0" w:color="auto"/>
      </w:divBdr>
      <w:divsChild>
        <w:div w:id="1405639081">
          <w:marLeft w:val="0"/>
          <w:marRight w:val="0"/>
          <w:marTop w:val="0"/>
          <w:marBottom w:val="0"/>
          <w:divBdr>
            <w:top w:val="none" w:sz="0" w:space="0" w:color="auto"/>
            <w:left w:val="none" w:sz="0" w:space="0" w:color="auto"/>
            <w:bottom w:val="none" w:sz="0" w:space="0" w:color="auto"/>
            <w:right w:val="none" w:sz="0" w:space="0" w:color="auto"/>
          </w:divBdr>
        </w:div>
        <w:div w:id="1265117218">
          <w:marLeft w:val="0"/>
          <w:marRight w:val="0"/>
          <w:marTop w:val="0"/>
          <w:marBottom w:val="0"/>
          <w:divBdr>
            <w:top w:val="none" w:sz="0" w:space="0" w:color="auto"/>
            <w:left w:val="none" w:sz="0" w:space="0" w:color="auto"/>
            <w:bottom w:val="none" w:sz="0" w:space="0" w:color="auto"/>
            <w:right w:val="none" w:sz="0" w:space="0" w:color="auto"/>
          </w:divBdr>
        </w:div>
        <w:div w:id="1077870761">
          <w:marLeft w:val="0"/>
          <w:marRight w:val="0"/>
          <w:marTop w:val="0"/>
          <w:marBottom w:val="0"/>
          <w:divBdr>
            <w:top w:val="none" w:sz="0" w:space="0" w:color="auto"/>
            <w:left w:val="none" w:sz="0" w:space="0" w:color="auto"/>
            <w:bottom w:val="none" w:sz="0" w:space="0" w:color="auto"/>
            <w:right w:val="none" w:sz="0" w:space="0" w:color="auto"/>
          </w:divBdr>
        </w:div>
        <w:div w:id="1454983367">
          <w:marLeft w:val="0"/>
          <w:marRight w:val="0"/>
          <w:marTop w:val="0"/>
          <w:marBottom w:val="0"/>
          <w:divBdr>
            <w:top w:val="none" w:sz="0" w:space="0" w:color="auto"/>
            <w:left w:val="none" w:sz="0" w:space="0" w:color="auto"/>
            <w:bottom w:val="none" w:sz="0" w:space="0" w:color="auto"/>
            <w:right w:val="none" w:sz="0" w:space="0" w:color="auto"/>
          </w:divBdr>
        </w:div>
        <w:div w:id="521864883">
          <w:marLeft w:val="0"/>
          <w:marRight w:val="0"/>
          <w:marTop w:val="0"/>
          <w:marBottom w:val="0"/>
          <w:divBdr>
            <w:top w:val="none" w:sz="0" w:space="0" w:color="auto"/>
            <w:left w:val="none" w:sz="0" w:space="0" w:color="auto"/>
            <w:bottom w:val="none" w:sz="0" w:space="0" w:color="auto"/>
            <w:right w:val="none" w:sz="0" w:space="0" w:color="auto"/>
          </w:divBdr>
        </w:div>
        <w:div w:id="344358759">
          <w:marLeft w:val="0"/>
          <w:marRight w:val="0"/>
          <w:marTop w:val="0"/>
          <w:marBottom w:val="0"/>
          <w:divBdr>
            <w:top w:val="none" w:sz="0" w:space="0" w:color="auto"/>
            <w:left w:val="none" w:sz="0" w:space="0" w:color="auto"/>
            <w:bottom w:val="none" w:sz="0" w:space="0" w:color="auto"/>
            <w:right w:val="none" w:sz="0" w:space="0" w:color="auto"/>
          </w:divBdr>
        </w:div>
        <w:div w:id="1189222862">
          <w:marLeft w:val="0"/>
          <w:marRight w:val="0"/>
          <w:marTop w:val="0"/>
          <w:marBottom w:val="0"/>
          <w:divBdr>
            <w:top w:val="none" w:sz="0" w:space="0" w:color="auto"/>
            <w:left w:val="none" w:sz="0" w:space="0" w:color="auto"/>
            <w:bottom w:val="none" w:sz="0" w:space="0" w:color="auto"/>
            <w:right w:val="none" w:sz="0" w:space="0" w:color="auto"/>
          </w:divBdr>
        </w:div>
        <w:div w:id="1920139403">
          <w:marLeft w:val="0"/>
          <w:marRight w:val="0"/>
          <w:marTop w:val="0"/>
          <w:marBottom w:val="0"/>
          <w:divBdr>
            <w:top w:val="none" w:sz="0" w:space="0" w:color="auto"/>
            <w:left w:val="none" w:sz="0" w:space="0" w:color="auto"/>
            <w:bottom w:val="none" w:sz="0" w:space="0" w:color="auto"/>
            <w:right w:val="none" w:sz="0" w:space="0" w:color="auto"/>
          </w:divBdr>
        </w:div>
        <w:div w:id="1464157822">
          <w:marLeft w:val="0"/>
          <w:marRight w:val="0"/>
          <w:marTop w:val="0"/>
          <w:marBottom w:val="0"/>
          <w:divBdr>
            <w:top w:val="none" w:sz="0" w:space="0" w:color="auto"/>
            <w:left w:val="none" w:sz="0" w:space="0" w:color="auto"/>
            <w:bottom w:val="none" w:sz="0" w:space="0" w:color="auto"/>
            <w:right w:val="none" w:sz="0" w:space="0" w:color="auto"/>
          </w:divBdr>
        </w:div>
        <w:div w:id="1851605557">
          <w:marLeft w:val="0"/>
          <w:marRight w:val="0"/>
          <w:marTop w:val="0"/>
          <w:marBottom w:val="0"/>
          <w:divBdr>
            <w:top w:val="none" w:sz="0" w:space="0" w:color="auto"/>
            <w:left w:val="none" w:sz="0" w:space="0" w:color="auto"/>
            <w:bottom w:val="none" w:sz="0" w:space="0" w:color="auto"/>
            <w:right w:val="none" w:sz="0" w:space="0" w:color="auto"/>
          </w:divBdr>
        </w:div>
        <w:div w:id="1960378856">
          <w:marLeft w:val="0"/>
          <w:marRight w:val="0"/>
          <w:marTop w:val="0"/>
          <w:marBottom w:val="0"/>
          <w:divBdr>
            <w:top w:val="none" w:sz="0" w:space="0" w:color="auto"/>
            <w:left w:val="none" w:sz="0" w:space="0" w:color="auto"/>
            <w:bottom w:val="none" w:sz="0" w:space="0" w:color="auto"/>
            <w:right w:val="none" w:sz="0" w:space="0" w:color="auto"/>
          </w:divBdr>
        </w:div>
        <w:div w:id="719671676">
          <w:marLeft w:val="0"/>
          <w:marRight w:val="0"/>
          <w:marTop w:val="0"/>
          <w:marBottom w:val="0"/>
          <w:divBdr>
            <w:top w:val="none" w:sz="0" w:space="0" w:color="auto"/>
            <w:left w:val="none" w:sz="0" w:space="0" w:color="auto"/>
            <w:bottom w:val="none" w:sz="0" w:space="0" w:color="auto"/>
            <w:right w:val="none" w:sz="0" w:space="0" w:color="auto"/>
          </w:divBdr>
        </w:div>
        <w:div w:id="404764294">
          <w:marLeft w:val="0"/>
          <w:marRight w:val="0"/>
          <w:marTop w:val="0"/>
          <w:marBottom w:val="0"/>
          <w:divBdr>
            <w:top w:val="none" w:sz="0" w:space="0" w:color="auto"/>
            <w:left w:val="none" w:sz="0" w:space="0" w:color="auto"/>
            <w:bottom w:val="none" w:sz="0" w:space="0" w:color="auto"/>
            <w:right w:val="none" w:sz="0" w:space="0" w:color="auto"/>
          </w:divBdr>
        </w:div>
        <w:div w:id="1372917585">
          <w:marLeft w:val="0"/>
          <w:marRight w:val="0"/>
          <w:marTop w:val="0"/>
          <w:marBottom w:val="0"/>
          <w:divBdr>
            <w:top w:val="none" w:sz="0" w:space="0" w:color="auto"/>
            <w:left w:val="none" w:sz="0" w:space="0" w:color="auto"/>
            <w:bottom w:val="none" w:sz="0" w:space="0" w:color="auto"/>
            <w:right w:val="none" w:sz="0" w:space="0" w:color="auto"/>
          </w:divBdr>
        </w:div>
        <w:div w:id="307631872">
          <w:marLeft w:val="0"/>
          <w:marRight w:val="0"/>
          <w:marTop w:val="0"/>
          <w:marBottom w:val="0"/>
          <w:divBdr>
            <w:top w:val="none" w:sz="0" w:space="0" w:color="auto"/>
            <w:left w:val="none" w:sz="0" w:space="0" w:color="auto"/>
            <w:bottom w:val="none" w:sz="0" w:space="0" w:color="auto"/>
            <w:right w:val="none" w:sz="0" w:space="0" w:color="auto"/>
          </w:divBdr>
        </w:div>
        <w:div w:id="1633557279">
          <w:marLeft w:val="0"/>
          <w:marRight w:val="0"/>
          <w:marTop w:val="0"/>
          <w:marBottom w:val="0"/>
          <w:divBdr>
            <w:top w:val="none" w:sz="0" w:space="0" w:color="auto"/>
            <w:left w:val="none" w:sz="0" w:space="0" w:color="auto"/>
            <w:bottom w:val="none" w:sz="0" w:space="0" w:color="auto"/>
            <w:right w:val="none" w:sz="0" w:space="0" w:color="auto"/>
          </w:divBdr>
        </w:div>
        <w:div w:id="1993753860">
          <w:marLeft w:val="0"/>
          <w:marRight w:val="0"/>
          <w:marTop w:val="0"/>
          <w:marBottom w:val="0"/>
          <w:divBdr>
            <w:top w:val="none" w:sz="0" w:space="0" w:color="auto"/>
            <w:left w:val="none" w:sz="0" w:space="0" w:color="auto"/>
            <w:bottom w:val="none" w:sz="0" w:space="0" w:color="auto"/>
            <w:right w:val="none" w:sz="0" w:space="0" w:color="auto"/>
          </w:divBdr>
        </w:div>
        <w:div w:id="1458839081">
          <w:marLeft w:val="0"/>
          <w:marRight w:val="0"/>
          <w:marTop w:val="0"/>
          <w:marBottom w:val="0"/>
          <w:divBdr>
            <w:top w:val="none" w:sz="0" w:space="0" w:color="auto"/>
            <w:left w:val="none" w:sz="0" w:space="0" w:color="auto"/>
            <w:bottom w:val="none" w:sz="0" w:space="0" w:color="auto"/>
            <w:right w:val="none" w:sz="0" w:space="0" w:color="auto"/>
          </w:divBdr>
        </w:div>
        <w:div w:id="785319671">
          <w:marLeft w:val="0"/>
          <w:marRight w:val="0"/>
          <w:marTop w:val="0"/>
          <w:marBottom w:val="0"/>
          <w:divBdr>
            <w:top w:val="none" w:sz="0" w:space="0" w:color="auto"/>
            <w:left w:val="none" w:sz="0" w:space="0" w:color="auto"/>
            <w:bottom w:val="none" w:sz="0" w:space="0" w:color="auto"/>
            <w:right w:val="none" w:sz="0" w:space="0" w:color="auto"/>
          </w:divBdr>
        </w:div>
        <w:div w:id="1215895206">
          <w:marLeft w:val="0"/>
          <w:marRight w:val="0"/>
          <w:marTop w:val="0"/>
          <w:marBottom w:val="0"/>
          <w:divBdr>
            <w:top w:val="none" w:sz="0" w:space="0" w:color="auto"/>
            <w:left w:val="none" w:sz="0" w:space="0" w:color="auto"/>
            <w:bottom w:val="none" w:sz="0" w:space="0" w:color="auto"/>
            <w:right w:val="none" w:sz="0" w:space="0" w:color="auto"/>
          </w:divBdr>
        </w:div>
        <w:div w:id="1812211150">
          <w:marLeft w:val="0"/>
          <w:marRight w:val="0"/>
          <w:marTop w:val="0"/>
          <w:marBottom w:val="0"/>
          <w:divBdr>
            <w:top w:val="none" w:sz="0" w:space="0" w:color="auto"/>
            <w:left w:val="none" w:sz="0" w:space="0" w:color="auto"/>
            <w:bottom w:val="none" w:sz="0" w:space="0" w:color="auto"/>
            <w:right w:val="none" w:sz="0" w:space="0" w:color="auto"/>
          </w:divBdr>
        </w:div>
        <w:div w:id="1625119692">
          <w:marLeft w:val="0"/>
          <w:marRight w:val="0"/>
          <w:marTop w:val="0"/>
          <w:marBottom w:val="0"/>
          <w:divBdr>
            <w:top w:val="none" w:sz="0" w:space="0" w:color="auto"/>
            <w:left w:val="none" w:sz="0" w:space="0" w:color="auto"/>
            <w:bottom w:val="none" w:sz="0" w:space="0" w:color="auto"/>
            <w:right w:val="none" w:sz="0" w:space="0" w:color="auto"/>
          </w:divBdr>
        </w:div>
        <w:div w:id="1348215864">
          <w:marLeft w:val="0"/>
          <w:marRight w:val="0"/>
          <w:marTop w:val="0"/>
          <w:marBottom w:val="0"/>
          <w:divBdr>
            <w:top w:val="none" w:sz="0" w:space="0" w:color="auto"/>
            <w:left w:val="none" w:sz="0" w:space="0" w:color="auto"/>
            <w:bottom w:val="none" w:sz="0" w:space="0" w:color="auto"/>
            <w:right w:val="none" w:sz="0" w:space="0" w:color="auto"/>
          </w:divBdr>
        </w:div>
        <w:div w:id="385185256">
          <w:marLeft w:val="0"/>
          <w:marRight w:val="0"/>
          <w:marTop w:val="0"/>
          <w:marBottom w:val="0"/>
          <w:divBdr>
            <w:top w:val="none" w:sz="0" w:space="0" w:color="auto"/>
            <w:left w:val="none" w:sz="0" w:space="0" w:color="auto"/>
            <w:bottom w:val="none" w:sz="0" w:space="0" w:color="auto"/>
            <w:right w:val="none" w:sz="0" w:space="0" w:color="auto"/>
          </w:divBdr>
        </w:div>
        <w:div w:id="1810588705">
          <w:marLeft w:val="0"/>
          <w:marRight w:val="0"/>
          <w:marTop w:val="0"/>
          <w:marBottom w:val="0"/>
          <w:divBdr>
            <w:top w:val="none" w:sz="0" w:space="0" w:color="auto"/>
            <w:left w:val="none" w:sz="0" w:space="0" w:color="auto"/>
            <w:bottom w:val="none" w:sz="0" w:space="0" w:color="auto"/>
            <w:right w:val="none" w:sz="0" w:space="0" w:color="auto"/>
          </w:divBdr>
        </w:div>
        <w:div w:id="1807971702">
          <w:marLeft w:val="0"/>
          <w:marRight w:val="0"/>
          <w:marTop w:val="0"/>
          <w:marBottom w:val="0"/>
          <w:divBdr>
            <w:top w:val="none" w:sz="0" w:space="0" w:color="auto"/>
            <w:left w:val="none" w:sz="0" w:space="0" w:color="auto"/>
            <w:bottom w:val="none" w:sz="0" w:space="0" w:color="auto"/>
            <w:right w:val="none" w:sz="0" w:space="0" w:color="auto"/>
          </w:divBdr>
        </w:div>
        <w:div w:id="1263760067">
          <w:marLeft w:val="0"/>
          <w:marRight w:val="0"/>
          <w:marTop w:val="0"/>
          <w:marBottom w:val="0"/>
          <w:divBdr>
            <w:top w:val="none" w:sz="0" w:space="0" w:color="auto"/>
            <w:left w:val="none" w:sz="0" w:space="0" w:color="auto"/>
            <w:bottom w:val="none" w:sz="0" w:space="0" w:color="auto"/>
            <w:right w:val="none" w:sz="0" w:space="0" w:color="auto"/>
          </w:divBdr>
        </w:div>
        <w:div w:id="1221667955">
          <w:marLeft w:val="0"/>
          <w:marRight w:val="0"/>
          <w:marTop w:val="0"/>
          <w:marBottom w:val="0"/>
          <w:divBdr>
            <w:top w:val="none" w:sz="0" w:space="0" w:color="auto"/>
            <w:left w:val="none" w:sz="0" w:space="0" w:color="auto"/>
            <w:bottom w:val="none" w:sz="0" w:space="0" w:color="auto"/>
            <w:right w:val="none" w:sz="0" w:space="0" w:color="auto"/>
          </w:divBdr>
        </w:div>
        <w:div w:id="1436900248">
          <w:marLeft w:val="0"/>
          <w:marRight w:val="0"/>
          <w:marTop w:val="0"/>
          <w:marBottom w:val="0"/>
          <w:divBdr>
            <w:top w:val="none" w:sz="0" w:space="0" w:color="auto"/>
            <w:left w:val="none" w:sz="0" w:space="0" w:color="auto"/>
            <w:bottom w:val="none" w:sz="0" w:space="0" w:color="auto"/>
            <w:right w:val="none" w:sz="0" w:space="0" w:color="auto"/>
          </w:divBdr>
        </w:div>
        <w:div w:id="1966890268">
          <w:marLeft w:val="0"/>
          <w:marRight w:val="0"/>
          <w:marTop w:val="0"/>
          <w:marBottom w:val="0"/>
          <w:divBdr>
            <w:top w:val="none" w:sz="0" w:space="0" w:color="auto"/>
            <w:left w:val="none" w:sz="0" w:space="0" w:color="auto"/>
            <w:bottom w:val="none" w:sz="0" w:space="0" w:color="auto"/>
            <w:right w:val="none" w:sz="0" w:space="0" w:color="auto"/>
          </w:divBdr>
        </w:div>
        <w:div w:id="421998895">
          <w:marLeft w:val="0"/>
          <w:marRight w:val="0"/>
          <w:marTop w:val="0"/>
          <w:marBottom w:val="0"/>
          <w:divBdr>
            <w:top w:val="none" w:sz="0" w:space="0" w:color="auto"/>
            <w:left w:val="none" w:sz="0" w:space="0" w:color="auto"/>
            <w:bottom w:val="none" w:sz="0" w:space="0" w:color="auto"/>
            <w:right w:val="none" w:sz="0" w:space="0" w:color="auto"/>
          </w:divBdr>
        </w:div>
        <w:div w:id="2107338352">
          <w:marLeft w:val="0"/>
          <w:marRight w:val="0"/>
          <w:marTop w:val="0"/>
          <w:marBottom w:val="0"/>
          <w:divBdr>
            <w:top w:val="none" w:sz="0" w:space="0" w:color="auto"/>
            <w:left w:val="none" w:sz="0" w:space="0" w:color="auto"/>
            <w:bottom w:val="none" w:sz="0" w:space="0" w:color="auto"/>
            <w:right w:val="none" w:sz="0" w:space="0" w:color="auto"/>
          </w:divBdr>
        </w:div>
        <w:div w:id="1733573697">
          <w:marLeft w:val="0"/>
          <w:marRight w:val="0"/>
          <w:marTop w:val="0"/>
          <w:marBottom w:val="0"/>
          <w:divBdr>
            <w:top w:val="none" w:sz="0" w:space="0" w:color="auto"/>
            <w:left w:val="none" w:sz="0" w:space="0" w:color="auto"/>
            <w:bottom w:val="none" w:sz="0" w:space="0" w:color="auto"/>
            <w:right w:val="none" w:sz="0" w:space="0" w:color="auto"/>
          </w:divBdr>
        </w:div>
        <w:div w:id="582834184">
          <w:marLeft w:val="0"/>
          <w:marRight w:val="0"/>
          <w:marTop w:val="0"/>
          <w:marBottom w:val="0"/>
          <w:divBdr>
            <w:top w:val="none" w:sz="0" w:space="0" w:color="auto"/>
            <w:left w:val="none" w:sz="0" w:space="0" w:color="auto"/>
            <w:bottom w:val="none" w:sz="0" w:space="0" w:color="auto"/>
            <w:right w:val="none" w:sz="0" w:space="0" w:color="auto"/>
          </w:divBdr>
        </w:div>
        <w:div w:id="1443457334">
          <w:marLeft w:val="0"/>
          <w:marRight w:val="0"/>
          <w:marTop w:val="0"/>
          <w:marBottom w:val="0"/>
          <w:divBdr>
            <w:top w:val="none" w:sz="0" w:space="0" w:color="auto"/>
            <w:left w:val="none" w:sz="0" w:space="0" w:color="auto"/>
            <w:bottom w:val="none" w:sz="0" w:space="0" w:color="auto"/>
            <w:right w:val="none" w:sz="0" w:space="0" w:color="auto"/>
          </w:divBdr>
        </w:div>
        <w:div w:id="1677725823">
          <w:marLeft w:val="0"/>
          <w:marRight w:val="0"/>
          <w:marTop w:val="0"/>
          <w:marBottom w:val="0"/>
          <w:divBdr>
            <w:top w:val="none" w:sz="0" w:space="0" w:color="auto"/>
            <w:left w:val="none" w:sz="0" w:space="0" w:color="auto"/>
            <w:bottom w:val="none" w:sz="0" w:space="0" w:color="auto"/>
            <w:right w:val="none" w:sz="0" w:space="0" w:color="auto"/>
          </w:divBdr>
        </w:div>
        <w:div w:id="1460104962">
          <w:marLeft w:val="0"/>
          <w:marRight w:val="0"/>
          <w:marTop w:val="0"/>
          <w:marBottom w:val="0"/>
          <w:divBdr>
            <w:top w:val="none" w:sz="0" w:space="0" w:color="auto"/>
            <w:left w:val="none" w:sz="0" w:space="0" w:color="auto"/>
            <w:bottom w:val="none" w:sz="0" w:space="0" w:color="auto"/>
            <w:right w:val="none" w:sz="0" w:space="0" w:color="auto"/>
          </w:divBdr>
        </w:div>
        <w:div w:id="1108307983">
          <w:marLeft w:val="0"/>
          <w:marRight w:val="0"/>
          <w:marTop w:val="0"/>
          <w:marBottom w:val="0"/>
          <w:divBdr>
            <w:top w:val="none" w:sz="0" w:space="0" w:color="auto"/>
            <w:left w:val="none" w:sz="0" w:space="0" w:color="auto"/>
            <w:bottom w:val="none" w:sz="0" w:space="0" w:color="auto"/>
            <w:right w:val="none" w:sz="0" w:space="0" w:color="auto"/>
          </w:divBdr>
        </w:div>
        <w:div w:id="654456468">
          <w:marLeft w:val="0"/>
          <w:marRight w:val="0"/>
          <w:marTop w:val="0"/>
          <w:marBottom w:val="0"/>
          <w:divBdr>
            <w:top w:val="none" w:sz="0" w:space="0" w:color="auto"/>
            <w:left w:val="none" w:sz="0" w:space="0" w:color="auto"/>
            <w:bottom w:val="none" w:sz="0" w:space="0" w:color="auto"/>
            <w:right w:val="none" w:sz="0" w:space="0" w:color="auto"/>
          </w:divBdr>
        </w:div>
        <w:div w:id="1605187694">
          <w:marLeft w:val="0"/>
          <w:marRight w:val="0"/>
          <w:marTop w:val="0"/>
          <w:marBottom w:val="0"/>
          <w:divBdr>
            <w:top w:val="none" w:sz="0" w:space="0" w:color="auto"/>
            <w:left w:val="none" w:sz="0" w:space="0" w:color="auto"/>
            <w:bottom w:val="none" w:sz="0" w:space="0" w:color="auto"/>
            <w:right w:val="none" w:sz="0" w:space="0" w:color="auto"/>
          </w:divBdr>
        </w:div>
        <w:div w:id="2061129401">
          <w:marLeft w:val="0"/>
          <w:marRight w:val="0"/>
          <w:marTop w:val="0"/>
          <w:marBottom w:val="0"/>
          <w:divBdr>
            <w:top w:val="none" w:sz="0" w:space="0" w:color="auto"/>
            <w:left w:val="none" w:sz="0" w:space="0" w:color="auto"/>
            <w:bottom w:val="none" w:sz="0" w:space="0" w:color="auto"/>
            <w:right w:val="none" w:sz="0" w:space="0" w:color="auto"/>
          </w:divBdr>
        </w:div>
        <w:div w:id="103765881">
          <w:marLeft w:val="0"/>
          <w:marRight w:val="0"/>
          <w:marTop w:val="0"/>
          <w:marBottom w:val="0"/>
          <w:divBdr>
            <w:top w:val="none" w:sz="0" w:space="0" w:color="auto"/>
            <w:left w:val="none" w:sz="0" w:space="0" w:color="auto"/>
            <w:bottom w:val="none" w:sz="0" w:space="0" w:color="auto"/>
            <w:right w:val="none" w:sz="0" w:space="0" w:color="auto"/>
          </w:divBdr>
        </w:div>
        <w:div w:id="1807117613">
          <w:marLeft w:val="0"/>
          <w:marRight w:val="0"/>
          <w:marTop w:val="0"/>
          <w:marBottom w:val="0"/>
          <w:divBdr>
            <w:top w:val="none" w:sz="0" w:space="0" w:color="auto"/>
            <w:left w:val="none" w:sz="0" w:space="0" w:color="auto"/>
            <w:bottom w:val="none" w:sz="0" w:space="0" w:color="auto"/>
            <w:right w:val="none" w:sz="0" w:space="0" w:color="auto"/>
          </w:divBdr>
        </w:div>
        <w:div w:id="40518901">
          <w:marLeft w:val="0"/>
          <w:marRight w:val="0"/>
          <w:marTop w:val="0"/>
          <w:marBottom w:val="0"/>
          <w:divBdr>
            <w:top w:val="none" w:sz="0" w:space="0" w:color="auto"/>
            <w:left w:val="none" w:sz="0" w:space="0" w:color="auto"/>
            <w:bottom w:val="none" w:sz="0" w:space="0" w:color="auto"/>
            <w:right w:val="none" w:sz="0" w:space="0" w:color="auto"/>
          </w:divBdr>
        </w:div>
        <w:div w:id="56247458">
          <w:marLeft w:val="0"/>
          <w:marRight w:val="0"/>
          <w:marTop w:val="0"/>
          <w:marBottom w:val="0"/>
          <w:divBdr>
            <w:top w:val="none" w:sz="0" w:space="0" w:color="auto"/>
            <w:left w:val="none" w:sz="0" w:space="0" w:color="auto"/>
            <w:bottom w:val="none" w:sz="0" w:space="0" w:color="auto"/>
            <w:right w:val="none" w:sz="0" w:space="0" w:color="auto"/>
          </w:divBdr>
        </w:div>
        <w:div w:id="194853862">
          <w:marLeft w:val="0"/>
          <w:marRight w:val="0"/>
          <w:marTop w:val="0"/>
          <w:marBottom w:val="0"/>
          <w:divBdr>
            <w:top w:val="none" w:sz="0" w:space="0" w:color="auto"/>
            <w:left w:val="none" w:sz="0" w:space="0" w:color="auto"/>
            <w:bottom w:val="none" w:sz="0" w:space="0" w:color="auto"/>
            <w:right w:val="none" w:sz="0" w:space="0" w:color="auto"/>
          </w:divBdr>
        </w:div>
        <w:div w:id="141654455">
          <w:marLeft w:val="0"/>
          <w:marRight w:val="0"/>
          <w:marTop w:val="0"/>
          <w:marBottom w:val="0"/>
          <w:divBdr>
            <w:top w:val="none" w:sz="0" w:space="0" w:color="auto"/>
            <w:left w:val="none" w:sz="0" w:space="0" w:color="auto"/>
            <w:bottom w:val="none" w:sz="0" w:space="0" w:color="auto"/>
            <w:right w:val="none" w:sz="0" w:space="0" w:color="auto"/>
          </w:divBdr>
        </w:div>
        <w:div w:id="2107576410">
          <w:marLeft w:val="0"/>
          <w:marRight w:val="0"/>
          <w:marTop w:val="0"/>
          <w:marBottom w:val="0"/>
          <w:divBdr>
            <w:top w:val="none" w:sz="0" w:space="0" w:color="auto"/>
            <w:left w:val="none" w:sz="0" w:space="0" w:color="auto"/>
            <w:bottom w:val="none" w:sz="0" w:space="0" w:color="auto"/>
            <w:right w:val="none" w:sz="0" w:space="0" w:color="auto"/>
          </w:divBdr>
        </w:div>
        <w:div w:id="1429540732">
          <w:marLeft w:val="0"/>
          <w:marRight w:val="0"/>
          <w:marTop w:val="0"/>
          <w:marBottom w:val="0"/>
          <w:divBdr>
            <w:top w:val="none" w:sz="0" w:space="0" w:color="auto"/>
            <w:left w:val="none" w:sz="0" w:space="0" w:color="auto"/>
            <w:bottom w:val="none" w:sz="0" w:space="0" w:color="auto"/>
            <w:right w:val="none" w:sz="0" w:space="0" w:color="auto"/>
          </w:divBdr>
        </w:div>
        <w:div w:id="362900301">
          <w:marLeft w:val="0"/>
          <w:marRight w:val="0"/>
          <w:marTop w:val="0"/>
          <w:marBottom w:val="0"/>
          <w:divBdr>
            <w:top w:val="none" w:sz="0" w:space="0" w:color="auto"/>
            <w:left w:val="none" w:sz="0" w:space="0" w:color="auto"/>
            <w:bottom w:val="none" w:sz="0" w:space="0" w:color="auto"/>
            <w:right w:val="none" w:sz="0" w:space="0" w:color="auto"/>
          </w:divBdr>
        </w:div>
        <w:div w:id="22828900">
          <w:marLeft w:val="0"/>
          <w:marRight w:val="0"/>
          <w:marTop w:val="0"/>
          <w:marBottom w:val="0"/>
          <w:divBdr>
            <w:top w:val="none" w:sz="0" w:space="0" w:color="auto"/>
            <w:left w:val="none" w:sz="0" w:space="0" w:color="auto"/>
            <w:bottom w:val="none" w:sz="0" w:space="0" w:color="auto"/>
            <w:right w:val="none" w:sz="0" w:space="0" w:color="auto"/>
          </w:divBdr>
        </w:div>
        <w:div w:id="1009866320">
          <w:marLeft w:val="0"/>
          <w:marRight w:val="0"/>
          <w:marTop w:val="0"/>
          <w:marBottom w:val="0"/>
          <w:divBdr>
            <w:top w:val="none" w:sz="0" w:space="0" w:color="auto"/>
            <w:left w:val="none" w:sz="0" w:space="0" w:color="auto"/>
            <w:bottom w:val="none" w:sz="0" w:space="0" w:color="auto"/>
            <w:right w:val="none" w:sz="0" w:space="0" w:color="auto"/>
          </w:divBdr>
        </w:div>
        <w:div w:id="1783762235">
          <w:marLeft w:val="0"/>
          <w:marRight w:val="0"/>
          <w:marTop w:val="0"/>
          <w:marBottom w:val="0"/>
          <w:divBdr>
            <w:top w:val="none" w:sz="0" w:space="0" w:color="auto"/>
            <w:left w:val="none" w:sz="0" w:space="0" w:color="auto"/>
            <w:bottom w:val="none" w:sz="0" w:space="0" w:color="auto"/>
            <w:right w:val="none" w:sz="0" w:space="0" w:color="auto"/>
          </w:divBdr>
        </w:div>
        <w:div w:id="769352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v.ucsf.edu/insite?page=ar-00-02&amp;param=261&amp;post=4" TargetMode="External"/><Relationship Id="rId18" Type="http://schemas.openxmlformats.org/officeDocument/2006/relationships/hyperlink" Target="http://arv.ucsf.edu/insite?page=ar-00-02&amp;param=261&amp;post=4" TargetMode="External"/><Relationship Id="rId26" Type="http://schemas.openxmlformats.org/officeDocument/2006/relationships/hyperlink" Target="http://arv.ucsf.edu/insite?page=ar-00-02&amp;param=261&amp;post=4" TargetMode="External"/><Relationship Id="rId39" Type="http://schemas.openxmlformats.org/officeDocument/2006/relationships/hyperlink" Target="http://arv.ucsf.edu/insite?page=ar-00-02&amp;param=261&amp;post=4" TargetMode="External"/><Relationship Id="rId21" Type="http://schemas.openxmlformats.org/officeDocument/2006/relationships/hyperlink" Target="http://arv.ucsf.edu/insite?page=ar-00-02&amp;param=261&amp;post=4" TargetMode="External"/><Relationship Id="rId34" Type="http://schemas.openxmlformats.org/officeDocument/2006/relationships/hyperlink" Target="http://arv.ucsf.edu/insite?page=ar-00-02&amp;param=261&amp;post=4" TargetMode="External"/><Relationship Id="rId42" Type="http://schemas.openxmlformats.org/officeDocument/2006/relationships/hyperlink" Target="http://arv.ucsf.edu/insite?page=ar-00-02&amp;param=261&amp;post=4" TargetMode="External"/><Relationship Id="rId47" Type="http://schemas.openxmlformats.org/officeDocument/2006/relationships/hyperlink" Target="http://arv.ucsf.edu/insite?page=ar-00-02&amp;param=261&amp;post=4" TargetMode="External"/><Relationship Id="rId50" Type="http://schemas.openxmlformats.org/officeDocument/2006/relationships/hyperlink" Target="http://arv.ucsf.edu/insite?page=ar-00-02&amp;param=261&amp;post=4" TargetMode="External"/><Relationship Id="rId55" Type="http://schemas.openxmlformats.org/officeDocument/2006/relationships/hyperlink" Target="http://arv.ucsf.edu/insite?page=ar-00-02&amp;param=261&amp;post=4" TargetMode="External"/><Relationship Id="rId63" Type="http://schemas.openxmlformats.org/officeDocument/2006/relationships/fontTable" Target="fontTable.xml"/><Relationship Id="rId7" Type="http://schemas.openxmlformats.org/officeDocument/2006/relationships/hyperlink" Target="http://arv.ucsf.edu/insite?page=ar-00-02&amp;param=261&amp;post=4" TargetMode="External"/><Relationship Id="rId2" Type="http://schemas.openxmlformats.org/officeDocument/2006/relationships/settings" Target="settings.xml"/><Relationship Id="rId16" Type="http://schemas.openxmlformats.org/officeDocument/2006/relationships/hyperlink" Target="http://arv.ucsf.edu/insite?page=ar-00-02&amp;param=261&amp;post=4" TargetMode="External"/><Relationship Id="rId20" Type="http://schemas.openxmlformats.org/officeDocument/2006/relationships/hyperlink" Target="http://arv.ucsf.edu/insite?page=ar-00-02&amp;param=261&amp;post=4" TargetMode="External"/><Relationship Id="rId29" Type="http://schemas.openxmlformats.org/officeDocument/2006/relationships/hyperlink" Target="http://arv.ucsf.edu/insite?page=ar-00-02&amp;param=261&amp;post=4" TargetMode="External"/><Relationship Id="rId41" Type="http://schemas.openxmlformats.org/officeDocument/2006/relationships/hyperlink" Target="http://arv.ucsf.edu/insite?page=ar-00-02&amp;param=261&amp;post=4" TargetMode="External"/><Relationship Id="rId54" Type="http://schemas.openxmlformats.org/officeDocument/2006/relationships/hyperlink" Target="http://arv.ucsf.edu/insite?page=ar-00-02&amp;param=261&amp;post=4" TargetMode="External"/><Relationship Id="rId62" Type="http://schemas.openxmlformats.org/officeDocument/2006/relationships/hyperlink" Target="http://arv.ucsf.edu/insite?page=ar-00-02&amp;param=261&amp;post=4" TargetMode="External"/><Relationship Id="rId1" Type="http://schemas.openxmlformats.org/officeDocument/2006/relationships/styles" Target="styles.xml"/><Relationship Id="rId6" Type="http://schemas.openxmlformats.org/officeDocument/2006/relationships/hyperlink" Target="http://arv.ucsf.edu/insite?page=ar-00-02&amp;param=261&amp;post=4" TargetMode="External"/><Relationship Id="rId11" Type="http://schemas.openxmlformats.org/officeDocument/2006/relationships/hyperlink" Target="http://arv.ucsf.edu/insite?page=ar-00-02&amp;param=261&amp;post=4" TargetMode="External"/><Relationship Id="rId24" Type="http://schemas.openxmlformats.org/officeDocument/2006/relationships/hyperlink" Target="http://arv.ucsf.edu/insite?page=ar-00-02&amp;param=261&amp;post=4" TargetMode="External"/><Relationship Id="rId32" Type="http://schemas.openxmlformats.org/officeDocument/2006/relationships/hyperlink" Target="http://arv.ucsf.edu/insite?page=ar-00-02&amp;param=261&amp;post=4" TargetMode="External"/><Relationship Id="rId37" Type="http://schemas.openxmlformats.org/officeDocument/2006/relationships/hyperlink" Target="http://arv.ucsf.edu/insite?page=ar-00-02&amp;param=261&amp;post=4" TargetMode="External"/><Relationship Id="rId40" Type="http://schemas.openxmlformats.org/officeDocument/2006/relationships/hyperlink" Target="http://arv.ucsf.edu/insite?page=ar-00-02&amp;param=261&amp;post=4" TargetMode="External"/><Relationship Id="rId45" Type="http://schemas.openxmlformats.org/officeDocument/2006/relationships/hyperlink" Target="http://arv.ucsf.edu/insite?page=ar-00-02&amp;param=261&amp;post=4" TargetMode="External"/><Relationship Id="rId53" Type="http://schemas.openxmlformats.org/officeDocument/2006/relationships/hyperlink" Target="http://arv.ucsf.edu/insite?page=ar-00-02&amp;param=261&amp;post=4" TargetMode="External"/><Relationship Id="rId58" Type="http://schemas.openxmlformats.org/officeDocument/2006/relationships/hyperlink" Target="http://arv.ucsf.edu/insite?page=ar-00-02&amp;param=261&amp;post=4" TargetMode="External"/><Relationship Id="rId5" Type="http://schemas.openxmlformats.org/officeDocument/2006/relationships/hyperlink" Target="http://arv.ucsf.edu/insite?page=ar-00-02&amp;param=261&amp;post=4" TargetMode="External"/><Relationship Id="rId15" Type="http://schemas.openxmlformats.org/officeDocument/2006/relationships/hyperlink" Target="http://arv.ucsf.edu/insite?page=ar-00-02&amp;param=261&amp;post=4" TargetMode="External"/><Relationship Id="rId23" Type="http://schemas.openxmlformats.org/officeDocument/2006/relationships/hyperlink" Target="http://arv.ucsf.edu/insite?page=ar-00-02&amp;param=261&amp;post=4" TargetMode="External"/><Relationship Id="rId28" Type="http://schemas.openxmlformats.org/officeDocument/2006/relationships/hyperlink" Target="http://arv.ucsf.edu/insite?page=ar-00-02&amp;param=261&amp;post=4" TargetMode="External"/><Relationship Id="rId36" Type="http://schemas.openxmlformats.org/officeDocument/2006/relationships/hyperlink" Target="http://arv.ucsf.edu/insite?page=ar-00-02&amp;param=261&amp;post=4" TargetMode="External"/><Relationship Id="rId49" Type="http://schemas.openxmlformats.org/officeDocument/2006/relationships/hyperlink" Target="http://arv.ucsf.edu/insite?page=ar-00-02&amp;param=261&amp;post=4" TargetMode="External"/><Relationship Id="rId57" Type="http://schemas.openxmlformats.org/officeDocument/2006/relationships/hyperlink" Target="http://arv.ucsf.edu/insite?page=ar-00-02&amp;param=261&amp;post=4" TargetMode="External"/><Relationship Id="rId61" Type="http://schemas.openxmlformats.org/officeDocument/2006/relationships/hyperlink" Target="http://arv.ucsf.edu/insite?page=ar-00-02&amp;param=261&amp;post=4" TargetMode="External"/><Relationship Id="rId10" Type="http://schemas.openxmlformats.org/officeDocument/2006/relationships/hyperlink" Target="http://arv.ucsf.edu/insite?page=ar-00-02&amp;param=261&amp;post=4" TargetMode="External"/><Relationship Id="rId19" Type="http://schemas.openxmlformats.org/officeDocument/2006/relationships/hyperlink" Target="http://arv.ucsf.edu/insite?page=ar-00-02&amp;param=261&amp;post=4" TargetMode="External"/><Relationship Id="rId31" Type="http://schemas.openxmlformats.org/officeDocument/2006/relationships/hyperlink" Target="http://arv.ucsf.edu/insite?page=ar-00-02&amp;param=261&amp;post=4" TargetMode="External"/><Relationship Id="rId44" Type="http://schemas.openxmlformats.org/officeDocument/2006/relationships/hyperlink" Target="http://arv.ucsf.edu/insite?page=ar-00-02&amp;param=261&amp;post=4" TargetMode="External"/><Relationship Id="rId52" Type="http://schemas.openxmlformats.org/officeDocument/2006/relationships/hyperlink" Target="http://arv.ucsf.edu/insite?page=ar-00-02&amp;param=261&amp;post=4" TargetMode="External"/><Relationship Id="rId60" Type="http://schemas.openxmlformats.org/officeDocument/2006/relationships/hyperlink" Target="http://arv.ucsf.edu/insite?page=ar-00-02&amp;param=261&amp;post=4" TargetMode="External"/><Relationship Id="rId4" Type="http://schemas.openxmlformats.org/officeDocument/2006/relationships/hyperlink" Target="http://arv.ucsf.edu/insite?page=ar-00-02&amp;param=261&amp;post=4" TargetMode="External"/><Relationship Id="rId9" Type="http://schemas.openxmlformats.org/officeDocument/2006/relationships/hyperlink" Target="http://arv.ucsf.edu/insite?page=ar-00-02&amp;param=261&amp;post=4" TargetMode="External"/><Relationship Id="rId14" Type="http://schemas.openxmlformats.org/officeDocument/2006/relationships/hyperlink" Target="http://arv.ucsf.edu/insite?page=ar-00-02&amp;param=261&amp;post=4" TargetMode="External"/><Relationship Id="rId22" Type="http://schemas.openxmlformats.org/officeDocument/2006/relationships/hyperlink" Target="http://arv.ucsf.edu/insite?page=ar-00-02&amp;param=261&amp;post=4" TargetMode="External"/><Relationship Id="rId27" Type="http://schemas.openxmlformats.org/officeDocument/2006/relationships/hyperlink" Target="http://arv.ucsf.edu/insite?page=ar-00-02&amp;param=261&amp;post=4" TargetMode="External"/><Relationship Id="rId30" Type="http://schemas.openxmlformats.org/officeDocument/2006/relationships/hyperlink" Target="http://arv.ucsf.edu/insite?page=ar-00-02&amp;param=261&amp;post=4" TargetMode="External"/><Relationship Id="rId35" Type="http://schemas.openxmlformats.org/officeDocument/2006/relationships/hyperlink" Target="http://arv.ucsf.edu/insite?page=ar-00-02&amp;param=261&amp;post=4" TargetMode="External"/><Relationship Id="rId43" Type="http://schemas.openxmlformats.org/officeDocument/2006/relationships/hyperlink" Target="http://arv.ucsf.edu/insite?page=ar-00-02&amp;param=261&amp;post=4" TargetMode="External"/><Relationship Id="rId48" Type="http://schemas.openxmlformats.org/officeDocument/2006/relationships/hyperlink" Target="http://arv.ucsf.edu/insite?page=ar-00-02&amp;param=261&amp;post=4" TargetMode="External"/><Relationship Id="rId56" Type="http://schemas.openxmlformats.org/officeDocument/2006/relationships/hyperlink" Target="http://arv.ucsf.edu/insite?page=ar-00-02&amp;param=261&amp;post=4" TargetMode="External"/><Relationship Id="rId64" Type="http://schemas.openxmlformats.org/officeDocument/2006/relationships/theme" Target="theme/theme1.xml"/><Relationship Id="rId8" Type="http://schemas.openxmlformats.org/officeDocument/2006/relationships/hyperlink" Target="http://arv.ucsf.edu/insite?page=ar-00-02&amp;param=261&amp;post=4" TargetMode="External"/><Relationship Id="rId51" Type="http://schemas.openxmlformats.org/officeDocument/2006/relationships/hyperlink" Target="http://arv.ucsf.edu/insite?page=ar-00-02&amp;param=261&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261&amp;post=4" TargetMode="External"/><Relationship Id="rId17" Type="http://schemas.openxmlformats.org/officeDocument/2006/relationships/hyperlink" Target="http://arv.ucsf.edu/insite?page=ar-00-02&amp;param=261&amp;post=4" TargetMode="External"/><Relationship Id="rId25" Type="http://schemas.openxmlformats.org/officeDocument/2006/relationships/hyperlink" Target="http://arv.ucsf.edu/insite?page=ar-00-02&amp;param=261&amp;post=4" TargetMode="External"/><Relationship Id="rId33" Type="http://schemas.openxmlformats.org/officeDocument/2006/relationships/hyperlink" Target="http://arv.ucsf.edu/insite?page=ar-00-02&amp;param=261&amp;post=4" TargetMode="External"/><Relationship Id="rId38" Type="http://schemas.openxmlformats.org/officeDocument/2006/relationships/hyperlink" Target="http://arv.ucsf.edu/insite?page=ar-00-02&amp;param=261&amp;post=4" TargetMode="External"/><Relationship Id="rId46" Type="http://schemas.openxmlformats.org/officeDocument/2006/relationships/hyperlink" Target="http://arv.ucsf.edu/insite?page=ar-00-02&amp;param=261&amp;post=4" TargetMode="External"/><Relationship Id="rId59" Type="http://schemas.openxmlformats.org/officeDocument/2006/relationships/hyperlink" Target="http://arv.ucsf.edu/insite?page=ar-00-02&amp;param=261&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4299</Words>
  <Characters>24510</Characters>
  <Application>Microsoft Office Word</Application>
  <DocSecurity>0</DocSecurity>
  <Lines>204</Lines>
  <Paragraphs>57</Paragraphs>
  <ScaleCrop>false</ScaleCrop>
  <Company/>
  <LinksUpToDate>false</LinksUpToDate>
  <CharactersWithSpaces>28752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2017-01-26T20:45:00Z</dcterms:created>
  <dcterms:modified xsi:type="dcterms:W3CDTF">2017-01-26T20:46:00Z</dcterms:modified>
</cp:coreProperties>
</file>