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9EC" w:rsidRPr="00D019EC" w:rsidRDefault="00D019EC" w:rsidP="00D019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606060"/>
          <w:sz w:val="24"/>
          <w:szCs w:val="24"/>
        </w:rPr>
      </w:pPr>
      <w:r w:rsidRPr="00D019EC">
        <w:rPr>
          <w:rFonts w:ascii="Arial" w:eastAsia="Times New Roman" w:hAnsi="Arial" w:cs="Arial"/>
          <w:b/>
          <w:bCs/>
          <w:color w:val="606060"/>
          <w:sz w:val="24"/>
          <w:szCs w:val="24"/>
        </w:rPr>
        <w:t xml:space="preserve">All Interactions with </w:t>
      </w:r>
      <w:proofErr w:type="spellStart"/>
      <w:r w:rsidRPr="00D019EC">
        <w:rPr>
          <w:rFonts w:ascii="Arial" w:eastAsia="Times New Roman" w:hAnsi="Arial" w:cs="Arial"/>
          <w:b/>
          <w:bCs/>
          <w:color w:val="606060"/>
          <w:sz w:val="24"/>
          <w:szCs w:val="24"/>
        </w:rPr>
        <w:t>Elvite</w:t>
      </w:r>
      <w:bookmarkStart w:id="0" w:name="_GoBack"/>
      <w:bookmarkEnd w:id="0"/>
      <w:r w:rsidRPr="00D019EC">
        <w:rPr>
          <w:rFonts w:ascii="Arial" w:eastAsia="Times New Roman" w:hAnsi="Arial" w:cs="Arial"/>
          <w:b/>
          <w:bCs/>
          <w:color w:val="606060"/>
          <w:sz w:val="24"/>
          <w:szCs w:val="24"/>
        </w:rPr>
        <w:t>gravir</w:t>
      </w:r>
      <w:proofErr w:type="spellEnd"/>
      <w:r w:rsidRPr="00D019EC">
        <w:rPr>
          <w:rFonts w:ascii="Arial" w:eastAsia="Times New Roman" w:hAnsi="Arial" w:cs="Arial"/>
          <w:b/>
          <w:bCs/>
          <w:color w:val="606060"/>
          <w:sz w:val="24"/>
          <w:szCs w:val="24"/>
        </w:rPr>
        <w:t xml:space="preserve"> (</w:t>
      </w:r>
      <w:proofErr w:type="spellStart"/>
      <w:r w:rsidRPr="00D019EC">
        <w:rPr>
          <w:rFonts w:ascii="Arial" w:eastAsia="Times New Roman" w:hAnsi="Arial" w:cs="Arial"/>
          <w:b/>
          <w:bCs/>
          <w:color w:val="606060"/>
          <w:sz w:val="24"/>
          <w:szCs w:val="24"/>
        </w:rPr>
        <w:t>Vitekta</w:t>
      </w:r>
      <w:proofErr w:type="spellEnd"/>
      <w:r w:rsidRPr="00D019EC">
        <w:rPr>
          <w:rFonts w:ascii="Arial" w:eastAsia="Times New Roman" w:hAnsi="Arial" w:cs="Arial"/>
          <w:b/>
          <w:bCs/>
          <w:color w:val="606060"/>
          <w:sz w:val="24"/>
          <w:szCs w:val="24"/>
        </w:rPr>
        <w:t>)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532"/>
        <w:gridCol w:w="1035"/>
        <w:gridCol w:w="1479"/>
        <w:gridCol w:w="1176"/>
        <w:gridCol w:w="1176"/>
        <w:gridCol w:w="1013"/>
        <w:gridCol w:w="1138"/>
      </w:tblGrid>
      <w:tr w:rsidR="00D019EC" w:rsidRPr="00D019EC" w:rsidTr="00D019EC">
        <w:trPr>
          <w:tblHeader/>
        </w:trPr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19EC" w:rsidRPr="00D019EC" w:rsidRDefault="00D019EC" w:rsidP="00D019E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D019E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</w:t>
            </w:r>
            <w:proofErr w:type="spellEnd"/>
            <w:r w:rsidRPr="00D019E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 xml:space="preserve">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19EC" w:rsidRPr="00D019EC" w:rsidRDefault="00D019EC" w:rsidP="00D019E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D019E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19EC" w:rsidRPr="00D019EC" w:rsidRDefault="00D019EC" w:rsidP="00D019E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D019E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 xml:space="preserve">Dose of </w:t>
            </w:r>
            <w:proofErr w:type="spellStart"/>
            <w:r w:rsidRPr="00D019E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Elvitegravir</w:t>
            </w:r>
            <w:proofErr w:type="spellEnd"/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19EC" w:rsidRPr="00D019EC" w:rsidRDefault="00D019EC" w:rsidP="00D019E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D019E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19EC" w:rsidRPr="00D019EC" w:rsidRDefault="00D019EC" w:rsidP="00D019E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D019E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 xml:space="preserve">Effect on </w:t>
            </w:r>
            <w:proofErr w:type="spellStart"/>
            <w:r w:rsidRPr="00D019E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Elvitegravir</w:t>
            </w:r>
            <w:proofErr w:type="spellEnd"/>
            <w:r w:rsidRPr="00D019E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 xml:space="preserve">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19EC" w:rsidRPr="00D019EC" w:rsidRDefault="00D019EC" w:rsidP="00D019E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D019E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19EC" w:rsidRPr="00D019EC" w:rsidRDefault="00D019EC" w:rsidP="00D019E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D019E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19EC" w:rsidRPr="00D019EC" w:rsidRDefault="00D019EC" w:rsidP="00D019E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D019E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D019EC" w:rsidRPr="00D019EC" w:rsidTr="00D019EC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19EC" w:rsidRPr="00D019EC" w:rsidRDefault="00D019EC" w:rsidP="00D019EC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Antacids</w:t>
            </w:r>
            <w:hyperlink r:id="rId4" w:anchor="697" w:history="1">
              <w:r w:rsidRPr="00D019EC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697</w:t>
              </w:r>
            </w:hyperlink>
          </w:p>
          <w:p w:rsidR="00D019EC" w:rsidRPr="00D019EC" w:rsidRDefault="00D019EC" w:rsidP="00D019EC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(Maalox, Mylanta, </w:t>
            </w:r>
            <w:proofErr w:type="spellStart"/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Riopan</w:t>
            </w:r>
            <w:proofErr w:type="spellEnd"/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, Milk of Magnesia, others)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19EC" w:rsidRPr="00D019EC" w:rsidRDefault="00D019EC" w:rsidP="00D019EC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19EC" w:rsidRPr="00D019EC" w:rsidRDefault="00D019EC" w:rsidP="00D019EC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19EC" w:rsidRPr="00D019EC" w:rsidRDefault="00D019EC" w:rsidP="00D019EC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19EC" w:rsidRPr="00D019EC" w:rsidRDefault="00D019EC" w:rsidP="00D019EC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Elvitegravir</w:t>
            </w:r>
            <w:proofErr w:type="spellEnd"/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AUC decreased 40-50% if given simultaneously with an antacid and a boosted protease inhibitor. </w:t>
            </w:r>
            <w:proofErr w:type="spellStart"/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Elvitegravir</w:t>
            </w:r>
            <w:proofErr w:type="spellEnd"/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AUC decreased 15-20% if given simultaneously with boosted PI, but antacid was separated by 2 hours. No change in AUC if </w:t>
            </w:r>
            <w:proofErr w:type="spellStart"/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elvitegravir</w:t>
            </w:r>
            <w:proofErr w:type="spellEnd"/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given </w:t>
            </w:r>
            <w:proofErr w:type="spellStart"/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simultaenously</w:t>
            </w:r>
            <w:proofErr w:type="spellEnd"/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with boosted PI and antacid is separated by 4 hours.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19EC" w:rsidRPr="00D019EC" w:rsidRDefault="00D019EC" w:rsidP="00D019EC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Potentially decreased </w:t>
            </w:r>
            <w:proofErr w:type="spellStart"/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elvitegravir</w:t>
            </w:r>
            <w:proofErr w:type="spellEnd"/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effectiveness if given simultaneously with boosted PI and antacid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19EC" w:rsidRPr="00D019EC" w:rsidRDefault="00D019EC" w:rsidP="00D019EC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Chelation of integrase inhibitors by divalent cations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19EC" w:rsidRPr="00D019EC" w:rsidRDefault="00D019EC" w:rsidP="00D019E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When giving </w:t>
            </w:r>
            <w:proofErr w:type="spellStart"/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elvitegravir</w:t>
            </w:r>
            <w:proofErr w:type="spellEnd"/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with a boosted PI, separate antacids by at least 2 hours.</w:t>
            </w:r>
          </w:p>
        </w:tc>
      </w:tr>
      <w:tr w:rsidR="00D019EC" w:rsidRPr="00D019EC" w:rsidTr="00D019EC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19EC" w:rsidRPr="00D019EC" w:rsidRDefault="00D019EC" w:rsidP="00D019E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Rifabutin</w:t>
            </w:r>
            <w:hyperlink r:id="rId5" w:anchor="697" w:history="1">
              <w:r w:rsidRPr="00D019EC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697</w:t>
              </w:r>
            </w:hyperlink>
          </w:p>
          <w:p w:rsidR="00D019EC" w:rsidRPr="00D019EC" w:rsidRDefault="00D019EC" w:rsidP="00D019E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Mycobutin</w:t>
            </w:r>
            <w:proofErr w:type="spellEnd"/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)(</w:t>
            </w:r>
            <w:proofErr w:type="spellStart"/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Mycobutin</w:t>
            </w:r>
            <w:proofErr w:type="spellEnd"/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19EC" w:rsidRPr="00D019EC" w:rsidRDefault="00D019EC" w:rsidP="00D019E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every other day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19EC" w:rsidRPr="00D019EC" w:rsidRDefault="00D019EC" w:rsidP="00D019E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plus 100 mg ritonavir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19EC" w:rsidRPr="00D019EC" w:rsidRDefault="00D019EC" w:rsidP="00D019E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Increased rifabutin levels and increased rifabutin metabolite (25-O-desacetylrifabutin). </w:t>
            </w:r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 xml:space="preserve">Potential increase of 25-O-desacetylrifabutin AUC of 951% if given with </w:t>
            </w:r>
            <w:proofErr w:type="spellStart"/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elvitegravir</w:t>
            </w:r>
            <w:proofErr w:type="spellEnd"/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with a ritonavir-boosted protease inhibitor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19EC" w:rsidRPr="00D019EC" w:rsidRDefault="00D019EC" w:rsidP="00D019E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No effect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19EC" w:rsidRPr="00D019EC" w:rsidRDefault="00D019EC" w:rsidP="00D019E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Potential for increased rifabutin toxicity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19EC" w:rsidRPr="00D019EC" w:rsidRDefault="00D019EC" w:rsidP="00D019E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CYP3A4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19EC" w:rsidRPr="00D019EC" w:rsidRDefault="00D019EC" w:rsidP="00D019E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Use rifabutin 150mg once daily or 300 mg three times weekly if co-</w:t>
            </w:r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 xml:space="preserve">administering with </w:t>
            </w:r>
            <w:proofErr w:type="spellStart"/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elvitegravir</w:t>
            </w:r>
            <w:proofErr w:type="spellEnd"/>
            <w:r w:rsidRPr="00D019E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and a ritonavir-boosted PI.</w:t>
            </w:r>
          </w:p>
        </w:tc>
      </w:tr>
      <w:tr w:rsidR="00D019EC" w:rsidRPr="00D019EC" w:rsidTr="00D019EC">
        <w:tc>
          <w:tcPr>
            <w:tcW w:w="0" w:type="auto"/>
            <w:gridSpan w:val="8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BBBB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019EC" w:rsidRPr="00D019EC" w:rsidRDefault="00D019EC" w:rsidP="00D019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"-" indicates that there are no data available</w:t>
            </w:r>
          </w:p>
        </w:tc>
      </w:tr>
    </w:tbl>
    <w:p w:rsidR="00D019EC" w:rsidRPr="00D019EC" w:rsidRDefault="00D019EC" w:rsidP="00D019E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5508"/>
      </w:tblGrid>
      <w:tr w:rsidR="00D019EC" w:rsidRPr="00D019EC" w:rsidTr="00D019EC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019EC" w:rsidRPr="00D019EC" w:rsidRDefault="00D019EC" w:rsidP="00D01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" w:name="697"/>
            <w:r w:rsidRPr="00D019EC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"/>
            <w:r w:rsidRPr="00D019EC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697: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19EC" w:rsidRPr="00D019EC" w:rsidRDefault="00D019EC" w:rsidP="00D019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D01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Vitekta</w:t>
            </w:r>
            <w:proofErr w:type="spellEnd"/>
            <w:r w:rsidRPr="00D019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[package insert]. Gilead Sciences; Foster City, CA. July 2015</w:t>
            </w:r>
          </w:p>
        </w:tc>
      </w:tr>
    </w:tbl>
    <w:p w:rsidR="00244653" w:rsidRDefault="00244653"/>
    <w:sectPr w:rsidR="0024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EC"/>
    <w:rsid w:val="00244653"/>
    <w:rsid w:val="002B2852"/>
    <w:rsid w:val="00D0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814C2-8EE2-4894-A170-3A211F7A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brsec1">
    <w:name w:val="kbrsec1"/>
    <w:basedOn w:val="Normal"/>
    <w:rsid w:val="00D01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19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1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0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v.ucsf.edu/insite?page=ar-00-02&amp;param=259&amp;post=4" TargetMode="External"/><Relationship Id="rId4" Type="http://schemas.openxmlformats.org/officeDocument/2006/relationships/hyperlink" Target="http://arv.ucsf.edu/insite?page=ar-00-02&amp;param=259&amp;post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Chou</dc:creator>
  <cp:keywords/>
  <dc:description/>
  <cp:lastModifiedBy>Eric Chou</cp:lastModifiedBy>
  <cp:revision>1</cp:revision>
  <dcterms:created xsi:type="dcterms:W3CDTF">2017-01-26T20:44:00Z</dcterms:created>
  <dcterms:modified xsi:type="dcterms:W3CDTF">2017-01-26T20:44:00Z</dcterms:modified>
</cp:coreProperties>
</file>