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8CE" w:rsidRPr="001578CE" w:rsidRDefault="001578CE" w:rsidP="001578CE">
      <w:pPr>
        <w:shd w:val="clear" w:color="auto" w:fill="FFFFFF"/>
        <w:spacing w:after="100" w:afterAutospacing="1" w:line="240" w:lineRule="auto"/>
        <w:rPr>
          <w:rFonts w:ascii="Arial" w:eastAsia="Times New Roman" w:hAnsi="Arial" w:cs="Arial"/>
          <w:b/>
          <w:bCs/>
          <w:color w:val="606060"/>
          <w:sz w:val="24"/>
          <w:szCs w:val="24"/>
        </w:rPr>
      </w:pPr>
      <w:r w:rsidRPr="001578CE">
        <w:rPr>
          <w:rFonts w:ascii="Arial" w:eastAsia="Times New Roman" w:hAnsi="Arial" w:cs="Arial"/>
          <w:b/>
          <w:bCs/>
          <w:color w:val="606060"/>
          <w:sz w:val="24"/>
          <w:szCs w:val="24"/>
        </w:rPr>
        <w:t>All Interactions with Fosampren</w:t>
      </w:r>
      <w:bookmarkStart w:id="0" w:name="_GoBack"/>
      <w:bookmarkEnd w:id="0"/>
      <w:r w:rsidRPr="001578CE">
        <w:rPr>
          <w:rFonts w:ascii="Arial" w:eastAsia="Times New Roman" w:hAnsi="Arial" w:cs="Arial"/>
          <w:b/>
          <w:bCs/>
          <w:color w:val="606060"/>
          <w:sz w:val="24"/>
          <w:szCs w:val="24"/>
        </w:rPr>
        <w:t>avir (Lexiva)</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831"/>
        <w:gridCol w:w="693"/>
        <w:gridCol w:w="1005"/>
        <w:gridCol w:w="1013"/>
        <w:gridCol w:w="1326"/>
        <w:gridCol w:w="942"/>
        <w:gridCol w:w="1283"/>
        <w:gridCol w:w="1251"/>
      </w:tblGrid>
      <w:tr w:rsidR="001578CE" w:rsidRPr="001578CE" w:rsidTr="001578CE">
        <w:trPr>
          <w:tblHeader/>
        </w:trPr>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30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30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30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30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30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30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30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30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Management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30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Antacids</w:t>
            </w:r>
            <w:hyperlink r:id="rId4" w:anchor="130" w:history="1">
              <w:r w:rsidRPr="001578CE">
                <w:rPr>
                  <w:rFonts w:ascii="Verdana" w:eastAsia="Times New Roman" w:hAnsi="Verdana" w:cs="Times New Roman"/>
                  <w:color w:val="003399"/>
                  <w:sz w:val="14"/>
                  <w:szCs w:val="14"/>
                  <w:u w:val="single"/>
                  <w:vertAlign w:val="superscript"/>
                </w:rPr>
                <w:t>130</w:t>
              </w:r>
            </w:hyperlink>
            <w:r w:rsidRPr="001578CE">
              <w:rPr>
                <w:rFonts w:ascii="Verdana" w:eastAsia="Times New Roman" w:hAnsi="Verdana" w:cs="Times New Roman"/>
                <w:color w:val="333333"/>
                <w:sz w:val="14"/>
                <w:szCs w:val="14"/>
                <w:vertAlign w:val="superscript"/>
              </w:rPr>
              <w:t>, </w:t>
            </w:r>
            <w:hyperlink r:id="rId5" w:anchor="241" w:history="1">
              <w:r w:rsidRPr="001578CE">
                <w:rPr>
                  <w:rFonts w:ascii="Verdana" w:eastAsia="Times New Roman" w:hAnsi="Verdana" w:cs="Times New Roman"/>
                  <w:color w:val="003399"/>
                  <w:sz w:val="14"/>
                  <w:szCs w:val="14"/>
                  <w:u w:val="single"/>
                  <w:vertAlign w:val="superscript"/>
                </w:rPr>
                <w:t>241</w:t>
              </w:r>
            </w:hyperlink>
          </w:p>
          <w:p w:rsidR="001578CE" w:rsidRPr="001578CE" w:rsidRDefault="001578CE" w:rsidP="001578CE">
            <w:pPr>
              <w:spacing w:after="30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(Maalox, Mylanta, Riopan, Milk of Magnesia, others)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30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30 mL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30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30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30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Cmax: decreased 35%; AUC: decreased 18%;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30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30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Dose adjustment not established; may consider separating antacid 2 hours away from fosamprenavir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Atazanavir</w:t>
            </w:r>
            <w:hyperlink r:id="rId6" w:anchor="163" w:history="1">
              <w:r w:rsidRPr="001578CE">
                <w:rPr>
                  <w:rFonts w:ascii="Verdana" w:eastAsia="Times New Roman" w:hAnsi="Verdana" w:cs="Times New Roman"/>
                  <w:color w:val="003399"/>
                  <w:sz w:val="14"/>
                  <w:szCs w:val="14"/>
                  <w:u w:val="single"/>
                  <w:vertAlign w:val="superscript"/>
                </w:rPr>
                <w:t>163</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200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Atazanavir AUC: decreased 33%; Cmax: decreased 30%; Cmin: decreased 57%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Fosamprenavir AUC: increased 78%; Cmax: increased 36%; Cmin: increased 283%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Increased 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CYP450 3A4 by atazanavir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Dose adjustment not established</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Atazanavir</w:t>
            </w:r>
            <w:hyperlink r:id="rId7" w:anchor="159" w:history="1">
              <w:r w:rsidRPr="001578CE">
                <w:rPr>
                  <w:rFonts w:ascii="Verdana" w:eastAsia="Times New Roman" w:hAnsi="Verdana" w:cs="Times New Roman"/>
                  <w:color w:val="003399"/>
                  <w:sz w:val="14"/>
                  <w:szCs w:val="14"/>
                  <w:u w:val="single"/>
                  <w:vertAlign w:val="superscript"/>
                </w:rPr>
                <w:t>159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300 mg with 100 mg ritonavir QD on days 1-10, in crossover 300 mg QD when combined with FPV/r 700 mg/100 </w:t>
            </w:r>
            <w:r w:rsidRPr="001578CE">
              <w:rPr>
                <w:rFonts w:ascii="Verdana" w:eastAsia="Times New Roman" w:hAnsi="Verdana" w:cs="Times New Roman"/>
                <w:color w:val="333333"/>
                <w:sz w:val="18"/>
                <w:szCs w:val="18"/>
              </w:rPr>
              <w:lastRenderedPageBreak/>
              <w:t>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700 mg BID with 100 mg ritonavir BID on days 1-10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Atazanavir AUC: decreased 22%; Cmax: decreased 24%;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no significant change; Cmax: no significant change; Cmin: no significant changeRitonavir AUC: increased 93%; Cmax: increased 96%; Cmin: increased 37% (when ATV 300 mg QD added to FPV/r 700 mg/100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Possibly increased ritonavir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CYP450 3A4 by atazanavir and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Atazanavir</w:t>
            </w:r>
            <w:hyperlink r:id="rId8" w:anchor="431" w:history="1">
              <w:r w:rsidRPr="001578CE">
                <w:rPr>
                  <w:rFonts w:ascii="Verdana" w:eastAsia="Times New Roman" w:hAnsi="Verdana" w:cs="Times New Roman"/>
                  <w:color w:val="003399"/>
                  <w:sz w:val="14"/>
                  <w:szCs w:val="14"/>
                  <w:u w:val="single"/>
                  <w:vertAlign w:val="superscript"/>
                </w:rPr>
                <w:t>431</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(ATV)(Reyataz)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Atazanavir AUC: decreased 33%; Cmax: decreased 27%; Cmin: decreased 60%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increased 97%; Cmax: increased 58%; Cmin: increased 297%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Increased amprenavir effects; reduced atazanavir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Possible induction of CYP450 3A4 by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Atorvastatin</w:t>
            </w:r>
            <w:hyperlink r:id="rId9" w:anchor="218" w:history="1">
              <w:r w:rsidRPr="001578CE">
                <w:rPr>
                  <w:rFonts w:ascii="Verdana" w:eastAsia="Times New Roman" w:hAnsi="Verdana" w:cs="Times New Roman"/>
                  <w:color w:val="003399"/>
                  <w:sz w:val="14"/>
                  <w:szCs w:val="14"/>
                  <w:u w:val="single"/>
                  <w:vertAlign w:val="superscript"/>
                </w:rPr>
                <w:t>218</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BID or 700 mg fosamprenavir with 100 mg ritonavir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Atorvastatin AUC: increased 130% (on 1400 mg BID); Cmax: increased 304% (on 1400 mg BID); AUC: increased 153% (on 700/100 mg BID); Cmax: increased 184% (on 700/100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27% (on 1400 mg BID); Cmax: decreased 18% (on 1400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Increased atorvastatin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CYP450 3A4 by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Avoid combination if possible; may consider low dose atorvastatin or alternative agents; monitor for myopathy</w:t>
            </w:r>
          </w:p>
        </w:tc>
      </w:tr>
      <w:tr w:rsidR="001578CE" w:rsidRPr="001578CE" w:rsidTr="001578CE">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Management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Atorvastatin</w:t>
            </w:r>
            <w:hyperlink r:id="rId10" w:anchor="130" w:history="1">
              <w:r w:rsidRPr="001578CE">
                <w:rPr>
                  <w:rFonts w:ascii="Verdana" w:eastAsia="Times New Roman" w:hAnsi="Verdana" w:cs="Times New Roman"/>
                  <w:color w:val="003399"/>
                  <w:sz w:val="14"/>
                  <w:szCs w:val="14"/>
                  <w:u w:val="single"/>
                  <w:vertAlign w:val="superscript"/>
                </w:rPr>
                <w:t>130</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100 mg BID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Atorvastatin Cmax: increased 184%; AUC: increased 153%; Cmin: </w:t>
            </w:r>
            <w:r w:rsidRPr="001578CE">
              <w:rPr>
                <w:rFonts w:ascii="Verdana" w:eastAsia="Times New Roman" w:hAnsi="Verdana" w:cs="Times New Roman"/>
                <w:color w:val="333333"/>
                <w:sz w:val="18"/>
                <w:szCs w:val="18"/>
              </w:rPr>
              <w:lastRenderedPageBreak/>
              <w:t>increased 73%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Increased atorvastatin effects (eg, myopathy, rhabdo</w:t>
            </w:r>
            <w:r w:rsidRPr="001578CE">
              <w:rPr>
                <w:rFonts w:ascii="Verdana" w:eastAsia="Times New Roman" w:hAnsi="Verdana" w:cs="Times New Roman"/>
                <w:color w:val="333333"/>
                <w:sz w:val="18"/>
                <w:szCs w:val="18"/>
              </w:rPr>
              <w:lastRenderedPageBreak/>
              <w:t>myolysis)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Inhibition of CYP450 3A4 by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Avoid combination if possible; may consider low dose atorvastatin or </w:t>
            </w:r>
            <w:r w:rsidRPr="001578CE">
              <w:rPr>
                <w:rFonts w:ascii="Verdana" w:eastAsia="Times New Roman" w:hAnsi="Verdana" w:cs="Times New Roman"/>
                <w:color w:val="333333"/>
                <w:sz w:val="18"/>
                <w:szCs w:val="18"/>
              </w:rPr>
              <w:lastRenderedPageBreak/>
              <w:t>alternative agents; monitor for myopathy</w:t>
            </w:r>
          </w:p>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i/>
                <w:iCs/>
                <w:color w:val="333333"/>
                <w:sz w:val="18"/>
                <w:szCs w:val="18"/>
              </w:rPr>
              <w:t>Alternative Agents</w:t>
            </w:r>
            <w:r w:rsidRPr="001578CE">
              <w:rPr>
                <w:rFonts w:ascii="Verdana" w:eastAsia="Times New Roman" w:hAnsi="Verdana" w:cs="Times New Roman"/>
                <w:color w:val="333333"/>
                <w:sz w:val="18"/>
                <w:szCs w:val="18"/>
              </w:rPr>
              <w:t>: </w:t>
            </w:r>
            <w:r w:rsidRPr="001578CE">
              <w:rPr>
                <w:rFonts w:ascii="Verdana" w:eastAsia="Times New Roman" w:hAnsi="Verdana" w:cs="Times New Roman"/>
                <w:color w:val="333333"/>
                <w:sz w:val="18"/>
                <w:szCs w:val="18"/>
              </w:rPr>
              <w:br/>
            </w:r>
            <w:r w:rsidRPr="001578CE">
              <w:rPr>
                <w:rFonts w:ascii="Verdana" w:eastAsia="Times New Roman" w:hAnsi="Verdana" w:cs="Times New Roman"/>
                <w:b/>
                <w:bCs/>
                <w:color w:val="333333"/>
                <w:sz w:val="18"/>
                <w:szCs w:val="18"/>
              </w:rPr>
              <w:t>Pravastatin</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Atorvastatin</w:t>
            </w:r>
            <w:hyperlink r:id="rId11" w:anchor="130" w:history="1">
              <w:r w:rsidRPr="001578CE">
                <w:rPr>
                  <w:rFonts w:ascii="Verdana" w:eastAsia="Times New Roman" w:hAnsi="Verdana" w:cs="Times New Roman"/>
                  <w:color w:val="003399"/>
                  <w:sz w:val="14"/>
                  <w:szCs w:val="14"/>
                  <w:u w:val="single"/>
                  <w:vertAlign w:val="superscript"/>
                </w:rPr>
                <w:t>130</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10 mg QD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BID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Atorvastatin Cmax: increased 304%; AUC: increased 130%;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Cmax: decreased 18%; AUC: decreased 27%;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Increased atorvastatin effects (eg, myopathy, rhabdomyolysis)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CYP450 3A4 by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Avoid combination if possible; may consider low dose atorvastatin or alternative agents; monitor for myopathy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Bosentan</w:t>
            </w:r>
            <w:hyperlink r:id="rId12" w:anchor="727" w:history="1">
              <w:r w:rsidRPr="001578CE">
                <w:rPr>
                  <w:rFonts w:ascii="Verdana" w:eastAsia="Times New Roman" w:hAnsi="Verdana" w:cs="Times New Roman"/>
                  <w:color w:val="003399"/>
                  <w:sz w:val="14"/>
                  <w:szCs w:val="14"/>
                  <w:u w:val="single"/>
                  <w:vertAlign w:val="superscript"/>
                </w:rPr>
                <w:t>727</w:t>
              </w:r>
            </w:hyperlink>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Possible increased bosentan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Start low and titrate bosentan to effect. If patient has been on protease inhibitor (other than unboosted atazanavir) for more than 10 days, start bosentan at 62.5 mg daily or every other day. If patient is currently on bosentan and requires a PI (other than unboosted atazanavir), </w:t>
            </w:r>
            <w:r w:rsidRPr="001578CE">
              <w:rPr>
                <w:rFonts w:ascii="Verdana" w:eastAsia="Times New Roman" w:hAnsi="Verdana" w:cs="Times New Roman"/>
                <w:color w:val="333333"/>
                <w:sz w:val="18"/>
                <w:szCs w:val="18"/>
              </w:rPr>
              <w:lastRenderedPageBreak/>
              <w:t>stop bosentan for at least 36 hours prior to initiating ART. Wait 10 days and then resume bosentan starting with 62.5 mg daily or every other day.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Colchicine</w:t>
            </w:r>
            <w:hyperlink r:id="rId13" w:anchor="549" w:history="1">
              <w:r w:rsidRPr="001578CE">
                <w:rPr>
                  <w:rFonts w:ascii="Verdana" w:eastAsia="Times New Roman" w:hAnsi="Verdana" w:cs="Times New Roman"/>
                  <w:color w:val="003399"/>
                  <w:sz w:val="14"/>
                  <w:szCs w:val="14"/>
                  <w:u w:val="single"/>
                  <w:vertAlign w:val="superscript"/>
                </w:rPr>
                <w:t>549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(Colcrys)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Increased colchicine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P450 3A4 by fosamprenavir/ritonavir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For treatment of gout, reduce colchicine dosage to 0.6 mg x 1 then 0.3 mg one hour later. Dose not to be repeated no earlier than 3 days. For prophylaxis of gout, reduce colchicine dosage to 0.3 mg QD if on 0.6 mg BID prior to PI therapy or reduce colchicine dose to 0.3 mg QOD if on 0.6 mg QD prior to PI therapy. For treatment of familial </w:t>
            </w:r>
            <w:r w:rsidRPr="001578CE">
              <w:rPr>
                <w:rFonts w:ascii="Verdana" w:eastAsia="Times New Roman" w:hAnsi="Verdana" w:cs="Times New Roman"/>
                <w:color w:val="333333"/>
                <w:sz w:val="18"/>
                <w:szCs w:val="18"/>
              </w:rPr>
              <w:lastRenderedPageBreak/>
              <w:t>Mediterranean fever: Do not exceed colchicine 0.6 mg once daily or 0.3 mg BID. Do not coadminister in patients with hepatic or renal impairment.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Daclatasvir</w:t>
            </w:r>
            <w:hyperlink r:id="rId14" w:anchor="747" w:history="1">
              <w:r w:rsidRPr="001578CE">
                <w:rPr>
                  <w:rFonts w:ascii="Verdana" w:eastAsia="Times New Roman" w:hAnsi="Verdana" w:cs="Times New Roman"/>
                  <w:color w:val="003399"/>
                  <w:sz w:val="14"/>
                  <w:szCs w:val="14"/>
                  <w:u w:val="single"/>
                  <w:vertAlign w:val="superscript"/>
                </w:rPr>
                <w:t>747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(Daklinza)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 with ritonavir boosted or unboosted fosamprenavir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Dasabuvir, Ombitasvir/Paritaprevir/Ritonavir</w:t>
            </w:r>
            <w:hyperlink r:id="rId15" w:anchor="727" w:history="1">
              <w:r w:rsidRPr="001578CE">
                <w:rPr>
                  <w:rFonts w:ascii="Verdana" w:eastAsia="Times New Roman" w:hAnsi="Verdana" w:cs="Times New Roman"/>
                  <w:color w:val="003399"/>
                  <w:sz w:val="14"/>
                  <w:szCs w:val="14"/>
                  <w:u w:val="single"/>
                  <w:vertAlign w:val="superscript"/>
                </w:rPr>
                <w:t>727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(Viekira)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tc>
      </w:tr>
      <w:tr w:rsidR="001578CE" w:rsidRPr="001578CE" w:rsidTr="001578CE">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Management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Dolutegravir</w:t>
            </w:r>
            <w:hyperlink r:id="rId16" w:anchor="641" w:history="1">
              <w:r w:rsidRPr="001578CE">
                <w:rPr>
                  <w:rFonts w:ascii="Verdana" w:eastAsia="Times New Roman" w:hAnsi="Verdana" w:cs="Times New Roman"/>
                  <w:color w:val="003399"/>
                  <w:sz w:val="14"/>
                  <w:szCs w:val="14"/>
                  <w:u w:val="single"/>
                  <w:vertAlign w:val="superscript"/>
                </w:rPr>
                <w:t>641</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(Tivicay)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50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Dolutegravir AUC: decreased 35%; Cmin: decreased 49%</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Potentially reduced dolutegravir effectiveness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If no INSTI resistance, increase dolutegravir dosage to 50 mg BID. If known or clinically suspected INSTI resistance, use alternative combination</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Efavirenz</w:t>
            </w:r>
            <w:hyperlink r:id="rId17" w:anchor="128" w:history="1">
              <w:r w:rsidRPr="001578CE">
                <w:rPr>
                  <w:rFonts w:ascii="Verdana" w:eastAsia="Times New Roman" w:hAnsi="Verdana" w:cs="Times New Roman"/>
                  <w:color w:val="003399"/>
                  <w:sz w:val="14"/>
                  <w:szCs w:val="14"/>
                  <w:u w:val="single"/>
                  <w:vertAlign w:val="superscript"/>
                </w:rPr>
                <w:t>128</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100 mg BID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Efavirenz</w:t>
            </w:r>
            <w:hyperlink r:id="rId18" w:anchor="128" w:history="1">
              <w:r w:rsidRPr="001578CE">
                <w:rPr>
                  <w:rFonts w:ascii="Verdana" w:eastAsia="Times New Roman" w:hAnsi="Verdana" w:cs="Times New Roman"/>
                  <w:color w:val="003399"/>
                  <w:sz w:val="14"/>
                  <w:szCs w:val="14"/>
                  <w:u w:val="single"/>
                  <w:vertAlign w:val="superscript"/>
                </w:rPr>
                <w:t>128</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600 mg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200 mg BID x 28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Efavirenz</w:t>
            </w:r>
            <w:hyperlink r:id="rId19" w:anchor="130" w:history="1">
              <w:r w:rsidRPr="001578CE">
                <w:rPr>
                  <w:rFonts w:ascii="Verdana" w:eastAsia="Times New Roman" w:hAnsi="Verdana" w:cs="Times New Roman"/>
                  <w:color w:val="003399"/>
                  <w:sz w:val="14"/>
                  <w:szCs w:val="14"/>
                  <w:u w:val="single"/>
                  <w:vertAlign w:val="superscript"/>
                </w:rPr>
                <w:t>130</w:t>
              </w:r>
            </w:hyperlink>
            <w:r w:rsidRPr="001578CE">
              <w:rPr>
                <w:rFonts w:ascii="Verdana" w:eastAsia="Times New Roman" w:hAnsi="Verdana" w:cs="Times New Roman"/>
                <w:color w:val="333333"/>
                <w:sz w:val="14"/>
                <w:szCs w:val="14"/>
                <w:vertAlign w:val="superscript"/>
              </w:rPr>
              <w:t>, </w:t>
            </w:r>
            <w:hyperlink r:id="rId20" w:anchor="131" w:history="1">
              <w:r w:rsidRPr="001578CE">
                <w:rPr>
                  <w:rFonts w:ascii="Verdana" w:eastAsia="Times New Roman" w:hAnsi="Verdana" w:cs="Times New Roman"/>
                  <w:color w:val="003399"/>
                  <w:sz w:val="14"/>
                  <w:szCs w:val="14"/>
                  <w:u w:val="single"/>
                  <w:vertAlign w:val="superscript"/>
                </w:rPr>
                <w:t>131</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600 mg QD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100 mg BID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Efavirenz</w:t>
            </w:r>
            <w:hyperlink r:id="rId21" w:anchor="130" w:history="1">
              <w:r w:rsidRPr="001578CE">
                <w:rPr>
                  <w:rFonts w:ascii="Verdana" w:eastAsia="Times New Roman" w:hAnsi="Verdana" w:cs="Times New Roman"/>
                  <w:color w:val="003399"/>
                  <w:sz w:val="14"/>
                  <w:szCs w:val="14"/>
                  <w:u w:val="single"/>
                  <w:vertAlign w:val="superscript"/>
                </w:rPr>
                <w:t>130</w:t>
              </w:r>
            </w:hyperlink>
            <w:r w:rsidRPr="001578CE">
              <w:rPr>
                <w:rFonts w:ascii="Verdana" w:eastAsia="Times New Roman" w:hAnsi="Verdana" w:cs="Times New Roman"/>
                <w:color w:val="333333"/>
                <w:sz w:val="14"/>
                <w:szCs w:val="14"/>
                <w:vertAlign w:val="superscript"/>
              </w:rPr>
              <w:t>, </w:t>
            </w:r>
            <w:hyperlink r:id="rId22" w:anchor="131" w:history="1">
              <w:r w:rsidRPr="001578CE">
                <w:rPr>
                  <w:rFonts w:ascii="Verdana" w:eastAsia="Times New Roman" w:hAnsi="Verdana" w:cs="Times New Roman"/>
                  <w:color w:val="003399"/>
                  <w:sz w:val="14"/>
                  <w:szCs w:val="14"/>
                  <w:u w:val="single"/>
                  <w:vertAlign w:val="superscript"/>
                </w:rPr>
                <w:t>131</w:t>
              </w:r>
            </w:hyperlink>
            <w:r w:rsidRPr="001578CE">
              <w:rPr>
                <w:rFonts w:ascii="Verdana" w:eastAsia="Times New Roman" w:hAnsi="Verdana" w:cs="Times New Roman"/>
                <w:color w:val="333333"/>
                <w:sz w:val="14"/>
                <w:szCs w:val="14"/>
                <w:vertAlign w:val="superscript"/>
              </w:rPr>
              <w:t>, </w:t>
            </w:r>
            <w:hyperlink r:id="rId23" w:anchor="129" w:history="1">
              <w:r w:rsidRPr="001578CE">
                <w:rPr>
                  <w:rFonts w:ascii="Verdana" w:eastAsia="Times New Roman" w:hAnsi="Verdana" w:cs="Times New Roman"/>
                  <w:color w:val="003399"/>
                  <w:sz w:val="14"/>
                  <w:szCs w:val="14"/>
                  <w:u w:val="single"/>
                  <w:vertAlign w:val="superscript"/>
                </w:rPr>
                <w:t>129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600 mg QD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QD with ritonavir 200 mg QD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Cmin: decreased 36%; Ritonavir AUC: decreased 31%; Cmin: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Induction of CYP450 3A4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Increase ritonavir dose to 300 mg when administered with fosamprenavir and efavirenz once daily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Efavirenz</w:t>
            </w:r>
            <w:hyperlink r:id="rId24" w:anchor="131" w:history="1">
              <w:r w:rsidRPr="001578CE">
                <w:rPr>
                  <w:rFonts w:ascii="Verdana" w:eastAsia="Times New Roman" w:hAnsi="Verdana" w:cs="Times New Roman"/>
                  <w:color w:val="003399"/>
                  <w:sz w:val="14"/>
                  <w:szCs w:val="14"/>
                  <w:u w:val="single"/>
                  <w:vertAlign w:val="superscript"/>
                </w:rPr>
                <w:t>131</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(EFV)(Sustiva)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600 mg QD x 2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QD with 300 mg ritonavir x 2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CYP450 3A4 by ritonavir compensating for CYP450 3A4 induction by efavirenz</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Management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Elbasvir/grazoprevir</w:t>
            </w:r>
            <w:hyperlink r:id="rId25" w:anchor="727" w:history="1">
              <w:r w:rsidRPr="001578CE">
                <w:rPr>
                  <w:rFonts w:ascii="Verdana" w:eastAsia="Times New Roman" w:hAnsi="Verdana" w:cs="Times New Roman"/>
                  <w:color w:val="003399"/>
                  <w:sz w:val="14"/>
                  <w:szCs w:val="14"/>
                  <w:u w:val="single"/>
                  <w:vertAlign w:val="superscript"/>
                </w:rPr>
                <w:t>727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(Zepatier)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Potentially increased grazoprevir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OATP1B1/3 inhibition by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Risks likely to outweigh benefits. Consider using alternative agents</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Elvitegravir/cobicistat</w:t>
            </w:r>
            <w:hyperlink r:id="rId26" w:anchor="653" w:history="1">
              <w:r w:rsidRPr="001578CE">
                <w:rPr>
                  <w:rFonts w:ascii="Verdana" w:eastAsia="Times New Roman" w:hAnsi="Verdana" w:cs="Times New Roman"/>
                  <w:color w:val="003399"/>
                  <w:sz w:val="14"/>
                  <w:szCs w:val="14"/>
                  <w:u w:val="single"/>
                  <w:vertAlign w:val="superscript"/>
                </w:rPr>
                <w:t>653</w:t>
              </w:r>
            </w:hyperlink>
            <w:r w:rsidRPr="001578CE">
              <w:rPr>
                <w:rFonts w:ascii="Verdana" w:eastAsia="Times New Roman" w:hAnsi="Verdana" w:cs="Times New Roman"/>
                <w:color w:val="333333"/>
                <w:sz w:val="14"/>
                <w:szCs w:val="14"/>
                <w:vertAlign w:val="superscript"/>
              </w:rPr>
              <w:t>, </w:t>
            </w:r>
            <w:hyperlink r:id="rId27" w:anchor="639" w:history="1">
              <w:r w:rsidRPr="001578CE">
                <w:rPr>
                  <w:rFonts w:ascii="Verdana" w:eastAsia="Times New Roman" w:hAnsi="Verdana" w:cs="Times New Roman"/>
                  <w:color w:val="003399"/>
                  <w:sz w:val="14"/>
                  <w:szCs w:val="14"/>
                  <w:u w:val="single"/>
                  <w:vertAlign w:val="superscript"/>
                </w:rPr>
                <w:t>639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(Stribild)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Elvitegravir 125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Potentially decreased or increased elvitegravir, cobicistat and/or fosamprenavir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Esomeprazole</w:t>
            </w:r>
            <w:hyperlink r:id="rId28" w:anchor="389" w:history="1">
              <w:r w:rsidRPr="001578CE">
                <w:rPr>
                  <w:rFonts w:ascii="Verdana" w:eastAsia="Times New Roman" w:hAnsi="Verdana" w:cs="Times New Roman"/>
                  <w:color w:val="003399"/>
                  <w:sz w:val="14"/>
                  <w:szCs w:val="14"/>
                  <w:u w:val="single"/>
                  <w:vertAlign w:val="superscript"/>
                </w:rPr>
                <w:t>389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(Nexium)</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20 mg QD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100 mg ritonavir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Esomeprazole</w:t>
            </w:r>
            <w:hyperlink r:id="rId29" w:anchor="389" w:history="1">
              <w:r w:rsidRPr="001578CE">
                <w:rPr>
                  <w:rFonts w:ascii="Verdana" w:eastAsia="Times New Roman" w:hAnsi="Verdana" w:cs="Times New Roman"/>
                  <w:color w:val="003399"/>
                  <w:sz w:val="14"/>
                  <w:szCs w:val="14"/>
                  <w:u w:val="single"/>
                  <w:vertAlign w:val="superscript"/>
                </w:rPr>
                <w:t>389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(Nexium)</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20 mg QD x 21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Esomeprazole AUC: increased 55%; Cmax: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Etravirine</w:t>
            </w:r>
            <w:hyperlink r:id="rId30" w:anchor="405" w:history="1">
              <w:r w:rsidRPr="001578CE">
                <w:rPr>
                  <w:rFonts w:ascii="Verdana" w:eastAsia="Times New Roman" w:hAnsi="Verdana" w:cs="Times New Roman"/>
                  <w:color w:val="003399"/>
                  <w:sz w:val="14"/>
                  <w:szCs w:val="14"/>
                  <w:u w:val="single"/>
                  <w:vertAlign w:val="superscript"/>
                </w:rPr>
                <w:t>405</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(ETR)(Intelence)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Fosamprenavir AUC: increased 69%; Cmax: increased 62%; Cmin: increased 77%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Increased fosamprenavir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CYP450 by etravirine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Lopinavir/ritonavir</w:t>
            </w:r>
            <w:hyperlink r:id="rId31" w:anchor="133" w:history="1">
              <w:r w:rsidRPr="001578CE">
                <w:rPr>
                  <w:rFonts w:ascii="Verdana" w:eastAsia="Times New Roman" w:hAnsi="Verdana" w:cs="Times New Roman"/>
                  <w:color w:val="003399"/>
                  <w:sz w:val="14"/>
                  <w:szCs w:val="14"/>
                  <w:u w:val="single"/>
                  <w:vertAlign w:val="superscript"/>
                </w:rPr>
                <w:t>133</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400/100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100 mg ritonavir BID x 2-4 weeks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Lopinavir AUC: decreased 48%; Cmin: decreased 61%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64%; Cmin: decreased 69%</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lopinavir and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Induction of CYP450 3A4 by lopinavir and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tc>
      </w:tr>
      <w:tr w:rsidR="001578CE" w:rsidRPr="001578CE" w:rsidTr="001578CE">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Management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Lopinavir/ritonavir</w:t>
            </w:r>
            <w:hyperlink r:id="rId32" w:anchor="139" w:history="1">
              <w:r w:rsidRPr="001578CE">
                <w:rPr>
                  <w:rFonts w:ascii="Verdana" w:eastAsia="Times New Roman" w:hAnsi="Verdana" w:cs="Times New Roman"/>
                  <w:color w:val="003399"/>
                  <w:sz w:val="14"/>
                  <w:szCs w:val="14"/>
                  <w:u w:val="single"/>
                  <w:vertAlign w:val="superscript"/>
                </w:rPr>
                <w:t>139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400/100 mg BID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x 10 days taken simultaneously, 4 hours or 12 hours away from lopinavir/ritonavir dose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Lopinavir AUC (12 hours apart and compared to simultaneous dosing): increased 187%; Cmax: increased 53%; Cmin: increased 69%;Amprenavir AUC: increased 53%; Cmax: increased 56%; Cmin: decreased 71%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amprenavir and increased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Induction of CYP450 3A4 by lopinavir and amprenavir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Avoid coadministration; Despite separating doses by 12 hours, significant induction still exists when amprenavir and lopinavir levels are compared to historical controls</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Lopinavir/ritonavir</w:t>
            </w:r>
            <w:hyperlink r:id="rId33" w:anchor="140" w:history="1">
              <w:r w:rsidRPr="001578CE">
                <w:rPr>
                  <w:rFonts w:ascii="Verdana" w:eastAsia="Times New Roman" w:hAnsi="Verdana" w:cs="Times New Roman"/>
                  <w:color w:val="003399"/>
                  <w:sz w:val="14"/>
                  <w:szCs w:val="14"/>
                  <w:u w:val="single"/>
                  <w:vertAlign w:val="superscript"/>
                </w:rPr>
                <w:t>140</w:t>
              </w:r>
            </w:hyperlink>
            <w:r w:rsidRPr="001578CE">
              <w:rPr>
                <w:rFonts w:ascii="Verdana" w:eastAsia="Times New Roman" w:hAnsi="Verdana" w:cs="Times New Roman"/>
                <w:color w:val="333333"/>
                <w:sz w:val="14"/>
                <w:szCs w:val="14"/>
                <w:vertAlign w:val="superscript"/>
              </w:rPr>
              <w:t>, </w:t>
            </w:r>
            <w:hyperlink r:id="rId34" w:anchor="130" w:history="1">
              <w:r w:rsidRPr="001578CE">
                <w:rPr>
                  <w:rFonts w:ascii="Verdana" w:eastAsia="Times New Roman" w:hAnsi="Verdana" w:cs="Times New Roman"/>
                  <w:color w:val="003399"/>
                  <w:sz w:val="14"/>
                  <w:szCs w:val="14"/>
                  <w:u w:val="single"/>
                  <w:vertAlign w:val="superscript"/>
                </w:rPr>
                <w:t>130</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400/100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100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Lopinavir AUC: increased 37%; Cmax: increased 30%; Cmin: increased 52%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63%; Cmax: decreased 58%; Cmin: decreased 65%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amprenavir effects; increased lopinavir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Induction of CYP450 3A4 by lopinavir/ritonavir and inhibition of CYP450 3A4 by amprenavir/ritonavir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Avoid coadministration</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Lopinavir/ritonavir</w:t>
            </w:r>
            <w:hyperlink r:id="rId35" w:anchor="140" w:history="1">
              <w:r w:rsidRPr="001578CE">
                <w:rPr>
                  <w:rFonts w:ascii="Verdana" w:eastAsia="Times New Roman" w:hAnsi="Verdana" w:cs="Times New Roman"/>
                  <w:color w:val="003399"/>
                  <w:sz w:val="14"/>
                  <w:szCs w:val="14"/>
                  <w:u w:val="single"/>
                  <w:vertAlign w:val="superscript"/>
                </w:rPr>
                <w:t>140</w:t>
              </w:r>
            </w:hyperlink>
            <w:r w:rsidRPr="001578CE">
              <w:rPr>
                <w:rFonts w:ascii="Verdana" w:eastAsia="Times New Roman" w:hAnsi="Verdana" w:cs="Times New Roman"/>
                <w:color w:val="333333"/>
                <w:sz w:val="14"/>
                <w:szCs w:val="14"/>
                <w:vertAlign w:val="superscript"/>
              </w:rPr>
              <w:t>, </w:t>
            </w:r>
            <w:hyperlink r:id="rId36" w:anchor="130" w:history="1">
              <w:r w:rsidRPr="001578CE">
                <w:rPr>
                  <w:rFonts w:ascii="Verdana" w:eastAsia="Times New Roman" w:hAnsi="Verdana" w:cs="Times New Roman"/>
                  <w:color w:val="003399"/>
                  <w:sz w:val="14"/>
                  <w:szCs w:val="14"/>
                  <w:u w:val="single"/>
                  <w:vertAlign w:val="superscript"/>
                </w:rPr>
                <w:t>130</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(LPV/r)(Kaletra)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533/133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26%; Cmax: no significant change; Cmin: decreased 42%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Induction of CYP450 3A4 by lopinavir/ritonavir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Avoid coadministration</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Maraviroc</w:t>
            </w:r>
            <w:hyperlink r:id="rId37" w:anchor="657" w:history="1">
              <w:r w:rsidRPr="001578CE">
                <w:rPr>
                  <w:rFonts w:ascii="Verdana" w:eastAsia="Times New Roman" w:hAnsi="Verdana" w:cs="Times New Roman"/>
                  <w:color w:val="003399"/>
                  <w:sz w:val="14"/>
                  <w:szCs w:val="14"/>
                  <w:u w:val="single"/>
                  <w:vertAlign w:val="superscript"/>
                </w:rPr>
                <w:t>657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300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Maraviroc AUC: increased 2.49 fold; Cmax: increased 1.52 fold; Cmin: increased 4.75 fold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35%; Cmax: decreased 34%; Cmin: decreased 36% Ritonavir AUC: decreased 34%; Cmax: decreased 39%; Cmin: decreased 14%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Dose adjustment not established.</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Maraviroc</w:t>
            </w:r>
            <w:hyperlink r:id="rId38" w:anchor="657" w:history="1">
              <w:r w:rsidRPr="001578CE">
                <w:rPr>
                  <w:rFonts w:ascii="Verdana" w:eastAsia="Times New Roman" w:hAnsi="Verdana" w:cs="Times New Roman"/>
                  <w:color w:val="003399"/>
                  <w:sz w:val="14"/>
                  <w:szCs w:val="14"/>
                  <w:u w:val="single"/>
                  <w:vertAlign w:val="superscript"/>
                </w:rPr>
                <w:t>657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(MVC)(Selzentry)</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QD with ritonavir 100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Maraviroc AUC: increased 2.26 fold; Cmax: increased 1.45 fold; Cmin: increased 1.80 fold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30%; Cmax: decreased 29%; Cmin: decreased 15%; Ritonavir AUC: decreased 30%; Cmax: decreased 39%; Cmin: increased 2.66 fold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Dose adjustment not established</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Methadone</w:t>
            </w:r>
            <w:hyperlink r:id="rId39" w:anchor="403" w:history="1">
              <w:r w:rsidRPr="001578CE">
                <w:rPr>
                  <w:rFonts w:ascii="Verdana" w:eastAsia="Times New Roman" w:hAnsi="Verdana" w:cs="Times New Roman"/>
                  <w:color w:val="003399"/>
                  <w:sz w:val="14"/>
                  <w:szCs w:val="14"/>
                  <w:u w:val="single"/>
                  <w:vertAlign w:val="superscript"/>
                </w:rPr>
                <w:t>403</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(Dolophine)(Dolophine)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70-120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100 mg ritonavir BID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R-methadone AUC: decreased 18%; Cmax: decreased 21% S-methadone AUC: decreased 43%; Cmax: decreased 43%; Cmin: </w:t>
            </w:r>
            <w:r w:rsidRPr="001578CE">
              <w:rPr>
                <w:rFonts w:ascii="Verdana" w:eastAsia="Times New Roman" w:hAnsi="Verdana" w:cs="Times New Roman"/>
                <w:color w:val="333333"/>
                <w:sz w:val="18"/>
                <w:szCs w:val="18"/>
              </w:rPr>
              <w:lastRenderedPageBreak/>
              <w:t>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Possible displacement of methadone of plasma binding proteins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Management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Nevirapine</w:t>
            </w:r>
            <w:hyperlink r:id="rId40" w:anchor="146" w:history="1">
              <w:r w:rsidRPr="001578CE">
                <w:rPr>
                  <w:rFonts w:ascii="Verdana" w:eastAsia="Times New Roman" w:hAnsi="Verdana" w:cs="Times New Roman"/>
                  <w:color w:val="003399"/>
                  <w:sz w:val="14"/>
                  <w:szCs w:val="14"/>
                  <w:u w:val="single"/>
                  <w:vertAlign w:val="superscript"/>
                </w:rPr>
                <w:t>146</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fosamprenavir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Nevirapine Cmin: increased 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Induction of CYP450 3A4 by nevirapine; 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Nevirapine</w:t>
            </w:r>
            <w:hyperlink r:id="rId41" w:anchor="146" w:history="1">
              <w:r w:rsidRPr="001578CE">
                <w:rPr>
                  <w:rFonts w:ascii="Verdana" w:eastAsia="Times New Roman" w:hAnsi="Verdana" w:cs="Times New Roman"/>
                  <w:color w:val="003399"/>
                  <w:sz w:val="14"/>
                  <w:szCs w:val="14"/>
                  <w:u w:val="single"/>
                  <w:vertAlign w:val="superscript"/>
                </w:rPr>
                <w:t>146</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(NVP)(Viramune)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200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Nevirapine AUC: increased 29%; Cmax: increased 25%; Cmin: increased 34%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Fosamprenavir AUC: decreased 33%; Cmax: decreased 25%; Cmin: decreased 35%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fosamprenavir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Induction of CYP450 3A4 by nevirapine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i/>
                <w:iCs/>
                <w:color w:val="333333"/>
                <w:sz w:val="18"/>
                <w:szCs w:val="18"/>
              </w:rPr>
              <w:t>Alternative Agents</w:t>
            </w:r>
            <w:r w:rsidRPr="001578CE">
              <w:rPr>
                <w:rFonts w:ascii="Verdana" w:eastAsia="Times New Roman" w:hAnsi="Verdana" w:cs="Times New Roman"/>
                <w:color w:val="333333"/>
                <w:sz w:val="18"/>
                <w:szCs w:val="18"/>
              </w:rPr>
              <w:t>: </w:t>
            </w:r>
            <w:r w:rsidRPr="001578CE">
              <w:rPr>
                <w:rFonts w:ascii="Verdana" w:eastAsia="Times New Roman" w:hAnsi="Verdana" w:cs="Times New Roman"/>
                <w:color w:val="333333"/>
                <w:sz w:val="18"/>
                <w:szCs w:val="18"/>
              </w:rPr>
              <w:br/>
            </w:r>
            <w:r w:rsidRPr="001578CE">
              <w:rPr>
                <w:rFonts w:ascii="Verdana" w:eastAsia="Times New Roman" w:hAnsi="Verdana" w:cs="Times New Roman"/>
                <w:b/>
                <w:bCs/>
                <w:color w:val="333333"/>
                <w:sz w:val="18"/>
                <w:szCs w:val="18"/>
              </w:rPr>
              <w:t>Consider ritonavir-boosted fosamprenavir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Paroxetine</w:t>
            </w:r>
            <w:hyperlink r:id="rId42" w:anchor="394" w:history="1">
              <w:r w:rsidRPr="001578CE">
                <w:rPr>
                  <w:rFonts w:ascii="Verdana" w:eastAsia="Times New Roman" w:hAnsi="Verdana" w:cs="Times New Roman"/>
                  <w:color w:val="003399"/>
                  <w:sz w:val="14"/>
                  <w:szCs w:val="14"/>
                  <w:u w:val="single"/>
                  <w:vertAlign w:val="superscript"/>
                </w:rPr>
                <w:t>394</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(Paxil)(Paxil)</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20 mg QD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Paroxetine AUC: decreased 55%; Cmax: decreased 60%</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no significant change; Ritonavir: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paroxetine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Titrate paroxetine to effect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Phenobarbital</w:t>
            </w:r>
            <w:hyperlink r:id="rId43" w:anchor="727" w:history="1">
              <w:r w:rsidRPr="001578CE">
                <w:rPr>
                  <w:rFonts w:ascii="Verdana" w:eastAsia="Times New Roman" w:hAnsi="Verdana" w:cs="Times New Roman"/>
                  <w:color w:val="003399"/>
                  <w:sz w:val="14"/>
                  <w:szCs w:val="14"/>
                  <w:u w:val="single"/>
                  <w:vertAlign w:val="superscript"/>
                </w:rPr>
                <w:t>727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(others)(Luminal)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 may decrease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Potential loss of antiviral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Avoid combination if possible; Do not use with unboosted fosamprenavir or once daily boosted fosamprenavir. Consider alternative agents. If </w:t>
            </w:r>
            <w:r w:rsidRPr="001578CE">
              <w:rPr>
                <w:rFonts w:ascii="Verdana" w:eastAsia="Times New Roman" w:hAnsi="Verdana" w:cs="Times New Roman"/>
                <w:color w:val="333333"/>
                <w:sz w:val="18"/>
                <w:szCs w:val="18"/>
              </w:rPr>
              <w:lastRenderedPageBreak/>
              <w:t>using, monitor and adjust phenobarbital levels as indicated.</w:t>
            </w:r>
          </w:p>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i/>
                <w:iCs/>
                <w:color w:val="333333"/>
                <w:sz w:val="18"/>
                <w:szCs w:val="18"/>
              </w:rPr>
              <w:t>Alternative Agents</w:t>
            </w:r>
            <w:r w:rsidRPr="001578CE">
              <w:rPr>
                <w:rFonts w:ascii="Verdana" w:eastAsia="Times New Roman" w:hAnsi="Verdana" w:cs="Times New Roman"/>
                <w:color w:val="333333"/>
                <w:sz w:val="18"/>
                <w:szCs w:val="18"/>
              </w:rPr>
              <w:t>: </w:t>
            </w:r>
            <w:r w:rsidRPr="001578CE">
              <w:rPr>
                <w:rFonts w:ascii="Verdana" w:eastAsia="Times New Roman" w:hAnsi="Verdana" w:cs="Times New Roman"/>
                <w:color w:val="333333"/>
                <w:sz w:val="18"/>
                <w:szCs w:val="18"/>
              </w:rPr>
              <w:br/>
            </w:r>
            <w:r w:rsidRPr="001578CE">
              <w:rPr>
                <w:rFonts w:ascii="Verdana" w:eastAsia="Times New Roman" w:hAnsi="Verdana" w:cs="Times New Roman"/>
                <w:b/>
                <w:bCs/>
                <w:color w:val="333333"/>
                <w:sz w:val="18"/>
                <w:szCs w:val="18"/>
              </w:rPr>
              <w:t>Gabapentin Lamotrigine Tiagabine Topiramate</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Phenytoin</w:t>
            </w:r>
            <w:hyperlink r:id="rId44" w:anchor="727" w:history="1">
              <w:r w:rsidRPr="001578CE">
                <w:rPr>
                  <w:rFonts w:ascii="Verdana" w:eastAsia="Times New Roman" w:hAnsi="Verdana" w:cs="Times New Roman"/>
                  <w:color w:val="003399"/>
                  <w:sz w:val="14"/>
                  <w:szCs w:val="14"/>
                  <w:u w:val="single"/>
                  <w:vertAlign w:val="superscript"/>
                </w:rPr>
                <w:t>727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(Dilantin)</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 may decrease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Potentially decreased antiviral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Avoid combination if possible; do not coadminister with unboosted fosamprenavir or once daily boosted fosamprenavir. Consider alternative agents. If using, monitor phenytoin levels and adjust as indicated and monitor for virologic response.</w:t>
            </w:r>
          </w:p>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i/>
                <w:iCs/>
                <w:color w:val="333333"/>
                <w:sz w:val="18"/>
                <w:szCs w:val="18"/>
              </w:rPr>
              <w:t>Alternative Agents</w:t>
            </w:r>
            <w:r w:rsidRPr="001578CE">
              <w:rPr>
                <w:rFonts w:ascii="Verdana" w:eastAsia="Times New Roman" w:hAnsi="Verdana" w:cs="Times New Roman"/>
                <w:color w:val="333333"/>
                <w:sz w:val="18"/>
                <w:szCs w:val="18"/>
              </w:rPr>
              <w:t>: </w:t>
            </w:r>
            <w:r w:rsidRPr="001578CE">
              <w:rPr>
                <w:rFonts w:ascii="Verdana" w:eastAsia="Times New Roman" w:hAnsi="Verdana" w:cs="Times New Roman"/>
                <w:color w:val="333333"/>
                <w:sz w:val="18"/>
                <w:szCs w:val="18"/>
              </w:rPr>
              <w:br/>
            </w:r>
            <w:r w:rsidRPr="001578CE">
              <w:rPr>
                <w:rFonts w:ascii="Verdana" w:eastAsia="Times New Roman" w:hAnsi="Verdana" w:cs="Times New Roman"/>
                <w:b/>
                <w:bCs/>
                <w:color w:val="333333"/>
                <w:sz w:val="18"/>
                <w:szCs w:val="18"/>
              </w:rPr>
              <w:t xml:space="preserve">Gabapentin Lamotrigine </w:t>
            </w:r>
            <w:r w:rsidRPr="001578CE">
              <w:rPr>
                <w:rFonts w:ascii="Verdana" w:eastAsia="Times New Roman" w:hAnsi="Verdana" w:cs="Times New Roman"/>
                <w:b/>
                <w:bCs/>
                <w:color w:val="333333"/>
                <w:sz w:val="18"/>
                <w:szCs w:val="18"/>
              </w:rPr>
              <w:lastRenderedPageBreak/>
              <w:t>Tiagabine Topiramate</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Posaconazole</w:t>
            </w:r>
            <w:hyperlink r:id="rId45" w:anchor="447" w:history="1">
              <w:r w:rsidRPr="001578CE">
                <w:rPr>
                  <w:rFonts w:ascii="Verdana" w:eastAsia="Times New Roman" w:hAnsi="Verdana" w:cs="Times New Roman"/>
                  <w:color w:val="003399"/>
                  <w:sz w:val="14"/>
                  <w:szCs w:val="14"/>
                  <w:u w:val="single"/>
                  <w:vertAlign w:val="superscript"/>
                </w:rPr>
                <w:t>447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(Noxafil)</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Posaconazole AUC: decreased 23%; Cmax: decreased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65%; Cmax: decreased 36% (when compared to 700 mg/100 mg fosamprenavir/ritonavir)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posaconazole and fosamprenavir efficacy</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tc>
      </w:tr>
      <w:tr w:rsidR="001578CE" w:rsidRPr="001578CE" w:rsidTr="001578CE">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Management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Raltegravir</w:t>
            </w:r>
            <w:hyperlink r:id="rId46" w:anchor="440" w:history="1">
              <w:r w:rsidRPr="001578CE">
                <w:rPr>
                  <w:rFonts w:ascii="Verdana" w:eastAsia="Times New Roman" w:hAnsi="Verdana" w:cs="Times New Roman"/>
                  <w:color w:val="003399"/>
                  <w:sz w:val="14"/>
                  <w:szCs w:val="14"/>
                  <w:u w:val="single"/>
                  <w:vertAlign w:val="superscript"/>
                </w:rPr>
                <w:t>440</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QD with 100 mg ritonavir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Raltegravir AUC: decreased 30%; Cmax: decreased 14%; Cmin: decreased 41%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Cmax: increased 27%; Cmin: decreased 17%</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Possible induction of p-gp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Raltegravir</w:t>
            </w:r>
            <w:hyperlink r:id="rId47" w:anchor="440" w:history="1">
              <w:r w:rsidRPr="001578CE">
                <w:rPr>
                  <w:rFonts w:ascii="Verdana" w:eastAsia="Times New Roman" w:hAnsi="Verdana" w:cs="Times New Roman"/>
                  <w:color w:val="003399"/>
                  <w:sz w:val="14"/>
                  <w:szCs w:val="14"/>
                  <w:u w:val="single"/>
                  <w:vertAlign w:val="superscript"/>
                </w:rPr>
                <w:t>440</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fosamprenavir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Raltegravir AUC: decreased 54%; Cmax: decreased 36%; Cmin: decreased 54%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25%; Cmin: decreased 33%; Cmax: decreased 25%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Possible induction of p-gp</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Raltegravir</w:t>
            </w:r>
            <w:hyperlink r:id="rId48" w:anchor="440" w:history="1">
              <w:r w:rsidRPr="001578CE">
                <w:rPr>
                  <w:rFonts w:ascii="Verdana" w:eastAsia="Times New Roman" w:hAnsi="Verdana" w:cs="Times New Roman"/>
                  <w:color w:val="003399"/>
                  <w:sz w:val="14"/>
                  <w:szCs w:val="14"/>
                  <w:u w:val="single"/>
                  <w:vertAlign w:val="superscript"/>
                </w:rPr>
                <w:t>440</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(RAL)(Isentress)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BID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Raltegravir AUC: decreased 29%; Cmin: decreased 68%</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19%; Cmax: decreased 17%; Cmin: decreased 33%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Possible induction of p-gp</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Ranitidine</w:t>
            </w:r>
            <w:hyperlink r:id="rId49" w:anchor="241" w:history="1">
              <w:r w:rsidRPr="001578CE">
                <w:rPr>
                  <w:rFonts w:ascii="Verdana" w:eastAsia="Times New Roman" w:hAnsi="Verdana" w:cs="Times New Roman"/>
                  <w:color w:val="003399"/>
                  <w:sz w:val="14"/>
                  <w:szCs w:val="14"/>
                  <w:u w:val="single"/>
                  <w:vertAlign w:val="superscript"/>
                </w:rPr>
                <w:t>241</w:t>
              </w:r>
            </w:hyperlink>
            <w:r w:rsidRPr="001578CE">
              <w:rPr>
                <w:rFonts w:ascii="Verdana" w:eastAsia="Times New Roman" w:hAnsi="Verdana" w:cs="Times New Roman"/>
                <w:color w:val="333333"/>
                <w:sz w:val="14"/>
                <w:szCs w:val="14"/>
                <w:vertAlign w:val="superscript"/>
              </w:rPr>
              <w:t>, </w:t>
            </w:r>
            <w:hyperlink r:id="rId50" w:anchor="130" w:history="1">
              <w:r w:rsidRPr="001578CE">
                <w:rPr>
                  <w:rFonts w:ascii="Verdana" w:eastAsia="Times New Roman" w:hAnsi="Verdana" w:cs="Times New Roman"/>
                  <w:color w:val="003399"/>
                  <w:sz w:val="14"/>
                  <w:szCs w:val="14"/>
                  <w:u w:val="single"/>
                  <w:vertAlign w:val="superscript"/>
                </w:rPr>
                <w:t>130</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(Zantac)(Zantac)</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300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x 1 dose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30%; Cmax: decreased 51%;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Dose adjustment not established</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Ranolazine</w:t>
            </w:r>
            <w:hyperlink r:id="rId51" w:anchor="709" w:history="1">
              <w:r w:rsidRPr="001578CE">
                <w:rPr>
                  <w:rFonts w:ascii="Verdana" w:eastAsia="Times New Roman" w:hAnsi="Verdana" w:cs="Times New Roman"/>
                  <w:color w:val="003399"/>
                  <w:sz w:val="14"/>
                  <w:szCs w:val="14"/>
                  <w:u w:val="single"/>
                  <w:vertAlign w:val="superscript"/>
                </w:rPr>
                <w:t>709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(Ranexa)</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 may increase ranolazine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 may increase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Potential increased ranolazine adverse effects (e.g. prolonged QT, cardiac arrythmias).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Rifabutin</w:t>
            </w:r>
            <w:hyperlink r:id="rId52" w:anchor="420" w:history="1">
              <w:r w:rsidRPr="001578CE">
                <w:rPr>
                  <w:rFonts w:ascii="Verdana" w:eastAsia="Times New Roman" w:hAnsi="Verdana" w:cs="Times New Roman"/>
                  <w:color w:val="003399"/>
                  <w:sz w:val="14"/>
                  <w:szCs w:val="14"/>
                  <w:u w:val="single"/>
                  <w:vertAlign w:val="superscript"/>
                </w:rPr>
                <w:t>420</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(Mycobutin)(Mycobutin)</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150 mg QOD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100 mg ritonavir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Rifabutin: no significant change; Desacetylrifabutin AUC: increased 1010%; Cmin: increased 1020%; Cmax: increased 479%; Rifabutin and metabolite AUC: increased 64% (compared to rifabutin 300 mg QD when </w:t>
            </w:r>
            <w:r w:rsidRPr="001578CE">
              <w:rPr>
                <w:rFonts w:ascii="Verdana" w:eastAsia="Times New Roman" w:hAnsi="Verdana" w:cs="Times New Roman"/>
                <w:color w:val="333333"/>
                <w:sz w:val="18"/>
                <w:szCs w:val="18"/>
              </w:rPr>
              <w:lastRenderedPageBreak/>
              <w:t>given alone)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Amprenavir AUC: increased 35%; Cmax: increased 36%;, Cmin: increased 17% (compared to historical controls)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CYP450 3A4 by fosamprenavir/ritonavir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Coadministered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Drug</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Dose of Fosamprenavir</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Drug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Effect on Fosamprenavir Levels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Potential Clinical Effects</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Mechanism of Interaction</w:t>
            </w:r>
          </w:p>
        </w:tc>
        <w:tc>
          <w:tcPr>
            <w:tcW w:w="0" w:type="auto"/>
            <w:tcBorders>
              <w:top w:val="single" w:sz="6" w:space="0" w:color="848280"/>
              <w:left w:val="single" w:sz="6" w:space="0" w:color="848280"/>
              <w:bottom w:val="single" w:sz="6" w:space="0" w:color="848280"/>
              <w:right w:val="single" w:sz="6" w:space="0" w:color="848280"/>
            </w:tcBorders>
            <w:shd w:val="clear" w:color="auto" w:fill="B2C3D3"/>
            <w:tcMar>
              <w:top w:w="75" w:type="dxa"/>
              <w:left w:w="75" w:type="dxa"/>
              <w:bottom w:w="75" w:type="dxa"/>
              <w:right w:w="75" w:type="dxa"/>
            </w:tcMar>
            <w:vAlign w:val="center"/>
            <w:hideMark/>
          </w:tcPr>
          <w:p w:rsidR="001578CE" w:rsidRPr="001578CE" w:rsidRDefault="001578CE" w:rsidP="001578CE">
            <w:pPr>
              <w:spacing w:after="0" w:line="240" w:lineRule="auto"/>
              <w:jc w:val="center"/>
              <w:rPr>
                <w:rFonts w:ascii="Verdana" w:eastAsia="Times New Roman" w:hAnsi="Verdana" w:cs="Times New Roman"/>
                <w:b/>
                <w:bCs/>
                <w:color w:val="333333"/>
                <w:sz w:val="18"/>
                <w:szCs w:val="18"/>
              </w:rPr>
            </w:pPr>
            <w:r w:rsidRPr="001578CE">
              <w:rPr>
                <w:rFonts w:ascii="Verdana" w:eastAsia="Times New Roman" w:hAnsi="Verdana" w:cs="Times New Roman"/>
                <w:b/>
                <w:bCs/>
                <w:color w:val="333333"/>
                <w:sz w:val="18"/>
                <w:szCs w:val="18"/>
              </w:rPr>
              <w:t>Management</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Ritonavir</w:t>
            </w:r>
            <w:hyperlink r:id="rId53" w:anchor="129" w:history="1">
              <w:r w:rsidRPr="001578CE">
                <w:rPr>
                  <w:rFonts w:ascii="Verdana" w:eastAsia="Times New Roman" w:hAnsi="Verdana" w:cs="Times New Roman"/>
                  <w:color w:val="003399"/>
                  <w:sz w:val="14"/>
                  <w:szCs w:val="14"/>
                  <w:u w:val="single"/>
                  <w:vertAlign w:val="superscript"/>
                </w:rPr>
                <w:t>129</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(RTV)(Norvir)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QD with efavirenz 600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no significant change; Cmax: increased 18%; Cmin: 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CYP450 3A4 by ritonavir</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Rosuvastatin</w:t>
            </w:r>
            <w:hyperlink r:id="rId54" w:anchor="411" w:history="1">
              <w:r w:rsidRPr="001578CE">
                <w:rPr>
                  <w:rFonts w:ascii="Verdana" w:eastAsia="Times New Roman" w:hAnsi="Verdana" w:cs="Times New Roman"/>
                  <w:color w:val="003399"/>
                  <w:sz w:val="14"/>
                  <w:szCs w:val="14"/>
                  <w:u w:val="single"/>
                  <w:vertAlign w:val="superscript"/>
                </w:rPr>
                <w:t>411</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(Crestor)</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with ritonavir 100 mg BID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Rosuvastatin Cmax: increased 45%</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Saquinavir</w:t>
            </w:r>
            <w:hyperlink r:id="rId55" w:anchor="138" w:history="1">
              <w:r w:rsidRPr="001578CE">
                <w:rPr>
                  <w:rFonts w:ascii="Verdana" w:eastAsia="Times New Roman" w:hAnsi="Verdana" w:cs="Times New Roman"/>
                  <w:color w:val="003399"/>
                  <w:sz w:val="14"/>
                  <w:szCs w:val="14"/>
                  <w:u w:val="single"/>
                  <w:vertAlign w:val="superscript"/>
                </w:rPr>
                <w:t>138</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1000 mg BID with ritonavir 100 mg BID on days 1-11</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BID on days 2-22</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Saquinavir AUC (with ritonavir 100 mg BID): AUC: no significant change; Cmax: no significant change; Cmin: decreased 24%</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Saquinavir</w:t>
            </w:r>
            <w:hyperlink r:id="rId56" w:anchor="138" w:history="1">
              <w:r w:rsidRPr="001578CE">
                <w:rPr>
                  <w:rFonts w:ascii="Verdana" w:eastAsia="Times New Roman" w:hAnsi="Verdana" w:cs="Times New Roman"/>
                  <w:color w:val="003399"/>
                  <w:sz w:val="14"/>
                  <w:szCs w:val="14"/>
                  <w:u w:val="single"/>
                  <w:vertAlign w:val="superscript"/>
                </w:rPr>
                <w:t>138</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(SQV)(Fortovase, Invirase)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1000 mg BID with ritonavir 200 mg BID </w:t>
            </w:r>
            <w:r w:rsidRPr="001578CE">
              <w:rPr>
                <w:rFonts w:ascii="Verdana" w:eastAsia="Times New Roman" w:hAnsi="Verdana" w:cs="Times New Roman"/>
                <w:color w:val="333333"/>
                <w:sz w:val="18"/>
                <w:szCs w:val="18"/>
              </w:rPr>
              <w:lastRenderedPageBreak/>
              <w:t>on days 12-22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700 mg BID on days 2-22</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 xml:space="preserve">Saquinavir AUC (with ritonavir 200 mg BID): no significant change; </w:t>
            </w:r>
            <w:r w:rsidRPr="001578CE">
              <w:rPr>
                <w:rFonts w:ascii="Verdana" w:eastAsia="Times New Roman" w:hAnsi="Verdana" w:cs="Times New Roman"/>
                <w:color w:val="333333"/>
                <w:sz w:val="18"/>
                <w:szCs w:val="18"/>
              </w:rPr>
              <w:lastRenderedPageBreak/>
              <w:t>Cmax: no significant change; Cmin: increased 20%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lastRenderedPageBreak/>
              <w:t>Not studied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Simeprevir</w:t>
            </w:r>
            <w:hyperlink r:id="rId57" w:anchor="727" w:history="1">
              <w:r w:rsidRPr="001578CE">
                <w:rPr>
                  <w:rFonts w:ascii="Verdana" w:eastAsia="Times New Roman" w:hAnsi="Verdana" w:cs="Times New Roman"/>
                  <w:color w:val="003399"/>
                  <w:sz w:val="14"/>
                  <w:szCs w:val="14"/>
                  <w:u w:val="single"/>
                  <w:vertAlign w:val="superscript"/>
                </w:rPr>
                <w:t>727</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(Olysio)</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Inhibition of CYP3A4 potentiating simeprevir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Telaprevir</w:t>
            </w:r>
            <w:hyperlink r:id="rId58" w:anchor="571" w:history="1">
              <w:r w:rsidRPr="001578CE">
                <w:rPr>
                  <w:rFonts w:ascii="Verdana" w:eastAsia="Times New Roman" w:hAnsi="Verdana" w:cs="Times New Roman"/>
                  <w:color w:val="003399"/>
                  <w:sz w:val="14"/>
                  <w:szCs w:val="14"/>
                  <w:u w:val="single"/>
                  <w:vertAlign w:val="superscript"/>
                </w:rPr>
                <w:t>571</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1125 mg Q12H x 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fosamprenavir with 100 mg ritonavir BID x 24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49%; Cmin: decreased 38%; Cmax: decreased 40%</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i/>
                <w:iCs/>
                <w:color w:val="333333"/>
                <w:sz w:val="18"/>
                <w:szCs w:val="18"/>
              </w:rPr>
              <w:t>Alternative Agents</w:t>
            </w:r>
            <w:r w:rsidRPr="001578CE">
              <w:rPr>
                <w:rFonts w:ascii="Verdana" w:eastAsia="Times New Roman" w:hAnsi="Verdana" w:cs="Times New Roman"/>
                <w:color w:val="333333"/>
                <w:sz w:val="18"/>
                <w:szCs w:val="18"/>
              </w:rPr>
              <w:t>: </w:t>
            </w:r>
            <w:r w:rsidRPr="001578CE">
              <w:rPr>
                <w:rFonts w:ascii="Verdana" w:eastAsia="Times New Roman" w:hAnsi="Verdana" w:cs="Times New Roman"/>
                <w:color w:val="333333"/>
                <w:sz w:val="18"/>
                <w:szCs w:val="18"/>
              </w:rPr>
              <w:br/>
            </w:r>
            <w:r w:rsidRPr="001578CE">
              <w:rPr>
                <w:rFonts w:ascii="Verdana" w:eastAsia="Times New Roman" w:hAnsi="Verdana" w:cs="Times New Roman"/>
                <w:b/>
                <w:bCs/>
                <w:color w:val="333333"/>
                <w:sz w:val="18"/>
                <w:szCs w:val="18"/>
              </w:rPr>
              <w:t>Atazanavir/ritonavir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Telaprevir</w:t>
            </w:r>
            <w:hyperlink r:id="rId59" w:anchor="571" w:history="1">
              <w:r w:rsidRPr="001578CE">
                <w:rPr>
                  <w:rFonts w:ascii="Verdana" w:eastAsia="Times New Roman" w:hAnsi="Verdana" w:cs="Times New Roman"/>
                  <w:color w:val="003399"/>
                  <w:sz w:val="14"/>
                  <w:szCs w:val="14"/>
                  <w:u w:val="single"/>
                  <w:vertAlign w:val="superscript"/>
                </w:rPr>
                <w:t>571</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(Incivek)</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750 mg Q8H x 10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700 mg fosamprenavir with 100 mg ritonavir BID x 20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Telaprevir AUC: decreased 32%; Cmin: decreased 30%; Cmax: decreased 33%</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decreased 47%; Cmin: decreased 56%; Cmax: decreased 35%</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Decreased telaprevir effects; decreased amprenavir effects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Do not coadminister</w:t>
            </w:r>
          </w:p>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i/>
                <w:iCs/>
                <w:color w:val="333333"/>
                <w:sz w:val="18"/>
                <w:szCs w:val="18"/>
              </w:rPr>
              <w:t>Alternative Agents</w:t>
            </w:r>
            <w:r w:rsidRPr="001578CE">
              <w:rPr>
                <w:rFonts w:ascii="Verdana" w:eastAsia="Times New Roman" w:hAnsi="Verdana" w:cs="Times New Roman"/>
                <w:color w:val="333333"/>
                <w:sz w:val="18"/>
                <w:szCs w:val="18"/>
              </w:rPr>
              <w:t>: </w:t>
            </w:r>
            <w:r w:rsidRPr="001578CE">
              <w:rPr>
                <w:rFonts w:ascii="Verdana" w:eastAsia="Times New Roman" w:hAnsi="Verdana" w:cs="Times New Roman"/>
                <w:color w:val="333333"/>
                <w:sz w:val="18"/>
                <w:szCs w:val="18"/>
              </w:rPr>
              <w:br/>
            </w:r>
            <w:r w:rsidRPr="001578CE">
              <w:rPr>
                <w:rFonts w:ascii="Verdana" w:eastAsia="Times New Roman" w:hAnsi="Verdana" w:cs="Times New Roman"/>
                <w:b/>
                <w:bCs/>
                <w:color w:val="333333"/>
                <w:sz w:val="18"/>
                <w:szCs w:val="18"/>
              </w:rPr>
              <w:t>Atazanavir/ritonavir</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Tenofovir disoproxil fumarate</w:t>
            </w:r>
            <w:hyperlink r:id="rId60" w:anchor="153" w:history="1">
              <w:r w:rsidRPr="001578CE">
                <w:rPr>
                  <w:rFonts w:ascii="Verdana" w:eastAsia="Times New Roman" w:hAnsi="Verdana" w:cs="Times New Roman"/>
                  <w:color w:val="003399"/>
                  <w:sz w:val="14"/>
                  <w:szCs w:val="14"/>
                  <w:u w:val="single"/>
                  <w:vertAlign w:val="superscript"/>
                </w:rPr>
                <w:t>153</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with 100 mg ritonavir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Amprenavir AUC: no significant change; Cmax: no significant change; Cmin: increased 24%</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FFFFFF"/>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500" w:type="pct"/>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Tenofovir disoproxil fumarate</w:t>
            </w:r>
            <w:hyperlink r:id="rId61" w:anchor="153" w:history="1">
              <w:r w:rsidRPr="001578CE">
                <w:rPr>
                  <w:rFonts w:ascii="Verdana" w:eastAsia="Times New Roman" w:hAnsi="Verdana" w:cs="Times New Roman"/>
                  <w:color w:val="003399"/>
                  <w:sz w:val="14"/>
                  <w:szCs w:val="14"/>
                  <w:u w:val="single"/>
                  <w:vertAlign w:val="superscript"/>
                </w:rPr>
                <w:t>153</w:t>
              </w:r>
            </w:hyperlink>
          </w:p>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(TDF)(Viread)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300 mg QD</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1400 mg with 200 mg ritonavir QD x 14 days</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significant change</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after="0"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w:t>
            </w:r>
          </w:p>
        </w:tc>
        <w:tc>
          <w:tcPr>
            <w:tcW w:w="0" w:type="auto"/>
            <w:tcBorders>
              <w:top w:val="single" w:sz="6" w:space="0" w:color="848280"/>
              <w:left w:val="single" w:sz="6" w:space="0" w:color="848280"/>
              <w:bottom w:val="single" w:sz="6" w:space="0" w:color="848280"/>
              <w:right w:val="single" w:sz="6" w:space="0" w:color="848280"/>
            </w:tcBorders>
            <w:shd w:val="clear" w:color="auto" w:fill="EEEEEE"/>
            <w:tcMar>
              <w:top w:w="75" w:type="dxa"/>
              <w:left w:w="75" w:type="dxa"/>
              <w:bottom w:w="75" w:type="dxa"/>
              <w:right w:w="75" w:type="dxa"/>
            </w:tcMar>
            <w:hideMark/>
          </w:tcPr>
          <w:p w:rsidR="001578CE" w:rsidRPr="001578CE" w:rsidRDefault="001578CE" w:rsidP="001578CE">
            <w:pPr>
              <w:spacing w:before="100" w:beforeAutospacing="1" w:after="100" w:afterAutospacing="1" w:line="240" w:lineRule="auto"/>
              <w:rPr>
                <w:rFonts w:ascii="Verdana" w:eastAsia="Times New Roman" w:hAnsi="Verdana" w:cs="Times New Roman"/>
                <w:color w:val="333333"/>
                <w:sz w:val="18"/>
                <w:szCs w:val="18"/>
              </w:rPr>
            </w:pPr>
            <w:r w:rsidRPr="001578CE">
              <w:rPr>
                <w:rFonts w:ascii="Verdana" w:eastAsia="Times New Roman" w:hAnsi="Verdana" w:cs="Times New Roman"/>
                <w:color w:val="333333"/>
                <w:sz w:val="18"/>
                <w:szCs w:val="18"/>
              </w:rPr>
              <w:t>No dose adjustment necessary</w:t>
            </w:r>
          </w:p>
        </w:tc>
      </w:tr>
      <w:tr w:rsidR="001578CE" w:rsidRPr="001578CE" w:rsidTr="001578CE">
        <w:tc>
          <w:tcPr>
            <w:tcW w:w="0" w:type="auto"/>
            <w:gridSpan w:val="8"/>
            <w:tcBorders>
              <w:top w:val="single" w:sz="6" w:space="0" w:color="848280"/>
              <w:left w:val="single" w:sz="6" w:space="0" w:color="848280"/>
              <w:bottom w:val="single" w:sz="6" w:space="0" w:color="848280"/>
              <w:right w:val="single" w:sz="6" w:space="0" w:color="848280"/>
            </w:tcBorders>
            <w:shd w:val="clear" w:color="auto" w:fill="BBBBBB"/>
            <w:tcMar>
              <w:top w:w="75" w:type="dxa"/>
              <w:left w:w="75" w:type="dxa"/>
              <w:bottom w:w="75" w:type="dxa"/>
              <w:right w:w="75" w:type="dxa"/>
            </w:tcMa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lastRenderedPageBreak/>
              <w:t>"-" indicates that there are no data available</w:t>
            </w:r>
          </w:p>
        </w:tc>
      </w:tr>
    </w:tbl>
    <w:p w:rsidR="001578CE" w:rsidRPr="001578CE" w:rsidRDefault="001578CE" w:rsidP="001578CE">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46"/>
        <w:gridCol w:w="8914"/>
      </w:tblGrid>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 w:name="128"/>
            <w:r w:rsidRPr="001578CE">
              <w:rPr>
                <w:rFonts w:ascii="Arial" w:eastAsia="Times New Roman" w:hAnsi="Arial" w:cs="Arial"/>
                <w:color w:val="003399"/>
                <w:sz w:val="18"/>
                <w:szCs w:val="18"/>
              </w:rPr>
              <w:t> </w:t>
            </w:r>
            <w:bookmarkEnd w:id="1"/>
            <w:r w:rsidRPr="001578CE">
              <w:rPr>
                <w:rFonts w:ascii="Arial" w:eastAsia="Times New Roman" w:hAnsi="Arial" w:cs="Arial"/>
                <w:color w:val="003399"/>
                <w:sz w:val="18"/>
                <w:szCs w:val="18"/>
              </w:rPr>
              <w:t>128:</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Wire MB, Ballow C, Preston SL, et al. An assessment of plasma amprenavir (APV) pharmacokinetics (PK) following administration of two GW433908 (908) and ritonavir (RTV) regimens in combination with efavirenz (EFV) in healthy adult subjects (APV10010) [abstract #431]. 9th Conference on Retroviruses and Opportunistic Infections; 2002 Feb 24-28; Seattle, Washington.</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 w:name="129"/>
            <w:r w:rsidRPr="001578CE">
              <w:rPr>
                <w:rFonts w:ascii="Arial" w:eastAsia="Times New Roman" w:hAnsi="Arial" w:cs="Arial"/>
                <w:color w:val="003399"/>
                <w:sz w:val="18"/>
                <w:szCs w:val="18"/>
              </w:rPr>
              <w:t> </w:t>
            </w:r>
            <w:bookmarkEnd w:id="2"/>
            <w:r w:rsidRPr="001578CE">
              <w:rPr>
                <w:rFonts w:ascii="Arial" w:eastAsia="Times New Roman" w:hAnsi="Arial" w:cs="Arial"/>
                <w:color w:val="003399"/>
                <w:sz w:val="18"/>
                <w:szCs w:val="18"/>
              </w:rPr>
              <w:t>129:</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Wire MB, Preston SL, Ballow C, et al. An assessment of plasma amprenavir pharmacokinetics following administration of two GW433908 and ritonavir QD regimens in combination with efavirenz in healthy adult subjects (APV10009) [abstract #1737]. 41st Interscience Conference on Antimicrobial Agents and Chemotherapy; 2001 September 22-25; Chicago, Illinois.</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3" w:name="130"/>
            <w:r w:rsidRPr="001578CE">
              <w:rPr>
                <w:rFonts w:ascii="Arial" w:eastAsia="Times New Roman" w:hAnsi="Arial" w:cs="Arial"/>
                <w:color w:val="003399"/>
                <w:sz w:val="18"/>
                <w:szCs w:val="18"/>
              </w:rPr>
              <w:t> </w:t>
            </w:r>
            <w:bookmarkEnd w:id="3"/>
            <w:r w:rsidRPr="001578CE">
              <w:rPr>
                <w:rFonts w:ascii="Arial" w:eastAsia="Times New Roman" w:hAnsi="Arial" w:cs="Arial"/>
                <w:color w:val="003399"/>
                <w:sz w:val="18"/>
                <w:szCs w:val="18"/>
              </w:rPr>
              <w:t>130:</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Lexiva [package insert]. Research Triangle Park, NC: Glaxo Wellcome Inc; Nov 2005.</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4" w:name="131"/>
            <w:r w:rsidRPr="001578CE">
              <w:rPr>
                <w:rFonts w:ascii="Arial" w:eastAsia="Times New Roman" w:hAnsi="Arial" w:cs="Arial"/>
                <w:color w:val="003399"/>
                <w:sz w:val="18"/>
                <w:szCs w:val="18"/>
              </w:rPr>
              <w:t> </w:t>
            </w:r>
            <w:bookmarkEnd w:id="4"/>
            <w:r w:rsidRPr="001578CE">
              <w:rPr>
                <w:rFonts w:ascii="Arial" w:eastAsia="Times New Roman" w:hAnsi="Arial" w:cs="Arial"/>
                <w:color w:val="003399"/>
                <w:sz w:val="18"/>
                <w:szCs w:val="18"/>
              </w:rPr>
              <w:t>131:</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Wire MB, Ballow C, Preston SL, et al. Pharmacokinetics and safety of GW433908 and ritonavir, with and without efavirenz, in healthy volunteers. AIDS 2004; 18:897-907.</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5" w:name="133"/>
            <w:r w:rsidRPr="001578CE">
              <w:rPr>
                <w:rFonts w:ascii="Arial" w:eastAsia="Times New Roman" w:hAnsi="Arial" w:cs="Arial"/>
                <w:color w:val="003399"/>
                <w:sz w:val="18"/>
                <w:szCs w:val="18"/>
              </w:rPr>
              <w:t> </w:t>
            </w:r>
            <w:bookmarkEnd w:id="5"/>
            <w:r w:rsidRPr="001578CE">
              <w:rPr>
                <w:rFonts w:ascii="Arial" w:eastAsia="Times New Roman" w:hAnsi="Arial" w:cs="Arial"/>
                <w:color w:val="003399"/>
                <w:sz w:val="18"/>
                <w:szCs w:val="18"/>
              </w:rPr>
              <w:t>133:</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Kashuba ADM, Tierney C, Downey GF, et al. Combining fosamprenavir with lopinavir/ritonavir substantially reduces amprenavir and lopinavir exposure: ACTG protocol A5143 results. AIDS 2005; 19: 145-52.</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6" w:name="138"/>
            <w:r w:rsidRPr="001578CE">
              <w:rPr>
                <w:rFonts w:ascii="Arial" w:eastAsia="Times New Roman" w:hAnsi="Arial" w:cs="Arial"/>
                <w:color w:val="003399"/>
                <w:sz w:val="18"/>
                <w:szCs w:val="18"/>
              </w:rPr>
              <w:t> </w:t>
            </w:r>
            <w:bookmarkEnd w:id="6"/>
            <w:r w:rsidRPr="001578CE">
              <w:rPr>
                <w:rFonts w:ascii="Arial" w:eastAsia="Times New Roman" w:hAnsi="Arial" w:cs="Arial"/>
                <w:color w:val="003399"/>
                <w:sz w:val="18"/>
                <w:szCs w:val="18"/>
              </w:rPr>
              <w:t>138:</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Boffito M, Dickinson L, Hill A, et al. Steady state pharmacokinetics of saquinavir hard gel/fosamprenavir 1000/700 plus 100 mg and 200 mg of ritonavir twice daily in HIV + patients [abstract #608]. 11th Conference on Retroviruses and Opportunistic Infections; 2004 Feb 8-11; San Francisco, California.</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7" w:name="139"/>
            <w:r w:rsidRPr="001578CE">
              <w:rPr>
                <w:rFonts w:ascii="Arial" w:eastAsia="Times New Roman" w:hAnsi="Arial" w:cs="Arial"/>
                <w:color w:val="003399"/>
                <w:sz w:val="18"/>
                <w:szCs w:val="18"/>
              </w:rPr>
              <w:t> </w:t>
            </w:r>
            <w:bookmarkEnd w:id="7"/>
            <w:r w:rsidRPr="001578CE">
              <w:rPr>
                <w:rFonts w:ascii="Arial" w:eastAsia="Times New Roman" w:hAnsi="Arial" w:cs="Arial"/>
                <w:color w:val="003399"/>
                <w:sz w:val="18"/>
                <w:szCs w:val="18"/>
              </w:rPr>
              <w:t>139:</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Corbett AH, Davidson L, Park JJ, et al. Dose separation strategies to overcome the pharmacokinetic interaction of a triple protease inhibitor regimen containing fosamprenavir, lopinavir and ritonavir [abstract #611]. 11th Conference on Retroviruses and Opportunistic Infections; 2004 Feb 8-11; San Francisco, California.</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8" w:name="140"/>
            <w:r w:rsidRPr="001578CE">
              <w:rPr>
                <w:rFonts w:ascii="Arial" w:eastAsia="Times New Roman" w:hAnsi="Arial" w:cs="Arial"/>
                <w:color w:val="003399"/>
                <w:sz w:val="18"/>
                <w:szCs w:val="18"/>
              </w:rPr>
              <w:t> </w:t>
            </w:r>
            <w:bookmarkEnd w:id="8"/>
            <w:r w:rsidRPr="001578CE">
              <w:rPr>
                <w:rFonts w:ascii="Arial" w:eastAsia="Times New Roman" w:hAnsi="Arial" w:cs="Arial"/>
                <w:color w:val="003399"/>
                <w:sz w:val="18"/>
                <w:szCs w:val="18"/>
              </w:rPr>
              <w:t>140:</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Wire MB, Naderer OJ, Masterman AL, et al. The pharmacokinetic interaction between GW433908 and lopinavir/ritonavir (APV10011 and APV10012) [abstract #612]. 11th Conference on Retroviruses and Opportunistic Infections; 2004 Feb 8-11; San Francisco, California.</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9" w:name="146"/>
            <w:r w:rsidRPr="001578CE">
              <w:rPr>
                <w:rFonts w:ascii="Arial" w:eastAsia="Times New Roman" w:hAnsi="Arial" w:cs="Arial"/>
                <w:color w:val="003399"/>
                <w:sz w:val="18"/>
                <w:szCs w:val="18"/>
              </w:rPr>
              <w:t> </w:t>
            </w:r>
            <w:bookmarkEnd w:id="9"/>
            <w:r w:rsidRPr="001578CE">
              <w:rPr>
                <w:rFonts w:ascii="Arial" w:eastAsia="Times New Roman" w:hAnsi="Arial" w:cs="Arial"/>
                <w:color w:val="003399"/>
                <w:sz w:val="18"/>
                <w:szCs w:val="18"/>
              </w:rPr>
              <w:t>146:</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DeJesus E, Piliero P, Summers K, et al. Evaluation of the pharmacokinetic drug interaction between fosamprenavir, fosamprenavir plus ritonavir and nevirapine in HIV-infected patients [abstract A-447]. 44th Interscience Conference on Antimicrobial Agents and Chemotherapy; 2004 Oct 30-Nov 2; Washington, D.C.</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0" w:name="153"/>
            <w:r w:rsidRPr="001578CE">
              <w:rPr>
                <w:rFonts w:ascii="Arial" w:eastAsia="Times New Roman" w:hAnsi="Arial" w:cs="Arial"/>
                <w:color w:val="003399"/>
                <w:sz w:val="18"/>
                <w:szCs w:val="18"/>
              </w:rPr>
              <w:t> </w:t>
            </w:r>
            <w:bookmarkEnd w:id="10"/>
            <w:r w:rsidRPr="001578CE">
              <w:rPr>
                <w:rFonts w:ascii="Arial" w:eastAsia="Times New Roman" w:hAnsi="Arial" w:cs="Arial"/>
                <w:color w:val="003399"/>
                <w:sz w:val="18"/>
                <w:szCs w:val="18"/>
              </w:rPr>
              <w:t>153:</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Kurowski M, Walli R, Breske A, et al. Coadministration of tenofovir 300 mg QD with fosamprenavir/ritonavir 1400/100 mg QD or 1400/200 mg QD doses not affect amprenavir pharmacokinetics (COL 20081)[abstact #10]. 6th International Workshop on Clinical Pharmacology of HIV Therapy; 2005 April 28-30; Quebec City, Quebec, Canada.</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1" w:name="159"/>
            <w:r w:rsidRPr="001578CE">
              <w:rPr>
                <w:rFonts w:ascii="Arial" w:eastAsia="Times New Roman" w:hAnsi="Arial" w:cs="Arial"/>
                <w:color w:val="003399"/>
                <w:sz w:val="18"/>
                <w:szCs w:val="18"/>
              </w:rPr>
              <w:t> </w:t>
            </w:r>
            <w:bookmarkEnd w:id="11"/>
            <w:r w:rsidRPr="001578CE">
              <w:rPr>
                <w:rFonts w:ascii="Arial" w:eastAsia="Times New Roman" w:hAnsi="Arial" w:cs="Arial"/>
                <w:color w:val="003399"/>
                <w:sz w:val="18"/>
                <w:szCs w:val="18"/>
              </w:rPr>
              <w:t>159:</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Wire MB, Shelton MJ, Lou Y, et al. The pharmacokinetic interaction between foramprenavir/ritonavir and atazanavir in healthy adult subjects (APV10018) [poster PE4.3/9]. 10th European AIDS Conference; 2005 November 17-20; Dublin, Ireland.</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2" w:name="163"/>
            <w:r w:rsidRPr="001578CE">
              <w:rPr>
                <w:rFonts w:ascii="Arial" w:eastAsia="Times New Roman" w:hAnsi="Arial" w:cs="Arial"/>
                <w:color w:val="003399"/>
                <w:sz w:val="18"/>
                <w:szCs w:val="18"/>
              </w:rPr>
              <w:t> </w:t>
            </w:r>
            <w:bookmarkEnd w:id="12"/>
            <w:r w:rsidRPr="001578CE">
              <w:rPr>
                <w:rFonts w:ascii="Arial" w:eastAsia="Times New Roman" w:hAnsi="Arial" w:cs="Arial"/>
                <w:color w:val="003399"/>
                <w:sz w:val="18"/>
                <w:szCs w:val="18"/>
              </w:rPr>
              <w:t>163:</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Clay P, Anderson P, Smith P, et al. Pharmacokinetics of once-daily fosamprenavir 1400 mg plus atazanavir 400 mg without ritonavir in HIV-negative subjects. 13th Conference on Retroviruses and Opportunistic Infections; 2006 Feb 5-8; Denver, Colorado.</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3" w:name="218"/>
            <w:r w:rsidRPr="001578CE">
              <w:rPr>
                <w:rFonts w:ascii="Arial" w:eastAsia="Times New Roman" w:hAnsi="Arial" w:cs="Arial"/>
                <w:color w:val="003399"/>
                <w:sz w:val="18"/>
                <w:szCs w:val="18"/>
              </w:rPr>
              <w:t> </w:t>
            </w:r>
            <w:bookmarkEnd w:id="13"/>
            <w:r w:rsidRPr="001578CE">
              <w:rPr>
                <w:rFonts w:ascii="Arial" w:eastAsia="Times New Roman" w:hAnsi="Arial" w:cs="Arial"/>
                <w:color w:val="003399"/>
                <w:sz w:val="18"/>
                <w:szCs w:val="18"/>
              </w:rPr>
              <w:t>218:</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Wire MB, Baker KL, Moore KHP, et al. The pharmacokinetic (PK) interaction of GW433908 (908) with atorvastatin (ATO) and 908/ritonavir (RTV) with ATO (APV10013) [abstract #A-1622]. 43rd Interscience Conference on Antimicrobial Agents and Chemotherapy; 2003 September 14-17; Chicago, Illinois.</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4" w:name="241"/>
            <w:r w:rsidRPr="001578CE">
              <w:rPr>
                <w:rFonts w:ascii="Arial" w:eastAsia="Times New Roman" w:hAnsi="Arial" w:cs="Arial"/>
                <w:color w:val="003399"/>
                <w:sz w:val="18"/>
                <w:szCs w:val="18"/>
              </w:rPr>
              <w:t> </w:t>
            </w:r>
            <w:bookmarkEnd w:id="14"/>
            <w:r w:rsidRPr="001578CE">
              <w:rPr>
                <w:rFonts w:ascii="Arial" w:eastAsia="Times New Roman" w:hAnsi="Arial" w:cs="Arial"/>
                <w:color w:val="003399"/>
                <w:sz w:val="18"/>
                <w:szCs w:val="18"/>
              </w:rPr>
              <w:t>241:</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Ford SL, Wire MB, Lou Y, et al. The effect of antacids and ranitidine on the pharmacokinetics (PK) of GW433908 (908) (APV10007) [abstract #A-1606]. 43rd Interscience Conference on Antimicrobial Agents and Chemotherapy; 2003 September 14-17; Chicago, Illinois.</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5" w:name="389"/>
            <w:r w:rsidRPr="001578CE">
              <w:rPr>
                <w:rFonts w:ascii="Arial" w:eastAsia="Times New Roman" w:hAnsi="Arial" w:cs="Arial"/>
                <w:color w:val="003399"/>
                <w:sz w:val="18"/>
                <w:szCs w:val="18"/>
              </w:rPr>
              <w:t> </w:t>
            </w:r>
            <w:bookmarkEnd w:id="15"/>
            <w:r w:rsidRPr="001578CE">
              <w:rPr>
                <w:rFonts w:ascii="Arial" w:eastAsia="Times New Roman" w:hAnsi="Arial" w:cs="Arial"/>
                <w:color w:val="003399"/>
                <w:sz w:val="18"/>
                <w:szCs w:val="18"/>
              </w:rPr>
              <w:t>389:</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Shelton MJ, Ford SL, Wire MB, et al. Coadministration of esomeprazole with fosamprenavir has no impact on steady-state plasma amprenavir pharmacokinetics [abstact #24]. 6th International Workshop on Clinical Pharmacology of HIV Therapy; 2005 April 28-30; Quebec City, Quebec, Canada.</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6" w:name="394"/>
            <w:r w:rsidRPr="001578CE">
              <w:rPr>
                <w:rFonts w:ascii="Arial" w:eastAsia="Times New Roman" w:hAnsi="Arial" w:cs="Arial"/>
                <w:color w:val="003399"/>
                <w:sz w:val="18"/>
                <w:szCs w:val="18"/>
              </w:rPr>
              <w:t> </w:t>
            </w:r>
            <w:bookmarkEnd w:id="16"/>
            <w:r w:rsidRPr="001578CE">
              <w:rPr>
                <w:rFonts w:ascii="Arial" w:eastAsia="Times New Roman" w:hAnsi="Arial" w:cs="Arial"/>
                <w:color w:val="003399"/>
                <w:sz w:val="18"/>
                <w:szCs w:val="18"/>
              </w:rPr>
              <w:t>394:</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van der Lee MJ, Blenke AAM, Rongen GA, et al. Interaction study of the combined use of paroxetine and fosamprenavir-ritonavir in healthy subjects. Antimicrob Ag Chemother 2007; 51: 4098-4104.</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7" w:name="403"/>
            <w:r w:rsidRPr="001578CE">
              <w:rPr>
                <w:rFonts w:ascii="Arial" w:eastAsia="Times New Roman" w:hAnsi="Arial" w:cs="Arial"/>
                <w:color w:val="003399"/>
                <w:sz w:val="18"/>
                <w:szCs w:val="18"/>
              </w:rPr>
              <w:t> </w:t>
            </w:r>
            <w:bookmarkEnd w:id="17"/>
            <w:r w:rsidRPr="001578CE">
              <w:rPr>
                <w:rFonts w:ascii="Arial" w:eastAsia="Times New Roman" w:hAnsi="Arial" w:cs="Arial"/>
                <w:color w:val="003399"/>
                <w:sz w:val="18"/>
                <w:szCs w:val="18"/>
              </w:rPr>
              <w:t>403:</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Cao Y-J, Smith P, Wire MB, et al. Pharmacokinetics and pharmacodynamics of methadone enantiomers after coadminstration with fosamprenavir-ritonavir in opioid-dependent subjects. Pharmacotherapy 2008; 28: 863-74.</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8" w:name="405"/>
            <w:r w:rsidRPr="001578CE">
              <w:rPr>
                <w:rFonts w:ascii="Arial" w:eastAsia="Times New Roman" w:hAnsi="Arial" w:cs="Arial"/>
                <w:color w:val="003399"/>
                <w:sz w:val="18"/>
                <w:szCs w:val="18"/>
              </w:rPr>
              <w:t> </w:t>
            </w:r>
            <w:bookmarkEnd w:id="18"/>
            <w:r w:rsidRPr="001578CE">
              <w:rPr>
                <w:rFonts w:ascii="Arial" w:eastAsia="Times New Roman" w:hAnsi="Arial" w:cs="Arial"/>
                <w:color w:val="003399"/>
                <w:sz w:val="18"/>
                <w:szCs w:val="18"/>
              </w:rPr>
              <w:t>405:</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Intelence [package insert]. Raritan, NJ: Tibotec Therapeutics; 2010.</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19" w:name="411"/>
            <w:r w:rsidRPr="001578CE">
              <w:rPr>
                <w:rFonts w:ascii="Arial" w:eastAsia="Times New Roman" w:hAnsi="Arial" w:cs="Arial"/>
                <w:color w:val="003399"/>
                <w:sz w:val="18"/>
                <w:szCs w:val="18"/>
              </w:rPr>
              <w:t> </w:t>
            </w:r>
            <w:bookmarkEnd w:id="19"/>
            <w:r w:rsidRPr="001578CE">
              <w:rPr>
                <w:rFonts w:ascii="Arial" w:eastAsia="Times New Roman" w:hAnsi="Arial" w:cs="Arial"/>
                <w:color w:val="003399"/>
                <w:sz w:val="18"/>
                <w:szCs w:val="18"/>
              </w:rPr>
              <w:t>411:</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Busti AJ, Bain AM, Hall RG 2nd, et al. Effects of atazanavir/ritonavir or fosamprenavir/ritonavir on the pharmacokinetics of rosuvastatin. J Cardovasc Pharmacol 2008; 51: 605-10.</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0" w:name="420"/>
            <w:r w:rsidRPr="001578CE">
              <w:rPr>
                <w:rFonts w:ascii="Arial" w:eastAsia="Times New Roman" w:hAnsi="Arial" w:cs="Arial"/>
                <w:color w:val="003399"/>
                <w:sz w:val="18"/>
                <w:szCs w:val="18"/>
              </w:rPr>
              <w:lastRenderedPageBreak/>
              <w:t> </w:t>
            </w:r>
            <w:bookmarkEnd w:id="20"/>
            <w:r w:rsidRPr="001578CE">
              <w:rPr>
                <w:rFonts w:ascii="Arial" w:eastAsia="Times New Roman" w:hAnsi="Arial" w:cs="Arial"/>
                <w:color w:val="003399"/>
                <w:sz w:val="18"/>
                <w:szCs w:val="18"/>
              </w:rPr>
              <w:t>420:</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Ford SL, Chen Y-C, Lou Y, et al. Pharmacokinetic interaction between fosamprenavir-ritonavir and rifabutin in healthy subjects. Antimicrob Ag Chemother 2008; 52: 534-38.</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1" w:name="431"/>
            <w:r w:rsidRPr="001578CE">
              <w:rPr>
                <w:rFonts w:ascii="Arial" w:eastAsia="Times New Roman" w:hAnsi="Arial" w:cs="Arial"/>
                <w:color w:val="003399"/>
                <w:sz w:val="18"/>
                <w:szCs w:val="18"/>
              </w:rPr>
              <w:t> </w:t>
            </w:r>
            <w:bookmarkEnd w:id="21"/>
            <w:r w:rsidRPr="001578CE">
              <w:rPr>
                <w:rFonts w:ascii="Arial" w:eastAsia="Times New Roman" w:hAnsi="Arial" w:cs="Arial"/>
                <w:color w:val="003399"/>
                <w:sz w:val="18"/>
                <w:szCs w:val="18"/>
              </w:rPr>
              <w:t>431:</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McRay M, Clay PG, Anderson PL, Glaros AG. Pharmacokinetics of concurrent administration of fosamprenavir and atazanavir without ritonavir in human immunodeficiency virus-negative subjects. Pharmacother 2009; 29: 937-42.</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2" w:name="440"/>
            <w:r w:rsidRPr="001578CE">
              <w:rPr>
                <w:rFonts w:ascii="Arial" w:eastAsia="Times New Roman" w:hAnsi="Arial" w:cs="Arial"/>
                <w:color w:val="003399"/>
                <w:sz w:val="18"/>
                <w:szCs w:val="18"/>
              </w:rPr>
              <w:t> </w:t>
            </w:r>
            <w:bookmarkEnd w:id="22"/>
            <w:r w:rsidRPr="001578CE">
              <w:rPr>
                <w:rFonts w:ascii="Arial" w:eastAsia="Times New Roman" w:hAnsi="Arial" w:cs="Arial"/>
                <w:color w:val="003399"/>
                <w:sz w:val="18"/>
                <w:szCs w:val="18"/>
              </w:rPr>
              <w:t>440:</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Luber A, Slowinski PD, Acosta E, et al. Steady-state pharmacokinetics of fosamprenavir and raltegravir alone and combined with unboosted and ritonavir-boosted fosamprenavir [abstract A1-1297]. 49th Interscience Conference on Antimicrobial Agents and Chemotherapy; 2009 September 12-15; San Francisco, California.</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3" w:name="447"/>
            <w:r w:rsidRPr="001578CE">
              <w:rPr>
                <w:rFonts w:ascii="Arial" w:eastAsia="Times New Roman" w:hAnsi="Arial" w:cs="Arial"/>
                <w:color w:val="003399"/>
                <w:sz w:val="18"/>
                <w:szCs w:val="18"/>
              </w:rPr>
              <w:t> </w:t>
            </w:r>
            <w:bookmarkEnd w:id="23"/>
            <w:r w:rsidRPr="001578CE">
              <w:rPr>
                <w:rFonts w:ascii="Arial" w:eastAsia="Times New Roman" w:hAnsi="Arial" w:cs="Arial"/>
                <w:color w:val="003399"/>
                <w:sz w:val="18"/>
                <w:szCs w:val="18"/>
              </w:rPr>
              <w:t>447:</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Bruggemann RJM, van Luin M, Colbers EPH, et al. Effect of posaconazole on the pharmacokinetics of fosamprenavir and vice versa in healthy volunteers. J Antimicrob Chemother 2010; 65: 2188-94.</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4" w:name="549"/>
            <w:r w:rsidRPr="001578CE">
              <w:rPr>
                <w:rFonts w:ascii="Arial" w:eastAsia="Times New Roman" w:hAnsi="Arial" w:cs="Arial"/>
                <w:color w:val="003399"/>
                <w:sz w:val="18"/>
                <w:szCs w:val="18"/>
              </w:rPr>
              <w:t> </w:t>
            </w:r>
            <w:bookmarkEnd w:id="24"/>
            <w:r w:rsidRPr="001578CE">
              <w:rPr>
                <w:rFonts w:ascii="Arial" w:eastAsia="Times New Roman" w:hAnsi="Arial" w:cs="Arial"/>
                <w:color w:val="003399"/>
                <w:sz w:val="18"/>
                <w:szCs w:val="18"/>
              </w:rPr>
              <w:t>549:</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Colcrys [package insert]. Philadelphia, PA: URL Pharma, Inc., May 2010.</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5" w:name="571"/>
            <w:r w:rsidRPr="001578CE">
              <w:rPr>
                <w:rFonts w:ascii="Arial" w:eastAsia="Times New Roman" w:hAnsi="Arial" w:cs="Arial"/>
                <w:color w:val="003399"/>
                <w:sz w:val="18"/>
                <w:szCs w:val="18"/>
              </w:rPr>
              <w:t> </w:t>
            </w:r>
            <w:bookmarkEnd w:id="25"/>
            <w:r w:rsidRPr="001578CE">
              <w:rPr>
                <w:rFonts w:ascii="Arial" w:eastAsia="Times New Roman" w:hAnsi="Arial" w:cs="Arial"/>
                <w:color w:val="003399"/>
                <w:sz w:val="18"/>
                <w:szCs w:val="18"/>
              </w:rPr>
              <w:t>571:</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Incivek [package insert]. Cambridge, MA: Vertex Pharmaceuticals Inc; May 2011.</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6" w:name="639"/>
            <w:r w:rsidRPr="001578CE">
              <w:rPr>
                <w:rFonts w:ascii="Arial" w:eastAsia="Times New Roman" w:hAnsi="Arial" w:cs="Arial"/>
                <w:color w:val="003399"/>
                <w:sz w:val="18"/>
                <w:szCs w:val="18"/>
              </w:rPr>
              <w:t> </w:t>
            </w:r>
            <w:bookmarkEnd w:id="26"/>
            <w:r w:rsidRPr="001578CE">
              <w:rPr>
                <w:rFonts w:ascii="Arial" w:eastAsia="Times New Roman" w:hAnsi="Arial" w:cs="Arial"/>
                <w:color w:val="003399"/>
                <w:sz w:val="18"/>
                <w:szCs w:val="18"/>
              </w:rPr>
              <w:t>639:</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DHHS. Guidelines for the use of antiretroviral agents in HIV-1 infected adults and adolescents. Feb 12, 2013.</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7" w:name="641"/>
            <w:r w:rsidRPr="001578CE">
              <w:rPr>
                <w:rFonts w:ascii="Arial" w:eastAsia="Times New Roman" w:hAnsi="Arial" w:cs="Arial"/>
                <w:color w:val="003399"/>
                <w:sz w:val="18"/>
                <w:szCs w:val="18"/>
              </w:rPr>
              <w:t> </w:t>
            </w:r>
            <w:bookmarkEnd w:id="27"/>
            <w:r w:rsidRPr="001578CE">
              <w:rPr>
                <w:rFonts w:ascii="Arial" w:eastAsia="Times New Roman" w:hAnsi="Arial" w:cs="Arial"/>
                <w:color w:val="003399"/>
                <w:sz w:val="18"/>
                <w:szCs w:val="18"/>
              </w:rPr>
              <w:t>641:</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Tivicay [package insert]. Research Triangle Park, NC: Viiv Healthcare; Sept 2013.</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8" w:name="653"/>
            <w:r w:rsidRPr="001578CE">
              <w:rPr>
                <w:rFonts w:ascii="Arial" w:eastAsia="Times New Roman" w:hAnsi="Arial" w:cs="Arial"/>
                <w:color w:val="003399"/>
                <w:sz w:val="18"/>
                <w:szCs w:val="18"/>
              </w:rPr>
              <w:t> </w:t>
            </w:r>
            <w:bookmarkEnd w:id="28"/>
            <w:r w:rsidRPr="001578CE">
              <w:rPr>
                <w:rFonts w:ascii="Arial" w:eastAsia="Times New Roman" w:hAnsi="Arial" w:cs="Arial"/>
                <w:color w:val="003399"/>
                <w:sz w:val="18"/>
                <w:szCs w:val="18"/>
              </w:rPr>
              <w:t>653:</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Mathias A, Shen G, Enejosa J, et al. Lack of clinically relevant drug-drug interaction between ritonavir-boosted GS-9137 (elvitegravir) and fosamprenavir/r [abstract WEPEB014]. 4th IAS Conference on HIV Pathogenesis and Treatment and Prevention. Sydney, Australia.</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29" w:name="657"/>
            <w:r w:rsidRPr="001578CE">
              <w:rPr>
                <w:rFonts w:ascii="Arial" w:eastAsia="Times New Roman" w:hAnsi="Arial" w:cs="Arial"/>
                <w:color w:val="003399"/>
                <w:sz w:val="18"/>
                <w:szCs w:val="18"/>
              </w:rPr>
              <w:t> </w:t>
            </w:r>
            <w:bookmarkEnd w:id="29"/>
            <w:r w:rsidRPr="001578CE">
              <w:rPr>
                <w:rFonts w:ascii="Arial" w:eastAsia="Times New Roman" w:hAnsi="Arial" w:cs="Arial"/>
                <w:color w:val="003399"/>
                <w:sz w:val="18"/>
                <w:szCs w:val="18"/>
              </w:rPr>
              <w:t>657:</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Vourvahis M, Plotka A, Mendes da Costa L, et al. Pharmacokinetic interaction between maraviroc and fosamprenavir/ritonavir: an open lbael, fixed sequence study in healthy volunteers [abstract P 12]. 13th International Workshop on Clinical Pharmacology of HIV Therapy; 2012. Barcelona, Spain.</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30" w:name="709"/>
            <w:r w:rsidRPr="001578CE">
              <w:rPr>
                <w:rFonts w:ascii="Arial" w:eastAsia="Times New Roman" w:hAnsi="Arial" w:cs="Arial"/>
                <w:color w:val="003399"/>
                <w:sz w:val="18"/>
                <w:szCs w:val="18"/>
              </w:rPr>
              <w:t> </w:t>
            </w:r>
            <w:bookmarkEnd w:id="30"/>
            <w:r w:rsidRPr="001578CE">
              <w:rPr>
                <w:rFonts w:ascii="Arial" w:eastAsia="Times New Roman" w:hAnsi="Arial" w:cs="Arial"/>
                <w:color w:val="003399"/>
                <w:sz w:val="18"/>
                <w:szCs w:val="18"/>
              </w:rPr>
              <w:t>709:</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31" w:name="727"/>
            <w:r w:rsidRPr="001578CE">
              <w:rPr>
                <w:rFonts w:ascii="Arial" w:eastAsia="Times New Roman" w:hAnsi="Arial" w:cs="Arial"/>
                <w:color w:val="003399"/>
                <w:sz w:val="18"/>
                <w:szCs w:val="18"/>
              </w:rPr>
              <w:t> </w:t>
            </w:r>
            <w:bookmarkEnd w:id="31"/>
            <w:r w:rsidRPr="001578CE">
              <w:rPr>
                <w:rFonts w:ascii="Arial" w:eastAsia="Times New Roman" w:hAnsi="Arial" w:cs="Arial"/>
                <w:color w:val="003399"/>
                <w:sz w:val="18"/>
                <w:szCs w:val="18"/>
              </w:rPr>
              <w:t>727:</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Panel on Antiretroviral Guidelines for Adults and Adolescents. Guidelines for the use of antiretroviral agents in HIV-1-infected adults and adolescents. Department of Health and Human Services. Available at http://aidsinfo.nih.gov/contentfiles/lvguidelines/AdultandAdolescentGL.pdf.</w:t>
            </w:r>
          </w:p>
        </w:tc>
      </w:tr>
      <w:tr w:rsidR="001578CE" w:rsidRPr="001578CE" w:rsidTr="001578CE">
        <w:trPr>
          <w:tblCellSpacing w:w="15" w:type="dxa"/>
        </w:trPr>
        <w:tc>
          <w:tcPr>
            <w:tcW w:w="0" w:type="auto"/>
            <w:shd w:val="clear" w:color="auto" w:fill="FFFFFF"/>
            <w:hideMark/>
          </w:tcPr>
          <w:p w:rsidR="001578CE" w:rsidRPr="001578CE" w:rsidRDefault="001578CE" w:rsidP="001578CE">
            <w:pPr>
              <w:spacing w:after="0" w:line="240" w:lineRule="auto"/>
              <w:jc w:val="right"/>
              <w:rPr>
                <w:rFonts w:ascii="Arial" w:eastAsia="Times New Roman" w:hAnsi="Arial" w:cs="Arial"/>
                <w:color w:val="003399"/>
                <w:sz w:val="18"/>
                <w:szCs w:val="18"/>
              </w:rPr>
            </w:pPr>
            <w:bookmarkStart w:id="32" w:name="747"/>
            <w:r w:rsidRPr="001578CE">
              <w:rPr>
                <w:rFonts w:ascii="Arial" w:eastAsia="Times New Roman" w:hAnsi="Arial" w:cs="Arial"/>
                <w:color w:val="003399"/>
                <w:sz w:val="18"/>
                <w:szCs w:val="18"/>
              </w:rPr>
              <w:t> </w:t>
            </w:r>
            <w:bookmarkEnd w:id="32"/>
            <w:r w:rsidRPr="001578CE">
              <w:rPr>
                <w:rFonts w:ascii="Arial" w:eastAsia="Times New Roman" w:hAnsi="Arial" w:cs="Arial"/>
                <w:color w:val="003399"/>
                <w:sz w:val="18"/>
                <w:szCs w:val="18"/>
              </w:rPr>
              <w:t>747:</w:t>
            </w:r>
          </w:p>
        </w:tc>
        <w:tc>
          <w:tcPr>
            <w:tcW w:w="0" w:type="auto"/>
            <w:shd w:val="clear" w:color="auto" w:fill="FFFFFF"/>
            <w:vAlign w:val="center"/>
            <w:hideMark/>
          </w:tcPr>
          <w:p w:rsidR="001578CE" w:rsidRPr="001578CE" w:rsidRDefault="001578CE" w:rsidP="001578CE">
            <w:pPr>
              <w:spacing w:after="0" w:line="240" w:lineRule="auto"/>
              <w:rPr>
                <w:rFonts w:ascii="Arial" w:eastAsia="Times New Roman" w:hAnsi="Arial" w:cs="Arial"/>
                <w:color w:val="000000"/>
                <w:sz w:val="18"/>
                <w:szCs w:val="18"/>
              </w:rPr>
            </w:pPr>
            <w:r w:rsidRPr="001578CE">
              <w:rPr>
                <w:rFonts w:ascii="Arial" w:eastAsia="Times New Roman" w:hAnsi="Arial" w:cs="Arial"/>
                <w:color w:val="000000"/>
                <w:sz w:val="18"/>
                <w:szCs w:val="18"/>
              </w:rPr>
              <w:t>Daklinza [package insert]. Princeton, NJ: Bristol-Myers Squibb Company, 2016</w:t>
            </w:r>
          </w:p>
        </w:tc>
      </w:tr>
    </w:tbl>
    <w:p w:rsidR="00244653" w:rsidRDefault="00244653"/>
    <w:sectPr w:rsidR="0024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8CE"/>
    <w:rsid w:val="001578CE"/>
    <w:rsid w:val="00244653"/>
    <w:rsid w:val="002B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00B4F9-43B4-44C2-B07C-BFDE72419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578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brsec1">
    <w:name w:val="kbrsec1"/>
    <w:basedOn w:val="Normal"/>
    <w:rsid w:val="001578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78CE"/>
    <w:rPr>
      <w:color w:val="0000FF"/>
      <w:u w:val="single"/>
    </w:rPr>
  </w:style>
  <w:style w:type="character" w:styleId="FollowedHyperlink">
    <w:name w:val="FollowedHyperlink"/>
    <w:basedOn w:val="DefaultParagraphFont"/>
    <w:uiPriority w:val="99"/>
    <w:semiHidden/>
    <w:unhideWhenUsed/>
    <w:rsid w:val="001578CE"/>
    <w:rPr>
      <w:color w:val="800080"/>
      <w:u w:val="single"/>
    </w:rPr>
  </w:style>
  <w:style w:type="character" w:customStyle="1" w:styleId="apple-converted-space">
    <w:name w:val="apple-converted-space"/>
    <w:basedOn w:val="DefaultParagraphFont"/>
    <w:rsid w:val="001578CE"/>
  </w:style>
  <w:style w:type="paragraph" w:styleId="NormalWeb">
    <w:name w:val="Normal (Web)"/>
    <w:basedOn w:val="Normal"/>
    <w:uiPriority w:val="99"/>
    <w:semiHidden/>
    <w:unhideWhenUsed/>
    <w:rsid w:val="001578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rn">
    <w:name w:val="warn"/>
    <w:basedOn w:val="Normal"/>
    <w:rsid w:val="001578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8358015">
      <w:bodyDiv w:val="1"/>
      <w:marLeft w:val="0"/>
      <w:marRight w:val="0"/>
      <w:marTop w:val="0"/>
      <w:marBottom w:val="0"/>
      <w:divBdr>
        <w:top w:val="none" w:sz="0" w:space="0" w:color="auto"/>
        <w:left w:val="none" w:sz="0" w:space="0" w:color="auto"/>
        <w:bottom w:val="none" w:sz="0" w:space="0" w:color="auto"/>
        <w:right w:val="none" w:sz="0" w:space="0" w:color="auto"/>
      </w:divBdr>
      <w:divsChild>
        <w:div w:id="80881003">
          <w:marLeft w:val="0"/>
          <w:marRight w:val="0"/>
          <w:marTop w:val="0"/>
          <w:marBottom w:val="0"/>
          <w:divBdr>
            <w:top w:val="none" w:sz="0" w:space="0" w:color="auto"/>
            <w:left w:val="none" w:sz="0" w:space="0" w:color="auto"/>
            <w:bottom w:val="none" w:sz="0" w:space="0" w:color="auto"/>
            <w:right w:val="none" w:sz="0" w:space="0" w:color="auto"/>
          </w:divBdr>
        </w:div>
        <w:div w:id="228347332">
          <w:marLeft w:val="0"/>
          <w:marRight w:val="0"/>
          <w:marTop w:val="0"/>
          <w:marBottom w:val="0"/>
          <w:divBdr>
            <w:top w:val="none" w:sz="0" w:space="0" w:color="auto"/>
            <w:left w:val="none" w:sz="0" w:space="0" w:color="auto"/>
            <w:bottom w:val="none" w:sz="0" w:space="0" w:color="auto"/>
            <w:right w:val="none" w:sz="0" w:space="0" w:color="auto"/>
          </w:divBdr>
        </w:div>
        <w:div w:id="139663111">
          <w:marLeft w:val="0"/>
          <w:marRight w:val="0"/>
          <w:marTop w:val="0"/>
          <w:marBottom w:val="0"/>
          <w:divBdr>
            <w:top w:val="none" w:sz="0" w:space="0" w:color="auto"/>
            <w:left w:val="none" w:sz="0" w:space="0" w:color="auto"/>
            <w:bottom w:val="none" w:sz="0" w:space="0" w:color="auto"/>
            <w:right w:val="none" w:sz="0" w:space="0" w:color="auto"/>
          </w:divBdr>
        </w:div>
        <w:div w:id="2018727645">
          <w:marLeft w:val="0"/>
          <w:marRight w:val="0"/>
          <w:marTop w:val="0"/>
          <w:marBottom w:val="0"/>
          <w:divBdr>
            <w:top w:val="none" w:sz="0" w:space="0" w:color="auto"/>
            <w:left w:val="none" w:sz="0" w:space="0" w:color="auto"/>
            <w:bottom w:val="none" w:sz="0" w:space="0" w:color="auto"/>
            <w:right w:val="none" w:sz="0" w:space="0" w:color="auto"/>
          </w:divBdr>
        </w:div>
        <w:div w:id="131561807">
          <w:marLeft w:val="0"/>
          <w:marRight w:val="0"/>
          <w:marTop w:val="0"/>
          <w:marBottom w:val="0"/>
          <w:divBdr>
            <w:top w:val="none" w:sz="0" w:space="0" w:color="auto"/>
            <w:left w:val="none" w:sz="0" w:space="0" w:color="auto"/>
            <w:bottom w:val="none" w:sz="0" w:space="0" w:color="auto"/>
            <w:right w:val="none" w:sz="0" w:space="0" w:color="auto"/>
          </w:divBdr>
        </w:div>
        <w:div w:id="1763069634">
          <w:marLeft w:val="0"/>
          <w:marRight w:val="0"/>
          <w:marTop w:val="0"/>
          <w:marBottom w:val="0"/>
          <w:divBdr>
            <w:top w:val="none" w:sz="0" w:space="0" w:color="auto"/>
            <w:left w:val="none" w:sz="0" w:space="0" w:color="auto"/>
            <w:bottom w:val="none" w:sz="0" w:space="0" w:color="auto"/>
            <w:right w:val="none" w:sz="0" w:space="0" w:color="auto"/>
          </w:divBdr>
        </w:div>
        <w:div w:id="198469460">
          <w:marLeft w:val="0"/>
          <w:marRight w:val="0"/>
          <w:marTop w:val="0"/>
          <w:marBottom w:val="0"/>
          <w:divBdr>
            <w:top w:val="none" w:sz="0" w:space="0" w:color="auto"/>
            <w:left w:val="none" w:sz="0" w:space="0" w:color="auto"/>
            <w:bottom w:val="none" w:sz="0" w:space="0" w:color="auto"/>
            <w:right w:val="none" w:sz="0" w:space="0" w:color="auto"/>
          </w:divBdr>
        </w:div>
        <w:div w:id="721321953">
          <w:marLeft w:val="0"/>
          <w:marRight w:val="0"/>
          <w:marTop w:val="0"/>
          <w:marBottom w:val="0"/>
          <w:divBdr>
            <w:top w:val="none" w:sz="0" w:space="0" w:color="auto"/>
            <w:left w:val="none" w:sz="0" w:space="0" w:color="auto"/>
            <w:bottom w:val="none" w:sz="0" w:space="0" w:color="auto"/>
            <w:right w:val="none" w:sz="0" w:space="0" w:color="auto"/>
          </w:divBdr>
        </w:div>
        <w:div w:id="23288820">
          <w:marLeft w:val="0"/>
          <w:marRight w:val="0"/>
          <w:marTop w:val="0"/>
          <w:marBottom w:val="0"/>
          <w:divBdr>
            <w:top w:val="none" w:sz="0" w:space="0" w:color="auto"/>
            <w:left w:val="none" w:sz="0" w:space="0" w:color="auto"/>
            <w:bottom w:val="none" w:sz="0" w:space="0" w:color="auto"/>
            <w:right w:val="none" w:sz="0" w:space="0" w:color="auto"/>
          </w:divBdr>
        </w:div>
        <w:div w:id="907884211">
          <w:marLeft w:val="0"/>
          <w:marRight w:val="0"/>
          <w:marTop w:val="0"/>
          <w:marBottom w:val="0"/>
          <w:divBdr>
            <w:top w:val="none" w:sz="0" w:space="0" w:color="auto"/>
            <w:left w:val="none" w:sz="0" w:space="0" w:color="auto"/>
            <w:bottom w:val="none" w:sz="0" w:space="0" w:color="auto"/>
            <w:right w:val="none" w:sz="0" w:space="0" w:color="auto"/>
          </w:divBdr>
        </w:div>
        <w:div w:id="189412469">
          <w:marLeft w:val="0"/>
          <w:marRight w:val="0"/>
          <w:marTop w:val="0"/>
          <w:marBottom w:val="0"/>
          <w:divBdr>
            <w:top w:val="none" w:sz="0" w:space="0" w:color="auto"/>
            <w:left w:val="none" w:sz="0" w:space="0" w:color="auto"/>
            <w:bottom w:val="none" w:sz="0" w:space="0" w:color="auto"/>
            <w:right w:val="none" w:sz="0" w:space="0" w:color="auto"/>
          </w:divBdr>
        </w:div>
        <w:div w:id="355430019">
          <w:marLeft w:val="0"/>
          <w:marRight w:val="0"/>
          <w:marTop w:val="0"/>
          <w:marBottom w:val="0"/>
          <w:divBdr>
            <w:top w:val="none" w:sz="0" w:space="0" w:color="auto"/>
            <w:left w:val="none" w:sz="0" w:space="0" w:color="auto"/>
            <w:bottom w:val="none" w:sz="0" w:space="0" w:color="auto"/>
            <w:right w:val="none" w:sz="0" w:space="0" w:color="auto"/>
          </w:divBdr>
        </w:div>
        <w:div w:id="1392121902">
          <w:marLeft w:val="0"/>
          <w:marRight w:val="0"/>
          <w:marTop w:val="0"/>
          <w:marBottom w:val="0"/>
          <w:divBdr>
            <w:top w:val="none" w:sz="0" w:space="0" w:color="auto"/>
            <w:left w:val="none" w:sz="0" w:space="0" w:color="auto"/>
            <w:bottom w:val="none" w:sz="0" w:space="0" w:color="auto"/>
            <w:right w:val="none" w:sz="0" w:space="0" w:color="auto"/>
          </w:divBdr>
        </w:div>
        <w:div w:id="845822278">
          <w:marLeft w:val="0"/>
          <w:marRight w:val="0"/>
          <w:marTop w:val="0"/>
          <w:marBottom w:val="0"/>
          <w:divBdr>
            <w:top w:val="none" w:sz="0" w:space="0" w:color="auto"/>
            <w:left w:val="none" w:sz="0" w:space="0" w:color="auto"/>
            <w:bottom w:val="none" w:sz="0" w:space="0" w:color="auto"/>
            <w:right w:val="none" w:sz="0" w:space="0" w:color="auto"/>
          </w:divBdr>
        </w:div>
        <w:div w:id="1028603713">
          <w:marLeft w:val="0"/>
          <w:marRight w:val="0"/>
          <w:marTop w:val="0"/>
          <w:marBottom w:val="0"/>
          <w:divBdr>
            <w:top w:val="none" w:sz="0" w:space="0" w:color="auto"/>
            <w:left w:val="none" w:sz="0" w:space="0" w:color="auto"/>
            <w:bottom w:val="none" w:sz="0" w:space="0" w:color="auto"/>
            <w:right w:val="none" w:sz="0" w:space="0" w:color="auto"/>
          </w:divBdr>
        </w:div>
        <w:div w:id="1140070481">
          <w:marLeft w:val="0"/>
          <w:marRight w:val="0"/>
          <w:marTop w:val="0"/>
          <w:marBottom w:val="0"/>
          <w:divBdr>
            <w:top w:val="none" w:sz="0" w:space="0" w:color="auto"/>
            <w:left w:val="none" w:sz="0" w:space="0" w:color="auto"/>
            <w:bottom w:val="none" w:sz="0" w:space="0" w:color="auto"/>
            <w:right w:val="none" w:sz="0" w:space="0" w:color="auto"/>
          </w:divBdr>
        </w:div>
        <w:div w:id="1635596234">
          <w:marLeft w:val="0"/>
          <w:marRight w:val="0"/>
          <w:marTop w:val="0"/>
          <w:marBottom w:val="0"/>
          <w:divBdr>
            <w:top w:val="none" w:sz="0" w:space="0" w:color="auto"/>
            <w:left w:val="none" w:sz="0" w:space="0" w:color="auto"/>
            <w:bottom w:val="none" w:sz="0" w:space="0" w:color="auto"/>
            <w:right w:val="none" w:sz="0" w:space="0" w:color="auto"/>
          </w:divBdr>
        </w:div>
        <w:div w:id="1454327107">
          <w:marLeft w:val="0"/>
          <w:marRight w:val="0"/>
          <w:marTop w:val="0"/>
          <w:marBottom w:val="0"/>
          <w:divBdr>
            <w:top w:val="none" w:sz="0" w:space="0" w:color="auto"/>
            <w:left w:val="none" w:sz="0" w:space="0" w:color="auto"/>
            <w:bottom w:val="none" w:sz="0" w:space="0" w:color="auto"/>
            <w:right w:val="none" w:sz="0" w:space="0" w:color="auto"/>
          </w:divBdr>
        </w:div>
        <w:div w:id="925378510">
          <w:marLeft w:val="0"/>
          <w:marRight w:val="0"/>
          <w:marTop w:val="0"/>
          <w:marBottom w:val="0"/>
          <w:divBdr>
            <w:top w:val="none" w:sz="0" w:space="0" w:color="auto"/>
            <w:left w:val="none" w:sz="0" w:space="0" w:color="auto"/>
            <w:bottom w:val="none" w:sz="0" w:space="0" w:color="auto"/>
            <w:right w:val="none" w:sz="0" w:space="0" w:color="auto"/>
          </w:divBdr>
        </w:div>
        <w:div w:id="669019814">
          <w:marLeft w:val="0"/>
          <w:marRight w:val="0"/>
          <w:marTop w:val="0"/>
          <w:marBottom w:val="0"/>
          <w:divBdr>
            <w:top w:val="none" w:sz="0" w:space="0" w:color="auto"/>
            <w:left w:val="none" w:sz="0" w:space="0" w:color="auto"/>
            <w:bottom w:val="none" w:sz="0" w:space="0" w:color="auto"/>
            <w:right w:val="none" w:sz="0" w:space="0" w:color="auto"/>
          </w:divBdr>
        </w:div>
        <w:div w:id="112553223">
          <w:marLeft w:val="0"/>
          <w:marRight w:val="0"/>
          <w:marTop w:val="0"/>
          <w:marBottom w:val="0"/>
          <w:divBdr>
            <w:top w:val="none" w:sz="0" w:space="0" w:color="auto"/>
            <w:left w:val="none" w:sz="0" w:space="0" w:color="auto"/>
            <w:bottom w:val="none" w:sz="0" w:space="0" w:color="auto"/>
            <w:right w:val="none" w:sz="0" w:space="0" w:color="auto"/>
          </w:divBdr>
        </w:div>
        <w:div w:id="1249733859">
          <w:marLeft w:val="0"/>
          <w:marRight w:val="0"/>
          <w:marTop w:val="0"/>
          <w:marBottom w:val="0"/>
          <w:divBdr>
            <w:top w:val="none" w:sz="0" w:space="0" w:color="auto"/>
            <w:left w:val="none" w:sz="0" w:space="0" w:color="auto"/>
            <w:bottom w:val="none" w:sz="0" w:space="0" w:color="auto"/>
            <w:right w:val="none" w:sz="0" w:space="0" w:color="auto"/>
          </w:divBdr>
        </w:div>
        <w:div w:id="1492604380">
          <w:marLeft w:val="0"/>
          <w:marRight w:val="0"/>
          <w:marTop w:val="0"/>
          <w:marBottom w:val="0"/>
          <w:divBdr>
            <w:top w:val="none" w:sz="0" w:space="0" w:color="auto"/>
            <w:left w:val="none" w:sz="0" w:space="0" w:color="auto"/>
            <w:bottom w:val="none" w:sz="0" w:space="0" w:color="auto"/>
            <w:right w:val="none" w:sz="0" w:space="0" w:color="auto"/>
          </w:divBdr>
        </w:div>
        <w:div w:id="1929846735">
          <w:marLeft w:val="0"/>
          <w:marRight w:val="0"/>
          <w:marTop w:val="0"/>
          <w:marBottom w:val="0"/>
          <w:divBdr>
            <w:top w:val="none" w:sz="0" w:space="0" w:color="auto"/>
            <w:left w:val="none" w:sz="0" w:space="0" w:color="auto"/>
            <w:bottom w:val="none" w:sz="0" w:space="0" w:color="auto"/>
            <w:right w:val="none" w:sz="0" w:space="0" w:color="auto"/>
          </w:divBdr>
        </w:div>
        <w:div w:id="1481383575">
          <w:marLeft w:val="0"/>
          <w:marRight w:val="0"/>
          <w:marTop w:val="0"/>
          <w:marBottom w:val="0"/>
          <w:divBdr>
            <w:top w:val="none" w:sz="0" w:space="0" w:color="auto"/>
            <w:left w:val="none" w:sz="0" w:space="0" w:color="auto"/>
            <w:bottom w:val="none" w:sz="0" w:space="0" w:color="auto"/>
            <w:right w:val="none" w:sz="0" w:space="0" w:color="auto"/>
          </w:divBdr>
        </w:div>
        <w:div w:id="412629067">
          <w:marLeft w:val="0"/>
          <w:marRight w:val="0"/>
          <w:marTop w:val="0"/>
          <w:marBottom w:val="0"/>
          <w:divBdr>
            <w:top w:val="none" w:sz="0" w:space="0" w:color="auto"/>
            <w:left w:val="none" w:sz="0" w:space="0" w:color="auto"/>
            <w:bottom w:val="none" w:sz="0" w:space="0" w:color="auto"/>
            <w:right w:val="none" w:sz="0" w:space="0" w:color="auto"/>
          </w:divBdr>
        </w:div>
        <w:div w:id="832723988">
          <w:marLeft w:val="0"/>
          <w:marRight w:val="0"/>
          <w:marTop w:val="0"/>
          <w:marBottom w:val="0"/>
          <w:divBdr>
            <w:top w:val="none" w:sz="0" w:space="0" w:color="auto"/>
            <w:left w:val="none" w:sz="0" w:space="0" w:color="auto"/>
            <w:bottom w:val="none" w:sz="0" w:space="0" w:color="auto"/>
            <w:right w:val="none" w:sz="0" w:space="0" w:color="auto"/>
          </w:divBdr>
        </w:div>
        <w:div w:id="131680492">
          <w:marLeft w:val="0"/>
          <w:marRight w:val="0"/>
          <w:marTop w:val="0"/>
          <w:marBottom w:val="0"/>
          <w:divBdr>
            <w:top w:val="none" w:sz="0" w:space="0" w:color="auto"/>
            <w:left w:val="none" w:sz="0" w:space="0" w:color="auto"/>
            <w:bottom w:val="none" w:sz="0" w:space="0" w:color="auto"/>
            <w:right w:val="none" w:sz="0" w:space="0" w:color="auto"/>
          </w:divBdr>
        </w:div>
        <w:div w:id="660232038">
          <w:marLeft w:val="0"/>
          <w:marRight w:val="0"/>
          <w:marTop w:val="0"/>
          <w:marBottom w:val="0"/>
          <w:divBdr>
            <w:top w:val="none" w:sz="0" w:space="0" w:color="auto"/>
            <w:left w:val="none" w:sz="0" w:space="0" w:color="auto"/>
            <w:bottom w:val="none" w:sz="0" w:space="0" w:color="auto"/>
            <w:right w:val="none" w:sz="0" w:space="0" w:color="auto"/>
          </w:divBdr>
        </w:div>
        <w:div w:id="329673482">
          <w:marLeft w:val="0"/>
          <w:marRight w:val="0"/>
          <w:marTop w:val="0"/>
          <w:marBottom w:val="0"/>
          <w:divBdr>
            <w:top w:val="none" w:sz="0" w:space="0" w:color="auto"/>
            <w:left w:val="none" w:sz="0" w:space="0" w:color="auto"/>
            <w:bottom w:val="none" w:sz="0" w:space="0" w:color="auto"/>
            <w:right w:val="none" w:sz="0" w:space="0" w:color="auto"/>
          </w:divBdr>
        </w:div>
        <w:div w:id="30964795">
          <w:marLeft w:val="0"/>
          <w:marRight w:val="0"/>
          <w:marTop w:val="0"/>
          <w:marBottom w:val="0"/>
          <w:divBdr>
            <w:top w:val="none" w:sz="0" w:space="0" w:color="auto"/>
            <w:left w:val="none" w:sz="0" w:space="0" w:color="auto"/>
            <w:bottom w:val="none" w:sz="0" w:space="0" w:color="auto"/>
            <w:right w:val="none" w:sz="0" w:space="0" w:color="auto"/>
          </w:divBdr>
        </w:div>
        <w:div w:id="14625867">
          <w:marLeft w:val="0"/>
          <w:marRight w:val="0"/>
          <w:marTop w:val="0"/>
          <w:marBottom w:val="0"/>
          <w:divBdr>
            <w:top w:val="none" w:sz="0" w:space="0" w:color="auto"/>
            <w:left w:val="none" w:sz="0" w:space="0" w:color="auto"/>
            <w:bottom w:val="none" w:sz="0" w:space="0" w:color="auto"/>
            <w:right w:val="none" w:sz="0" w:space="0" w:color="auto"/>
          </w:divBdr>
        </w:div>
        <w:div w:id="1591084422">
          <w:marLeft w:val="0"/>
          <w:marRight w:val="0"/>
          <w:marTop w:val="0"/>
          <w:marBottom w:val="0"/>
          <w:divBdr>
            <w:top w:val="none" w:sz="0" w:space="0" w:color="auto"/>
            <w:left w:val="none" w:sz="0" w:space="0" w:color="auto"/>
            <w:bottom w:val="none" w:sz="0" w:space="0" w:color="auto"/>
            <w:right w:val="none" w:sz="0" w:space="0" w:color="auto"/>
          </w:divBdr>
        </w:div>
        <w:div w:id="2008509428">
          <w:marLeft w:val="0"/>
          <w:marRight w:val="0"/>
          <w:marTop w:val="0"/>
          <w:marBottom w:val="0"/>
          <w:divBdr>
            <w:top w:val="none" w:sz="0" w:space="0" w:color="auto"/>
            <w:left w:val="none" w:sz="0" w:space="0" w:color="auto"/>
            <w:bottom w:val="none" w:sz="0" w:space="0" w:color="auto"/>
            <w:right w:val="none" w:sz="0" w:space="0" w:color="auto"/>
          </w:divBdr>
        </w:div>
        <w:div w:id="643655862">
          <w:marLeft w:val="0"/>
          <w:marRight w:val="0"/>
          <w:marTop w:val="0"/>
          <w:marBottom w:val="0"/>
          <w:divBdr>
            <w:top w:val="none" w:sz="0" w:space="0" w:color="auto"/>
            <w:left w:val="none" w:sz="0" w:space="0" w:color="auto"/>
            <w:bottom w:val="none" w:sz="0" w:space="0" w:color="auto"/>
            <w:right w:val="none" w:sz="0" w:space="0" w:color="auto"/>
          </w:divBdr>
        </w:div>
        <w:div w:id="657269109">
          <w:marLeft w:val="0"/>
          <w:marRight w:val="0"/>
          <w:marTop w:val="0"/>
          <w:marBottom w:val="0"/>
          <w:divBdr>
            <w:top w:val="none" w:sz="0" w:space="0" w:color="auto"/>
            <w:left w:val="none" w:sz="0" w:space="0" w:color="auto"/>
            <w:bottom w:val="none" w:sz="0" w:space="0" w:color="auto"/>
            <w:right w:val="none" w:sz="0" w:space="0" w:color="auto"/>
          </w:divBdr>
        </w:div>
        <w:div w:id="345447322">
          <w:marLeft w:val="0"/>
          <w:marRight w:val="0"/>
          <w:marTop w:val="0"/>
          <w:marBottom w:val="0"/>
          <w:divBdr>
            <w:top w:val="none" w:sz="0" w:space="0" w:color="auto"/>
            <w:left w:val="none" w:sz="0" w:space="0" w:color="auto"/>
            <w:bottom w:val="none" w:sz="0" w:space="0" w:color="auto"/>
            <w:right w:val="none" w:sz="0" w:space="0" w:color="auto"/>
          </w:divBdr>
        </w:div>
        <w:div w:id="2091613071">
          <w:marLeft w:val="0"/>
          <w:marRight w:val="0"/>
          <w:marTop w:val="0"/>
          <w:marBottom w:val="0"/>
          <w:divBdr>
            <w:top w:val="none" w:sz="0" w:space="0" w:color="auto"/>
            <w:left w:val="none" w:sz="0" w:space="0" w:color="auto"/>
            <w:bottom w:val="none" w:sz="0" w:space="0" w:color="auto"/>
            <w:right w:val="none" w:sz="0" w:space="0" w:color="auto"/>
          </w:divBdr>
        </w:div>
        <w:div w:id="1402405259">
          <w:marLeft w:val="0"/>
          <w:marRight w:val="0"/>
          <w:marTop w:val="0"/>
          <w:marBottom w:val="0"/>
          <w:divBdr>
            <w:top w:val="none" w:sz="0" w:space="0" w:color="auto"/>
            <w:left w:val="none" w:sz="0" w:space="0" w:color="auto"/>
            <w:bottom w:val="none" w:sz="0" w:space="0" w:color="auto"/>
            <w:right w:val="none" w:sz="0" w:space="0" w:color="auto"/>
          </w:divBdr>
        </w:div>
        <w:div w:id="1142575541">
          <w:marLeft w:val="0"/>
          <w:marRight w:val="0"/>
          <w:marTop w:val="0"/>
          <w:marBottom w:val="0"/>
          <w:divBdr>
            <w:top w:val="none" w:sz="0" w:space="0" w:color="auto"/>
            <w:left w:val="none" w:sz="0" w:space="0" w:color="auto"/>
            <w:bottom w:val="none" w:sz="0" w:space="0" w:color="auto"/>
            <w:right w:val="none" w:sz="0" w:space="0" w:color="auto"/>
          </w:divBdr>
        </w:div>
        <w:div w:id="845093889">
          <w:marLeft w:val="0"/>
          <w:marRight w:val="0"/>
          <w:marTop w:val="0"/>
          <w:marBottom w:val="0"/>
          <w:divBdr>
            <w:top w:val="none" w:sz="0" w:space="0" w:color="auto"/>
            <w:left w:val="none" w:sz="0" w:space="0" w:color="auto"/>
            <w:bottom w:val="none" w:sz="0" w:space="0" w:color="auto"/>
            <w:right w:val="none" w:sz="0" w:space="0" w:color="auto"/>
          </w:divBdr>
        </w:div>
        <w:div w:id="1581989328">
          <w:marLeft w:val="0"/>
          <w:marRight w:val="0"/>
          <w:marTop w:val="0"/>
          <w:marBottom w:val="0"/>
          <w:divBdr>
            <w:top w:val="none" w:sz="0" w:space="0" w:color="auto"/>
            <w:left w:val="none" w:sz="0" w:space="0" w:color="auto"/>
            <w:bottom w:val="none" w:sz="0" w:space="0" w:color="auto"/>
            <w:right w:val="none" w:sz="0" w:space="0" w:color="auto"/>
          </w:divBdr>
        </w:div>
        <w:div w:id="1765109345">
          <w:marLeft w:val="0"/>
          <w:marRight w:val="0"/>
          <w:marTop w:val="0"/>
          <w:marBottom w:val="0"/>
          <w:divBdr>
            <w:top w:val="none" w:sz="0" w:space="0" w:color="auto"/>
            <w:left w:val="none" w:sz="0" w:space="0" w:color="auto"/>
            <w:bottom w:val="none" w:sz="0" w:space="0" w:color="auto"/>
            <w:right w:val="none" w:sz="0" w:space="0" w:color="auto"/>
          </w:divBdr>
        </w:div>
        <w:div w:id="439377252">
          <w:marLeft w:val="0"/>
          <w:marRight w:val="0"/>
          <w:marTop w:val="0"/>
          <w:marBottom w:val="0"/>
          <w:divBdr>
            <w:top w:val="none" w:sz="0" w:space="0" w:color="auto"/>
            <w:left w:val="none" w:sz="0" w:space="0" w:color="auto"/>
            <w:bottom w:val="none" w:sz="0" w:space="0" w:color="auto"/>
            <w:right w:val="none" w:sz="0" w:space="0" w:color="auto"/>
          </w:divBdr>
        </w:div>
        <w:div w:id="1841311738">
          <w:marLeft w:val="0"/>
          <w:marRight w:val="0"/>
          <w:marTop w:val="0"/>
          <w:marBottom w:val="0"/>
          <w:divBdr>
            <w:top w:val="none" w:sz="0" w:space="0" w:color="auto"/>
            <w:left w:val="none" w:sz="0" w:space="0" w:color="auto"/>
            <w:bottom w:val="none" w:sz="0" w:space="0" w:color="auto"/>
            <w:right w:val="none" w:sz="0" w:space="0" w:color="auto"/>
          </w:divBdr>
        </w:div>
        <w:div w:id="276563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rv.ucsf.edu/insite?page=ar-00-02&amp;param=24&amp;post=4" TargetMode="External"/><Relationship Id="rId18" Type="http://schemas.openxmlformats.org/officeDocument/2006/relationships/hyperlink" Target="http://arv.ucsf.edu/insite?page=ar-00-02&amp;param=24&amp;post=4" TargetMode="External"/><Relationship Id="rId26" Type="http://schemas.openxmlformats.org/officeDocument/2006/relationships/hyperlink" Target="http://arv.ucsf.edu/insite?page=ar-00-02&amp;param=24&amp;post=4" TargetMode="External"/><Relationship Id="rId39" Type="http://schemas.openxmlformats.org/officeDocument/2006/relationships/hyperlink" Target="http://arv.ucsf.edu/insite?page=ar-00-02&amp;param=24&amp;post=4" TargetMode="External"/><Relationship Id="rId21" Type="http://schemas.openxmlformats.org/officeDocument/2006/relationships/hyperlink" Target="http://arv.ucsf.edu/insite?page=ar-00-02&amp;param=24&amp;post=4" TargetMode="External"/><Relationship Id="rId34" Type="http://schemas.openxmlformats.org/officeDocument/2006/relationships/hyperlink" Target="http://arv.ucsf.edu/insite?page=ar-00-02&amp;param=24&amp;post=4" TargetMode="External"/><Relationship Id="rId42" Type="http://schemas.openxmlformats.org/officeDocument/2006/relationships/hyperlink" Target="http://arv.ucsf.edu/insite?page=ar-00-02&amp;param=24&amp;post=4" TargetMode="External"/><Relationship Id="rId47" Type="http://schemas.openxmlformats.org/officeDocument/2006/relationships/hyperlink" Target="http://arv.ucsf.edu/insite?page=ar-00-02&amp;param=24&amp;post=4" TargetMode="External"/><Relationship Id="rId50" Type="http://schemas.openxmlformats.org/officeDocument/2006/relationships/hyperlink" Target="http://arv.ucsf.edu/insite?page=ar-00-02&amp;param=24&amp;post=4" TargetMode="External"/><Relationship Id="rId55" Type="http://schemas.openxmlformats.org/officeDocument/2006/relationships/hyperlink" Target="http://arv.ucsf.edu/insite?page=ar-00-02&amp;param=24&amp;post=4" TargetMode="External"/><Relationship Id="rId63" Type="http://schemas.openxmlformats.org/officeDocument/2006/relationships/theme" Target="theme/theme1.xml"/><Relationship Id="rId7" Type="http://schemas.openxmlformats.org/officeDocument/2006/relationships/hyperlink" Target="http://arv.ucsf.edu/insite?page=ar-00-02&amp;param=24&amp;post=4" TargetMode="External"/><Relationship Id="rId2" Type="http://schemas.openxmlformats.org/officeDocument/2006/relationships/settings" Target="settings.xml"/><Relationship Id="rId16" Type="http://schemas.openxmlformats.org/officeDocument/2006/relationships/hyperlink" Target="http://arv.ucsf.edu/insite?page=ar-00-02&amp;param=24&amp;post=4" TargetMode="External"/><Relationship Id="rId20" Type="http://schemas.openxmlformats.org/officeDocument/2006/relationships/hyperlink" Target="http://arv.ucsf.edu/insite?page=ar-00-02&amp;param=24&amp;post=4" TargetMode="External"/><Relationship Id="rId29" Type="http://schemas.openxmlformats.org/officeDocument/2006/relationships/hyperlink" Target="http://arv.ucsf.edu/insite?page=ar-00-02&amp;param=24&amp;post=4" TargetMode="External"/><Relationship Id="rId41" Type="http://schemas.openxmlformats.org/officeDocument/2006/relationships/hyperlink" Target="http://arv.ucsf.edu/insite?page=ar-00-02&amp;param=24&amp;post=4" TargetMode="External"/><Relationship Id="rId54" Type="http://schemas.openxmlformats.org/officeDocument/2006/relationships/hyperlink" Target="http://arv.ucsf.edu/insite?page=ar-00-02&amp;param=24&amp;post=4"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arv.ucsf.edu/insite?page=ar-00-02&amp;param=24&amp;post=4" TargetMode="External"/><Relationship Id="rId11" Type="http://schemas.openxmlformats.org/officeDocument/2006/relationships/hyperlink" Target="http://arv.ucsf.edu/insite?page=ar-00-02&amp;param=24&amp;post=4" TargetMode="External"/><Relationship Id="rId24" Type="http://schemas.openxmlformats.org/officeDocument/2006/relationships/hyperlink" Target="http://arv.ucsf.edu/insite?page=ar-00-02&amp;param=24&amp;post=4" TargetMode="External"/><Relationship Id="rId32" Type="http://schemas.openxmlformats.org/officeDocument/2006/relationships/hyperlink" Target="http://arv.ucsf.edu/insite?page=ar-00-02&amp;param=24&amp;post=4" TargetMode="External"/><Relationship Id="rId37" Type="http://schemas.openxmlformats.org/officeDocument/2006/relationships/hyperlink" Target="http://arv.ucsf.edu/insite?page=ar-00-02&amp;param=24&amp;post=4" TargetMode="External"/><Relationship Id="rId40" Type="http://schemas.openxmlformats.org/officeDocument/2006/relationships/hyperlink" Target="http://arv.ucsf.edu/insite?page=ar-00-02&amp;param=24&amp;post=4" TargetMode="External"/><Relationship Id="rId45" Type="http://schemas.openxmlformats.org/officeDocument/2006/relationships/hyperlink" Target="http://arv.ucsf.edu/insite?page=ar-00-02&amp;param=24&amp;post=4" TargetMode="External"/><Relationship Id="rId53" Type="http://schemas.openxmlformats.org/officeDocument/2006/relationships/hyperlink" Target="http://arv.ucsf.edu/insite?page=ar-00-02&amp;param=24&amp;post=4" TargetMode="External"/><Relationship Id="rId58" Type="http://schemas.openxmlformats.org/officeDocument/2006/relationships/hyperlink" Target="http://arv.ucsf.edu/insite?page=ar-00-02&amp;param=24&amp;post=4" TargetMode="External"/><Relationship Id="rId5" Type="http://schemas.openxmlformats.org/officeDocument/2006/relationships/hyperlink" Target="http://arv.ucsf.edu/insite?page=ar-00-02&amp;param=24&amp;post=4" TargetMode="External"/><Relationship Id="rId15" Type="http://schemas.openxmlformats.org/officeDocument/2006/relationships/hyperlink" Target="http://arv.ucsf.edu/insite?page=ar-00-02&amp;param=24&amp;post=4" TargetMode="External"/><Relationship Id="rId23" Type="http://schemas.openxmlformats.org/officeDocument/2006/relationships/hyperlink" Target="http://arv.ucsf.edu/insite?page=ar-00-02&amp;param=24&amp;post=4" TargetMode="External"/><Relationship Id="rId28" Type="http://schemas.openxmlformats.org/officeDocument/2006/relationships/hyperlink" Target="http://arv.ucsf.edu/insite?page=ar-00-02&amp;param=24&amp;post=4" TargetMode="External"/><Relationship Id="rId36" Type="http://schemas.openxmlformats.org/officeDocument/2006/relationships/hyperlink" Target="http://arv.ucsf.edu/insite?page=ar-00-02&amp;param=24&amp;post=4" TargetMode="External"/><Relationship Id="rId49" Type="http://schemas.openxmlformats.org/officeDocument/2006/relationships/hyperlink" Target="http://arv.ucsf.edu/insite?page=ar-00-02&amp;param=24&amp;post=4" TargetMode="External"/><Relationship Id="rId57" Type="http://schemas.openxmlformats.org/officeDocument/2006/relationships/hyperlink" Target="http://arv.ucsf.edu/insite?page=ar-00-02&amp;param=24&amp;post=4" TargetMode="External"/><Relationship Id="rId61" Type="http://schemas.openxmlformats.org/officeDocument/2006/relationships/hyperlink" Target="http://arv.ucsf.edu/insite?page=ar-00-02&amp;param=24&amp;post=4" TargetMode="External"/><Relationship Id="rId10" Type="http://schemas.openxmlformats.org/officeDocument/2006/relationships/hyperlink" Target="http://arv.ucsf.edu/insite?page=ar-00-02&amp;param=24&amp;post=4" TargetMode="External"/><Relationship Id="rId19" Type="http://schemas.openxmlformats.org/officeDocument/2006/relationships/hyperlink" Target="http://arv.ucsf.edu/insite?page=ar-00-02&amp;param=24&amp;post=4" TargetMode="External"/><Relationship Id="rId31" Type="http://schemas.openxmlformats.org/officeDocument/2006/relationships/hyperlink" Target="http://arv.ucsf.edu/insite?page=ar-00-02&amp;param=24&amp;post=4" TargetMode="External"/><Relationship Id="rId44" Type="http://schemas.openxmlformats.org/officeDocument/2006/relationships/hyperlink" Target="http://arv.ucsf.edu/insite?page=ar-00-02&amp;param=24&amp;post=4" TargetMode="External"/><Relationship Id="rId52" Type="http://schemas.openxmlformats.org/officeDocument/2006/relationships/hyperlink" Target="http://arv.ucsf.edu/insite?page=ar-00-02&amp;param=24&amp;post=4" TargetMode="External"/><Relationship Id="rId60" Type="http://schemas.openxmlformats.org/officeDocument/2006/relationships/hyperlink" Target="http://arv.ucsf.edu/insite?page=ar-00-02&amp;param=24&amp;post=4" TargetMode="External"/><Relationship Id="rId4" Type="http://schemas.openxmlformats.org/officeDocument/2006/relationships/hyperlink" Target="http://arv.ucsf.edu/insite?page=ar-00-02&amp;param=24&amp;post=4" TargetMode="External"/><Relationship Id="rId9" Type="http://schemas.openxmlformats.org/officeDocument/2006/relationships/hyperlink" Target="http://arv.ucsf.edu/insite?page=ar-00-02&amp;param=24&amp;post=4" TargetMode="External"/><Relationship Id="rId14" Type="http://schemas.openxmlformats.org/officeDocument/2006/relationships/hyperlink" Target="http://arv.ucsf.edu/insite?page=ar-00-02&amp;param=24&amp;post=4" TargetMode="External"/><Relationship Id="rId22" Type="http://schemas.openxmlformats.org/officeDocument/2006/relationships/hyperlink" Target="http://arv.ucsf.edu/insite?page=ar-00-02&amp;param=24&amp;post=4" TargetMode="External"/><Relationship Id="rId27" Type="http://schemas.openxmlformats.org/officeDocument/2006/relationships/hyperlink" Target="http://arv.ucsf.edu/insite?page=ar-00-02&amp;param=24&amp;post=4" TargetMode="External"/><Relationship Id="rId30" Type="http://schemas.openxmlformats.org/officeDocument/2006/relationships/hyperlink" Target="http://arv.ucsf.edu/insite?page=ar-00-02&amp;param=24&amp;post=4" TargetMode="External"/><Relationship Id="rId35" Type="http://schemas.openxmlformats.org/officeDocument/2006/relationships/hyperlink" Target="http://arv.ucsf.edu/insite?page=ar-00-02&amp;param=24&amp;post=4" TargetMode="External"/><Relationship Id="rId43" Type="http://schemas.openxmlformats.org/officeDocument/2006/relationships/hyperlink" Target="http://arv.ucsf.edu/insite?page=ar-00-02&amp;param=24&amp;post=4" TargetMode="External"/><Relationship Id="rId48" Type="http://schemas.openxmlformats.org/officeDocument/2006/relationships/hyperlink" Target="http://arv.ucsf.edu/insite?page=ar-00-02&amp;param=24&amp;post=4" TargetMode="External"/><Relationship Id="rId56" Type="http://schemas.openxmlformats.org/officeDocument/2006/relationships/hyperlink" Target="http://arv.ucsf.edu/insite?page=ar-00-02&amp;param=24&amp;post=4" TargetMode="External"/><Relationship Id="rId8" Type="http://schemas.openxmlformats.org/officeDocument/2006/relationships/hyperlink" Target="http://arv.ucsf.edu/insite?page=ar-00-02&amp;param=24&amp;post=4" TargetMode="External"/><Relationship Id="rId51" Type="http://schemas.openxmlformats.org/officeDocument/2006/relationships/hyperlink" Target="http://arv.ucsf.edu/insite?page=ar-00-02&amp;param=24&amp;post=4" TargetMode="External"/><Relationship Id="rId3" Type="http://schemas.openxmlformats.org/officeDocument/2006/relationships/webSettings" Target="webSettings.xml"/><Relationship Id="rId12" Type="http://schemas.openxmlformats.org/officeDocument/2006/relationships/hyperlink" Target="http://arv.ucsf.edu/insite?page=ar-00-02&amp;param=24&amp;post=4" TargetMode="External"/><Relationship Id="rId17" Type="http://schemas.openxmlformats.org/officeDocument/2006/relationships/hyperlink" Target="http://arv.ucsf.edu/insite?page=ar-00-02&amp;param=24&amp;post=4" TargetMode="External"/><Relationship Id="rId25" Type="http://schemas.openxmlformats.org/officeDocument/2006/relationships/hyperlink" Target="http://arv.ucsf.edu/insite?page=ar-00-02&amp;param=24&amp;post=4" TargetMode="External"/><Relationship Id="rId33" Type="http://schemas.openxmlformats.org/officeDocument/2006/relationships/hyperlink" Target="http://arv.ucsf.edu/insite?page=ar-00-02&amp;param=24&amp;post=4" TargetMode="External"/><Relationship Id="rId38" Type="http://schemas.openxmlformats.org/officeDocument/2006/relationships/hyperlink" Target="http://arv.ucsf.edu/insite?page=ar-00-02&amp;param=24&amp;post=4" TargetMode="External"/><Relationship Id="rId46" Type="http://schemas.openxmlformats.org/officeDocument/2006/relationships/hyperlink" Target="http://arv.ucsf.edu/insite?page=ar-00-02&amp;param=24&amp;post=4" TargetMode="External"/><Relationship Id="rId59" Type="http://schemas.openxmlformats.org/officeDocument/2006/relationships/hyperlink" Target="http://arv.ucsf.edu/insite?page=ar-00-02&amp;param=24&amp;pos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17</Pages>
  <Words>4299</Words>
  <Characters>24507</Characters>
  <Application>Microsoft Office Word</Application>
  <DocSecurity>0</DocSecurity>
  <Lines>204</Lines>
  <Paragraphs>57</Paragraphs>
  <ScaleCrop>false</ScaleCrop>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Chou</dc:creator>
  <cp:keywords/>
  <dc:description/>
  <cp:lastModifiedBy>Eric Chou</cp:lastModifiedBy>
  <cp:revision>1</cp:revision>
  <dcterms:created xsi:type="dcterms:W3CDTF">2017-01-26T20:47:00Z</dcterms:created>
  <dcterms:modified xsi:type="dcterms:W3CDTF">2017-01-26T20:57:00Z</dcterms:modified>
</cp:coreProperties>
</file>