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C95" w:rsidRPr="005C3C95" w:rsidRDefault="005C3C95" w:rsidP="005C3C9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606060"/>
          <w:sz w:val="24"/>
          <w:szCs w:val="24"/>
        </w:rPr>
      </w:pPr>
      <w:r w:rsidRPr="005C3C95">
        <w:rPr>
          <w:rFonts w:ascii="Arial" w:eastAsia="Times New Roman" w:hAnsi="Arial" w:cs="Arial"/>
          <w:b/>
          <w:bCs/>
          <w:color w:val="606060"/>
          <w:sz w:val="24"/>
          <w:szCs w:val="24"/>
        </w:rPr>
        <w:t>All Interactions with Sta</w:t>
      </w:r>
      <w:bookmarkStart w:id="0" w:name="_GoBack"/>
      <w:bookmarkEnd w:id="0"/>
      <w:r w:rsidRPr="005C3C95">
        <w:rPr>
          <w:rFonts w:ascii="Arial" w:eastAsia="Times New Roman" w:hAnsi="Arial" w:cs="Arial"/>
          <w:b/>
          <w:bCs/>
          <w:color w:val="606060"/>
          <w:sz w:val="24"/>
          <w:szCs w:val="24"/>
        </w:rPr>
        <w:t>vudine (Zerit)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994"/>
        <w:gridCol w:w="910"/>
        <w:gridCol w:w="1231"/>
        <w:gridCol w:w="910"/>
        <w:gridCol w:w="1146"/>
        <w:gridCol w:w="1239"/>
        <w:gridCol w:w="1131"/>
      </w:tblGrid>
      <w:tr w:rsidR="005C3C95" w:rsidRPr="005C3C95" w:rsidTr="005C3C95">
        <w:trPr>
          <w:tblHeader/>
        </w:trPr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3C95" w:rsidRPr="005C3C95" w:rsidRDefault="005C3C95" w:rsidP="005C3C9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3C95" w:rsidRPr="005C3C95" w:rsidRDefault="005C3C95" w:rsidP="005C3C9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3C95" w:rsidRPr="005C3C95" w:rsidRDefault="005C3C95" w:rsidP="005C3C9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Stavudine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3C95" w:rsidRPr="005C3C95" w:rsidRDefault="005C3C95" w:rsidP="005C3C9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3C95" w:rsidRPr="005C3C95" w:rsidRDefault="005C3C95" w:rsidP="005C3C9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Stavudine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3C95" w:rsidRPr="005C3C95" w:rsidRDefault="005C3C95" w:rsidP="005C3C9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3C95" w:rsidRPr="005C3C95" w:rsidRDefault="005C3C95" w:rsidP="005C3C9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3C95" w:rsidRPr="005C3C95" w:rsidRDefault="005C3C95" w:rsidP="005C3C9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5C3C95" w:rsidRPr="005C3C95" w:rsidTr="005C3C9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Atazanavir</w:t>
            </w:r>
            <w:hyperlink r:id="rId4" w:anchor="122" w:history="1">
              <w:r w:rsidRPr="005C3C9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122</w:t>
              </w:r>
            </w:hyperlink>
          </w:p>
          <w:p w:rsidR="005C3C95" w:rsidRPr="005C3C95" w:rsidRDefault="005C3C95" w:rsidP="005C3C95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(ATV)(Reyataz)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x 1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also dosed with didanosine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Atazanavir AUC: decreased 87%; Cmax: decreased 89%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atazanavir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Dose adjustment not established</w:t>
            </w:r>
          </w:p>
        </w:tc>
      </w:tr>
      <w:tr w:rsidR="005C3C95" w:rsidRPr="005C3C95" w:rsidTr="005C3C9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Chlorpropamide</w:t>
            </w:r>
            <w:hyperlink r:id="rId5" w:anchor="469" w:history="1">
              <w:r w:rsidRPr="005C3C9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469</w:t>
              </w:r>
            </w:hyperlink>
          </w:p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(others)(Diabinese)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250 mg x 1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 mg QD x 1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Chlorpropamide AUC: decreased 45%; Cmax: decreased 35%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Potentially increased serum glucose concentrations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Consider alternative agent</w:t>
            </w:r>
          </w:p>
          <w:p w:rsidR="005C3C95" w:rsidRPr="005C3C95" w:rsidRDefault="005C3C95" w:rsidP="005C3C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Alternative Agents</w:t>
            </w: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 </w:t>
            </w: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Glyburide, glipizide, metformin</w:t>
            </w:r>
          </w:p>
        </w:tc>
      </w:tr>
      <w:tr w:rsidR="005C3C95" w:rsidRPr="005C3C95" w:rsidTr="005C3C9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Clarithromycin</w:t>
            </w:r>
            <w:hyperlink r:id="rId6" w:anchor="275" w:history="1">
              <w:r w:rsidRPr="005C3C9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275</w:t>
              </w:r>
            </w:hyperlink>
          </w:p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(Biaxin)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Stavudine AUC: no significant change; Cmax: decreased 15%; Cmin: decreased 41%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C3C95" w:rsidRPr="005C3C95" w:rsidTr="005C3C9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</w:t>
            </w:r>
            <w:hyperlink r:id="rId7" w:anchor="84" w:history="1">
              <w:r w:rsidRPr="005C3C9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84</w:t>
              </w:r>
            </w:hyperlink>
            <w:r w:rsidRPr="005C3C95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8" w:anchor="19" w:history="1">
              <w:r w:rsidRPr="005C3C9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19</w:t>
              </w:r>
            </w:hyperlink>
          </w:p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(ddI)(Videx)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 mg (buffered formulation) x 4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 mg Q12H x 4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Stavudine AUC: no significant change; Cmax: increased 17%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C3C95" w:rsidRPr="005C3C95" w:rsidTr="005C3C9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</w:t>
            </w:r>
            <w:hyperlink r:id="rId9" w:anchor="86" w:history="1">
              <w:r w:rsidRPr="005C3C9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86</w:t>
              </w:r>
            </w:hyperlink>
            <w:r w:rsidRPr="005C3C95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10" w:anchor="87" w:history="1">
              <w:r w:rsidRPr="005C3C9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87</w:t>
              </w:r>
            </w:hyperlink>
          </w:p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(ddI)(Videx)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 mg Q12H x 9 doses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 mg Q12H x 9 doses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C3C95" w:rsidRPr="005C3C95" w:rsidTr="005C3C95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lastRenderedPageBreak/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Stavudine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Stavudine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5C3C95" w:rsidRPr="005C3C95" w:rsidTr="005C3C9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Emtricitabine</w:t>
            </w:r>
            <w:hyperlink r:id="rId11" w:anchor="125" w:history="1">
              <w:r w:rsidRPr="005C3C9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125</w:t>
              </w:r>
            </w:hyperlink>
          </w:p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(FTC)(Emtriva)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C3C95" w:rsidRPr="005C3C95" w:rsidTr="005C3C9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Fluconazole</w:t>
            </w:r>
            <w:hyperlink r:id="rId12" w:anchor="275" w:history="1">
              <w:r w:rsidRPr="005C3C9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275</w:t>
              </w:r>
            </w:hyperlink>
          </w:p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(Diflucan)(Diflucan)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Stavudine AUC: no significant change; Cmax: no significant change; Cmin: increased 25%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C3C95" w:rsidRPr="005C3C95" w:rsidTr="005C3C9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Ganciclovir</w:t>
            </w:r>
            <w:hyperlink r:id="rId13" w:anchor="234" w:history="1">
              <w:r w:rsidRPr="005C3C9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234</w:t>
              </w:r>
            </w:hyperlink>
          </w:p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(Cytovene)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1000 mg Q8H (oral)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 mg Q12H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C3C95" w:rsidRPr="005C3C95" w:rsidTr="005C3C9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Indinavir</w:t>
            </w:r>
            <w:hyperlink r:id="rId14" w:anchor="105" w:history="1">
              <w:r w:rsidRPr="005C3C9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105</w:t>
              </w:r>
            </w:hyperlink>
          </w:p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(IDV)(Crixivan)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800 mg on days 1 and 2, 800 mg indinavir with 200 mg ritonavir BID on days 3-17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Stavudine AUC: increased 24% (with indinavir and ritonavir); AUC: increased 14% (with indinavir alone); Cmax: no significant effect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C3C95" w:rsidRPr="005C3C95" w:rsidTr="005C3C9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Indinavir</w:t>
            </w:r>
            <w:hyperlink r:id="rId15" w:anchor="16" w:history="1">
              <w:r w:rsidRPr="005C3C9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16</w:t>
              </w:r>
            </w:hyperlink>
          </w:p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(IDV)(Crixivan)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800 mg Q8H x 1 week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 mg Q12H x 1 week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Stavudine AUC: increased 25%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C3C95" w:rsidRPr="005C3C95" w:rsidTr="005C3C9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Lamivudine</w:t>
            </w:r>
            <w:hyperlink r:id="rId16" w:anchor="86" w:history="1">
              <w:r w:rsidRPr="005C3C9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86</w:t>
              </w:r>
            </w:hyperlink>
          </w:p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(3TC)(Epivir)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C3C95" w:rsidRPr="005C3C95" w:rsidTr="005C3C95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Stavudine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Stavudine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5C3C95" w:rsidRPr="005C3C95" w:rsidTr="005C3C9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Methadone</w:t>
            </w:r>
            <w:hyperlink r:id="rId17" w:anchor="203" w:history="1">
              <w:r w:rsidRPr="005C3C9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203</w:t>
              </w:r>
            </w:hyperlink>
          </w:p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(Dolophine)(Dolophine)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Stavudine AUC: decreased 23%; Cmax: decreased 44%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stavudine bioavailability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C3C95" w:rsidRPr="005C3C95" w:rsidTr="005C3C9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Nelfinavir</w:t>
            </w:r>
            <w:hyperlink r:id="rId18" w:anchor="86" w:history="1">
              <w:r w:rsidRPr="005C3C9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86</w:t>
              </w:r>
            </w:hyperlink>
          </w:p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(NFV)(Viracept)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C3C95" w:rsidRPr="005C3C95" w:rsidTr="005C3C9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Nelfinavir</w:t>
            </w:r>
            <w:hyperlink r:id="rId19" w:anchor="24" w:history="1">
              <w:r w:rsidRPr="005C3C9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24</w:t>
              </w:r>
            </w:hyperlink>
          </w:p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(NFV)(Viracept)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750 mg TID x 56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 mg to 40 mg BID x 56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C3C95" w:rsidRPr="005C3C95" w:rsidTr="005C3C9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Ribavirin</w:t>
            </w:r>
            <w:hyperlink r:id="rId20" w:anchor="236" w:history="1">
              <w:r w:rsidRPr="005C3C9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236</w:t>
              </w:r>
            </w:hyperlink>
          </w:p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(Rebetol, Virazole)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800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C3C95" w:rsidRPr="005C3C95" w:rsidTr="005C3C9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Rifabutin</w:t>
            </w:r>
            <w:hyperlink r:id="rId21" w:anchor="275" w:history="1">
              <w:r w:rsidRPr="005C3C9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275</w:t>
              </w:r>
            </w:hyperlink>
          </w:p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(Mycobutin)(Mycobutin)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Stavudine AUC: no significant change; Cmax: decreased 30%; Cmin: </w:t>
            </w: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increased 105%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C3C95" w:rsidRPr="005C3C95" w:rsidTr="005C3C9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Tenofovir disoproxil fumarate</w:t>
            </w:r>
            <w:hyperlink r:id="rId22" w:anchor="136" w:history="1">
              <w:r w:rsidRPr="005C3C9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136</w:t>
              </w:r>
            </w:hyperlink>
          </w:p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(TDF)(Viread)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on days 2-9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 mg XR QD on days 1 and 9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C3C95" w:rsidRPr="005C3C95" w:rsidTr="005C3C95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Stavudine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Stavudine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5C3C95" w:rsidRPr="005C3C95" w:rsidTr="005C3C9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Tenofovir disoproxil fumarate</w:t>
            </w:r>
            <w:hyperlink r:id="rId23" w:anchor="12" w:history="1">
              <w:r w:rsidRPr="005C3C9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12</w:t>
              </w:r>
            </w:hyperlink>
          </w:p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(TDF)(Viread)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 mg extended release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C3C95" w:rsidRPr="005C3C95" w:rsidTr="005C3C9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Tipranavir</w:t>
            </w:r>
            <w:hyperlink r:id="rId24" w:anchor="154" w:history="1">
              <w:r w:rsidRPr="005C3C9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154</w:t>
              </w:r>
            </w:hyperlink>
          </w:p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(TPV)(Aptivus)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1250 mg BID with 200 mg ritonavir BID x 23 doses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 mg BID x 43 doses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Stavudine Cmax: decreased 26%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C3C95" w:rsidRPr="005C3C95" w:rsidTr="005C3C9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Tipranavir</w:t>
            </w:r>
            <w:hyperlink r:id="rId25" w:anchor="154" w:history="1">
              <w:r w:rsidRPr="005C3C9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154</w:t>
              </w:r>
            </w:hyperlink>
          </w:p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(TPV)(Aptivus)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250 mg BID with 200 mg ritonavir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C3C95" w:rsidRPr="005C3C95" w:rsidTr="005C3C9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Tipranavir</w:t>
            </w:r>
            <w:hyperlink r:id="rId26" w:anchor="154" w:history="1">
              <w:r w:rsidRPr="005C3C9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154</w:t>
              </w:r>
            </w:hyperlink>
          </w:p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(TPV)(Aptivus)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750 mg BID with 100 mg ritonavir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Stavudine Cmax: decreased 24%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C3C95" w:rsidRPr="005C3C95" w:rsidTr="005C3C9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Zidovudine</w:t>
            </w:r>
            <w:hyperlink r:id="rId27" w:anchor="86" w:history="1">
              <w:r w:rsidRPr="005C3C9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86</w:t>
              </w:r>
            </w:hyperlink>
          </w:p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(AZT, ZDV)(Retrovir)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stavudine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Competitive inhibition of intracellular phosphorylation of stavudine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C3C9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 not coadminister</w:t>
            </w:r>
          </w:p>
        </w:tc>
      </w:tr>
      <w:tr w:rsidR="005C3C95" w:rsidRPr="005C3C95" w:rsidTr="005C3C95">
        <w:tc>
          <w:tcPr>
            <w:tcW w:w="0" w:type="auto"/>
            <w:gridSpan w:val="8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BBBB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3C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"-" indicates that there are no data available</w:t>
            </w:r>
          </w:p>
        </w:tc>
      </w:tr>
    </w:tbl>
    <w:p w:rsidR="005C3C95" w:rsidRPr="005C3C95" w:rsidRDefault="005C3C95" w:rsidP="005C3C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8914"/>
      </w:tblGrid>
      <w:tr w:rsidR="005C3C95" w:rsidRPr="005C3C95" w:rsidTr="005C3C9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C3C95" w:rsidRPr="005C3C95" w:rsidRDefault="005C3C95" w:rsidP="005C3C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" w:name="12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12: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3C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Kaul S, Bassi K, Damle B, et al. Lack of interaction between stavudine extended-release formulation and tenofovir disoproxil fumarate [abstract #534]. 10th Conference on Retroviruses and Opportunistic Infections; 2003 February 10-14; Boston, Massachusetts.</w:t>
            </w:r>
          </w:p>
        </w:tc>
      </w:tr>
      <w:tr w:rsidR="005C3C95" w:rsidRPr="005C3C95" w:rsidTr="005C3C9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C3C95" w:rsidRPr="005C3C95" w:rsidRDefault="005C3C95" w:rsidP="005C3C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" w:name="16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16: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3C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Crixivan [package insert]. Whitehouse Station, NJ: Merck &amp; Co., Inc.; Oct 2005.</w:t>
            </w:r>
          </w:p>
        </w:tc>
      </w:tr>
      <w:tr w:rsidR="005C3C95" w:rsidRPr="005C3C95" w:rsidTr="005C3C9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C3C95" w:rsidRPr="005C3C95" w:rsidRDefault="005C3C95" w:rsidP="005C3C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" w:name="19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19: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3C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Videx [package insert]. Princeton, NJ: Bristol-Myers Squibb Co.; 2003.</w:t>
            </w:r>
          </w:p>
        </w:tc>
      </w:tr>
      <w:tr w:rsidR="005C3C95" w:rsidRPr="005C3C95" w:rsidTr="005C3C9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C3C95" w:rsidRPr="005C3C95" w:rsidRDefault="005C3C95" w:rsidP="005C3C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4" w:name="24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lastRenderedPageBreak/>
              <w:t> </w:t>
            </w:r>
            <w:bookmarkEnd w:id="4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24: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3C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Viracept [package insert]. La Jolla, CA: Agouron Pharmaceuticals, Inc.; Sept 2004.</w:t>
            </w:r>
          </w:p>
        </w:tc>
      </w:tr>
      <w:tr w:rsidR="005C3C95" w:rsidRPr="005C3C95" w:rsidTr="005C3C9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C3C95" w:rsidRPr="005C3C95" w:rsidRDefault="005C3C95" w:rsidP="005C3C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5" w:name="84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5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84: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3C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Videx EC [package insert]. Princeton, NJ: Bristol-Myers Squibb Company; Oct 2005.</w:t>
            </w:r>
          </w:p>
        </w:tc>
      </w:tr>
      <w:tr w:rsidR="005C3C95" w:rsidRPr="005C3C95" w:rsidTr="005C3C9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C3C95" w:rsidRPr="005C3C95" w:rsidRDefault="005C3C95" w:rsidP="005C3C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6" w:name="86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6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86: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3C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Zerit [package insert]. Princeton, NJ: Bristol-Myers Squibb Immunology; Sept 2005.</w:t>
            </w:r>
          </w:p>
        </w:tc>
      </w:tr>
      <w:tr w:rsidR="005C3C95" w:rsidRPr="005C3C95" w:rsidTr="005C3C9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C3C95" w:rsidRPr="005C3C95" w:rsidRDefault="005C3C95" w:rsidP="005C3C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7" w:name="87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7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87: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3C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Seifert RD, Stewart MB, Sramek JJ. Pharmacokinetics of co-administered didanosine and stavudine in HIV-seropositive male patients. Br J Clin Pharmacol 1994;38:405-10.</w:t>
            </w:r>
          </w:p>
        </w:tc>
      </w:tr>
      <w:tr w:rsidR="005C3C95" w:rsidRPr="005C3C95" w:rsidTr="005C3C9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C3C95" w:rsidRPr="005C3C95" w:rsidRDefault="005C3C95" w:rsidP="005C3C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8" w:name="105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8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105: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3C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Kaul S, Agarwala S, Hess, H. et al. The effect of coadministration of indinavir (IDV) and ritonavir (RTV) on the pharmacokinetics of stavudine (d4T). [abstract #A-1825]. 42nd Interscience Conference on Antimicrobial Agents and Chemotherapy; 2002 September 27-30; Chicago, Illinois.</w:t>
            </w:r>
          </w:p>
        </w:tc>
      </w:tr>
      <w:tr w:rsidR="005C3C95" w:rsidRPr="005C3C95" w:rsidTr="005C3C9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C3C95" w:rsidRPr="005C3C95" w:rsidRDefault="005C3C95" w:rsidP="005C3C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9" w:name="122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9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122: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3C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Omara E et al. BMS-232632: A summary of multiple dose pharmacokinetic, food effect and drug interaction studies in healthy subjects [abstract #504]. 7th Conference on Retroviruses and Opportunistic Infections; 2000 Jan 30-Feb 2; San Francisco, California.</w:t>
            </w:r>
          </w:p>
        </w:tc>
      </w:tr>
      <w:tr w:rsidR="005C3C95" w:rsidRPr="005C3C95" w:rsidTr="005C3C9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C3C95" w:rsidRPr="005C3C95" w:rsidRDefault="005C3C95" w:rsidP="005C3C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0" w:name="125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0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125: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3C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Emtriva [package insert]. Foster City, CA: Gilead Sciences, Inc.; Sept 2005.</w:t>
            </w:r>
          </w:p>
        </w:tc>
      </w:tr>
      <w:tr w:rsidR="005C3C95" w:rsidRPr="005C3C95" w:rsidTr="005C3C9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C3C95" w:rsidRPr="005C3C95" w:rsidRDefault="005C3C95" w:rsidP="005C3C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1" w:name="136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1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136: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3C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Kaul S, Bassi K, Damle B, et al. Stavudine extended release formulation and tenofovir disoproxil fumarate: lack of a pharmacokinetic drug interaction [abstract #602]. 11th Conference on Retroviruses and Opportunistic Infections; 2004 Feb 8-11; San Francisco, California.</w:t>
            </w:r>
          </w:p>
        </w:tc>
      </w:tr>
      <w:tr w:rsidR="005C3C95" w:rsidRPr="005C3C95" w:rsidTr="005C3C9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C3C95" w:rsidRPr="005C3C95" w:rsidRDefault="005C3C95" w:rsidP="005C3C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2" w:name="154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2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154: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3C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Aptivus [package insert]. Ridgefield, CT: Boehringer Ingelheim Pharmaceuticals, Inc.; Nov 2005.</w:t>
            </w:r>
          </w:p>
        </w:tc>
      </w:tr>
      <w:tr w:rsidR="005C3C95" w:rsidRPr="005C3C95" w:rsidTr="005C3C9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C3C95" w:rsidRPr="005C3C95" w:rsidRDefault="005C3C95" w:rsidP="005C3C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3" w:name="203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3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203: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3C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Rainey PM, Friedland G, McCance-Katz EF, et al. Interaction of methadone with didanosine and stavudine. J Acquir Immune Defic Syndr 2000;24:241-8.</w:t>
            </w:r>
          </w:p>
        </w:tc>
      </w:tr>
      <w:tr w:rsidR="005C3C95" w:rsidRPr="005C3C95" w:rsidTr="005C3C9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C3C95" w:rsidRPr="005C3C95" w:rsidRDefault="005C3C95" w:rsidP="005C3C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4" w:name="234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4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234: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3C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Jung D, Abdel Hameed MH, Teitelbaum P, et al. The pharmacokinetics and safety profile of oral ganciclovir combined with zalcitabine or stavudine in asymptomatic HIV- and CMV-seropositive patients. J Clin Pharmacol 1999;39:505-12.</w:t>
            </w:r>
          </w:p>
        </w:tc>
      </w:tr>
      <w:tr w:rsidR="005C3C95" w:rsidRPr="005C3C95" w:rsidTr="005C3C9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C3C95" w:rsidRPr="005C3C95" w:rsidRDefault="005C3C95" w:rsidP="005C3C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5" w:name="236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5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236: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3C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Gries J-M, Torriani FJ, Rodriguez-Torres M, et al. Effect of ribavirin on intracellular and plasma pharmacokinetics of nucleoside reverse transcriptase inhibitors in patients with HCV/HIV co-infection: final results of a randomized clinical study [abstract #136LB]. 11th Conference on Retroviruses and Opportunistic Infections; 2004 Feb 8-11; San Francisco, California.</w:t>
            </w:r>
          </w:p>
        </w:tc>
      </w:tr>
      <w:tr w:rsidR="005C3C95" w:rsidRPr="005C3C95" w:rsidTr="005C3C9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C3C95" w:rsidRPr="005C3C95" w:rsidRDefault="005C3C95" w:rsidP="005C3C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6" w:name="275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6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275: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3C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Piscitelli SC, Kelly G, Walker RE, et al. A multiple drug interaction study of stavudine with agents for opportunistic infections in human immunodefieciency virus-infected patients. Antimicrob Agents Chemother 1999;43:647-50.</w:t>
            </w:r>
          </w:p>
        </w:tc>
      </w:tr>
      <w:tr w:rsidR="005C3C95" w:rsidRPr="005C3C95" w:rsidTr="005C3C9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C3C95" w:rsidRPr="005C3C95" w:rsidRDefault="005C3C95" w:rsidP="005C3C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7" w:name="469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7"/>
            <w:r w:rsidRPr="005C3C9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469: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C3C95" w:rsidRPr="005C3C95" w:rsidRDefault="005C3C95" w:rsidP="005C3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3C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Bakare-Odunola MT, Enemaili I, Garba M, et al. The influence of lamivudine, stavudine and nevirapine on the pharmacokinetics of chlorpropamide in human subjects. Eur J Drug Metab Pharmacokinet 2008; 33: 165-71.</w:t>
            </w:r>
          </w:p>
        </w:tc>
      </w:tr>
    </w:tbl>
    <w:p w:rsidR="00244653" w:rsidRDefault="00244653"/>
    <w:sectPr w:rsidR="0024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C95"/>
    <w:rsid w:val="00244653"/>
    <w:rsid w:val="002B2852"/>
    <w:rsid w:val="005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B9C63-670A-4BBA-A19E-51C4839A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brsec1">
    <w:name w:val="kbrsec1"/>
    <w:basedOn w:val="Normal"/>
    <w:rsid w:val="005C3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3C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3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rn">
    <w:name w:val="warn"/>
    <w:basedOn w:val="Normal"/>
    <w:rsid w:val="005C3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C3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8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v.ucsf.edu/insite?page=ar-00-02&amp;param=13&amp;post=4" TargetMode="External"/><Relationship Id="rId13" Type="http://schemas.openxmlformats.org/officeDocument/2006/relationships/hyperlink" Target="http://arv.ucsf.edu/insite?page=ar-00-02&amp;param=13&amp;post=4" TargetMode="External"/><Relationship Id="rId18" Type="http://schemas.openxmlformats.org/officeDocument/2006/relationships/hyperlink" Target="http://arv.ucsf.edu/insite?page=ar-00-02&amp;param=13&amp;post=4" TargetMode="External"/><Relationship Id="rId26" Type="http://schemas.openxmlformats.org/officeDocument/2006/relationships/hyperlink" Target="http://arv.ucsf.edu/insite?page=ar-00-02&amp;param=13&amp;post=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arv.ucsf.edu/insite?page=ar-00-02&amp;param=13&amp;post=4" TargetMode="External"/><Relationship Id="rId7" Type="http://schemas.openxmlformats.org/officeDocument/2006/relationships/hyperlink" Target="http://arv.ucsf.edu/insite?page=ar-00-02&amp;param=13&amp;post=4" TargetMode="External"/><Relationship Id="rId12" Type="http://schemas.openxmlformats.org/officeDocument/2006/relationships/hyperlink" Target="http://arv.ucsf.edu/insite?page=ar-00-02&amp;param=13&amp;post=4" TargetMode="External"/><Relationship Id="rId17" Type="http://schemas.openxmlformats.org/officeDocument/2006/relationships/hyperlink" Target="http://arv.ucsf.edu/insite?page=ar-00-02&amp;param=13&amp;post=4" TargetMode="External"/><Relationship Id="rId25" Type="http://schemas.openxmlformats.org/officeDocument/2006/relationships/hyperlink" Target="http://arv.ucsf.edu/insite?page=ar-00-02&amp;param=13&amp;post=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rv.ucsf.edu/insite?page=ar-00-02&amp;param=13&amp;post=4" TargetMode="External"/><Relationship Id="rId20" Type="http://schemas.openxmlformats.org/officeDocument/2006/relationships/hyperlink" Target="http://arv.ucsf.edu/insite?page=ar-00-02&amp;param=13&amp;post=4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rv.ucsf.edu/insite?page=ar-00-02&amp;param=13&amp;post=4" TargetMode="External"/><Relationship Id="rId11" Type="http://schemas.openxmlformats.org/officeDocument/2006/relationships/hyperlink" Target="http://arv.ucsf.edu/insite?page=ar-00-02&amp;param=13&amp;post=4" TargetMode="External"/><Relationship Id="rId24" Type="http://schemas.openxmlformats.org/officeDocument/2006/relationships/hyperlink" Target="http://arv.ucsf.edu/insite?page=ar-00-02&amp;param=13&amp;post=4" TargetMode="External"/><Relationship Id="rId5" Type="http://schemas.openxmlformats.org/officeDocument/2006/relationships/hyperlink" Target="http://arv.ucsf.edu/insite?page=ar-00-02&amp;param=13&amp;post=4" TargetMode="External"/><Relationship Id="rId15" Type="http://schemas.openxmlformats.org/officeDocument/2006/relationships/hyperlink" Target="http://arv.ucsf.edu/insite?page=ar-00-02&amp;param=13&amp;post=4" TargetMode="External"/><Relationship Id="rId23" Type="http://schemas.openxmlformats.org/officeDocument/2006/relationships/hyperlink" Target="http://arv.ucsf.edu/insite?page=ar-00-02&amp;param=13&amp;post=4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arv.ucsf.edu/insite?page=ar-00-02&amp;param=13&amp;post=4" TargetMode="External"/><Relationship Id="rId19" Type="http://schemas.openxmlformats.org/officeDocument/2006/relationships/hyperlink" Target="http://arv.ucsf.edu/insite?page=ar-00-02&amp;param=13&amp;post=4" TargetMode="External"/><Relationship Id="rId4" Type="http://schemas.openxmlformats.org/officeDocument/2006/relationships/hyperlink" Target="http://arv.ucsf.edu/insite?page=ar-00-02&amp;param=13&amp;post=4" TargetMode="External"/><Relationship Id="rId9" Type="http://schemas.openxmlformats.org/officeDocument/2006/relationships/hyperlink" Target="http://arv.ucsf.edu/insite?page=ar-00-02&amp;param=13&amp;post=4" TargetMode="External"/><Relationship Id="rId14" Type="http://schemas.openxmlformats.org/officeDocument/2006/relationships/hyperlink" Target="http://arv.ucsf.edu/insite?page=ar-00-02&amp;param=13&amp;post=4" TargetMode="External"/><Relationship Id="rId22" Type="http://schemas.openxmlformats.org/officeDocument/2006/relationships/hyperlink" Target="http://arv.ucsf.edu/insite?page=ar-00-02&amp;param=13&amp;post=4" TargetMode="External"/><Relationship Id="rId27" Type="http://schemas.openxmlformats.org/officeDocument/2006/relationships/hyperlink" Target="http://arv.ucsf.edu/insite?page=ar-00-02&amp;param=13&amp;post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1399</Words>
  <Characters>7975</Characters>
  <Application>Microsoft Office Word</Application>
  <DocSecurity>0</DocSecurity>
  <Lines>66</Lines>
  <Paragraphs>18</Paragraphs>
  <ScaleCrop>false</ScaleCrop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Chou</dc:creator>
  <cp:keywords/>
  <dc:description/>
  <cp:lastModifiedBy>Eric Chou</cp:lastModifiedBy>
  <cp:revision>1</cp:revision>
  <dcterms:created xsi:type="dcterms:W3CDTF">2017-01-26T21:05:00Z</dcterms:created>
  <dcterms:modified xsi:type="dcterms:W3CDTF">2017-01-26T21:06:00Z</dcterms:modified>
</cp:coreProperties>
</file>