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Volume 3</w:t>
        <w:br/>
        <w:t>System Design Specification</w:t>
      </w:r>
    </w:p>
    <w:p>
      <w:r>
        <w:rPr>
          <w:i/>
        </w:rPr>
        <w:t>Reference architecture, service domains, data boundaries, and runtime design for the multi-tenant product platform.</w:t>
      </w:r>
    </w:p>
    <w:p>
      <w:r>
        <w:t>Version 1.0</w:t>
        <w:br/>
        <w:t>Prepared: 23 April 2026</w:t>
        <w:br/>
        <w:t>Status: Draft baseline specification</w:t>
      </w:r>
    </w:p>
    <w:p/>
    <w:p>
      <w:pPr>
        <w:pStyle w:val="Heading2"/>
      </w:pPr>
      <w:r>
        <w:t>Purpose</w:t>
      </w:r>
    </w:p>
    <w:p>
      <w:r>
        <w:t>This document provides a formal specification for the product area named in the title. It is intended to be used by product, design, engineering, security, operations, legal, partner, and customer-facing teams as an implementation and governance baseline.</w:t>
      </w:r>
    </w:p>
    <w:p>
      <w:r>
        <w:br w:type="page"/>
      </w:r>
    </w:p>
    <w:p>
      <w:pPr>
        <w:pStyle w:val="Heading2"/>
      </w:pPr>
      <w:r>
        <w:t>Document structure</w:t>
      </w:r>
    </w:p>
    <w:p>
      <w:pPr>
        <w:pStyle w:val="ListNumber"/>
      </w:pPr>
      <w:r>
        <w:t>Executive architecture summary</w:t>
      </w:r>
    </w:p>
    <w:p>
      <w:pPr>
        <w:pStyle w:val="ListNumber"/>
      </w:pPr>
      <w:r>
        <w:t>Architecture principles and scope</w:t>
      </w:r>
    </w:p>
    <w:p>
      <w:pPr>
        <w:pStyle w:val="ListNumber"/>
      </w:pPr>
      <w:r>
        <w:t>Reference logical architecture</w:t>
      </w:r>
    </w:p>
    <w:p>
      <w:pPr>
        <w:pStyle w:val="ListNumber"/>
      </w:pPr>
      <w:r>
        <w:t>Tenant isolation and trust boundaries</w:t>
      </w:r>
    </w:p>
    <w:p>
      <w:pPr>
        <w:pStyle w:val="ListNumber"/>
      </w:pPr>
      <w:r>
        <w:t>Core service domains</w:t>
      </w:r>
    </w:p>
    <w:p>
      <w:pPr>
        <w:pStyle w:val="ListNumber"/>
      </w:pPr>
      <w:r>
        <w:t>Service-to-service communication model</w:t>
      </w:r>
    </w:p>
    <w:p>
      <w:pPr>
        <w:pStyle w:val="ListNumber"/>
      </w:pPr>
      <w:r>
        <w:t>Data architecture and persistence rules</w:t>
      </w:r>
    </w:p>
    <w:p>
      <w:pPr>
        <w:pStyle w:val="ListNumber"/>
      </w:pPr>
      <w:r>
        <w:t>Adapter-based infrastructure architecture</w:t>
      </w:r>
    </w:p>
    <w:p>
      <w:pPr>
        <w:pStyle w:val="ListNumber"/>
      </w:pPr>
      <w:r>
        <w:t>Queue and eventing architecture</w:t>
      </w:r>
    </w:p>
    <w:p>
      <w:pPr>
        <w:pStyle w:val="ListNumber"/>
      </w:pPr>
      <w:r>
        <w:t>Search, cache, and object storage design</w:t>
      </w:r>
    </w:p>
    <w:p>
      <w:pPr>
        <w:pStyle w:val="ListNumber"/>
      </w:pPr>
      <w:r>
        <w:t>Deployment topologies and regional model</w:t>
      </w:r>
    </w:p>
    <w:p>
      <w:pPr>
        <w:pStyle w:val="ListNumber"/>
      </w:pPr>
      <w:r>
        <w:t>Observability, reliability, and SLO design</w:t>
      </w:r>
    </w:p>
    <w:p>
      <w:pPr>
        <w:pStyle w:val="ListNumber"/>
      </w:pPr>
      <w:r>
        <w:t>Scalability and cost guardrails</w:t>
      </w:r>
    </w:p>
    <w:p>
      <w:pPr>
        <w:pStyle w:val="ListNumber"/>
      </w:pPr>
      <w:r>
        <w:t>System risks, trade-offs, and architecture decisions</w:t>
      </w:r>
    </w:p>
    <w:p>
      <w:r>
        <w:br w:type="page"/>
      </w:r>
    </w:p>
    <w:p>
      <w:pPr>
        <w:pStyle w:val="Heading1"/>
      </w:pPr>
      <w:r>
        <w:t>1. Executive architecture summary</w:t>
      </w:r>
    </w:p>
    <w:p>
      <w:r>
        <w:t>The platform is designed as a multi-tenant, service-oriented enterprise product that can run as managed SaaS, private cloud, or self-hosted software. The approved baseline architecture uses bounded services, adapter-based infrastructure integration, strong tenant scoping, API-first composition, and asynchronous coordination through a governed messaging layer.</w:t>
      </w:r>
    </w:p>
    <w:p>
      <w:pPr>
        <w:pStyle w:val="ListBullet"/>
      </w:pPr>
      <w:r>
        <w:t>Shared control-plane with tenant-aware domain services and explicit trust boundaries.</w:t>
      </w:r>
    </w:p>
    <w:p>
      <w:pPr>
        <w:pStyle w:val="ListBullet"/>
      </w:pPr>
      <w:r>
        <w:t>Logical isolation by tenant across storage, cache, search, queues, audit, and analytics surfaces.</w:t>
      </w:r>
    </w:p>
    <w:p>
      <w:pPr>
        <w:pStyle w:val="ListBullet"/>
      </w:pPr>
      <w:r>
        <w:t>Stable internal interfaces for adapters including MySQL/PostgreSQL, S3-compatible storage, Redis, and SQS/Kafka/RabbitMQ.</w:t>
      </w:r>
    </w:p>
    <w:p>
      <w:pPr>
        <w:pStyle w:val="ListBullet"/>
      </w:pPr>
      <w:r>
        <w:t>No cross-service SQL joins; cross-domain composition occurs through APIs, events, read models, or reporting stores.</w:t>
      </w:r>
    </w:p>
    <w:p>
      <w:pPr>
        <w:pStyle w:val="ListBullet"/>
      </w:pPr>
      <w:r>
        <w:t>Installable runtime with bootstrap flows for CDN, database, object storage, cache, and queue adapter selection.</w:t>
      </w:r>
    </w:p>
    <w:p>
      <w:pPr>
        <w:pStyle w:val="Heading1"/>
      </w:pPr>
      <w:r>
        <w:t>2. Architecture principles and scope</w:t>
      </w:r>
    </w:p>
    <w:p>
      <w:pPr>
        <w:pStyle w:val="ListBullet"/>
      </w:pPr>
      <w:r>
        <w:rPr>
          <w:b/>
        </w:rPr>
        <w:t>Primary principles</w:t>
      </w:r>
    </w:p>
    <w:p>
      <w:pPr>
        <w:pStyle w:val="ListBullet2"/>
      </w:pPr>
      <w:r>
        <w:t>Tenant isolation is non-negotiable.</w:t>
      </w:r>
    </w:p>
    <w:p>
      <w:pPr>
        <w:pStyle w:val="ListBullet2"/>
      </w:pPr>
      <w:r>
        <w:t>Core domain logic must remain independent from provider SDKs through adapters.</w:t>
      </w:r>
    </w:p>
    <w:p>
      <w:pPr>
        <w:pStyle w:val="ListBullet2"/>
      </w:pPr>
      <w:r>
        <w:t>Every service owns its own data, migrations, APIs, and observability.</w:t>
      </w:r>
    </w:p>
    <w:p>
      <w:pPr>
        <w:pStyle w:val="ListBullet2"/>
      </w:pPr>
      <w:r>
        <w:t>Every critical action must be auditable and observable.</w:t>
      </w:r>
    </w:p>
    <w:p>
      <w:pPr>
        <w:pStyle w:val="ListBullet2"/>
      </w:pPr>
      <w:r>
        <w:t>Extension capability must be safe, permissioned, and reversible.</w:t>
      </w:r>
    </w:p>
    <w:p>
      <w:pPr>
        <w:pStyle w:val="ListBullet"/>
      </w:pPr>
      <w:r>
        <w:rPr>
          <w:b/>
        </w:rPr>
        <w:t>In scope</w:t>
      </w:r>
    </w:p>
    <w:p>
      <w:pPr>
        <w:pStyle w:val="ListBullet2"/>
      </w:pPr>
      <w:r>
        <w:t>Reference logical architecture and service domains.</w:t>
      </w:r>
    </w:p>
    <w:p>
      <w:pPr>
        <w:pStyle w:val="ListBullet2"/>
      </w:pPr>
      <w:r>
        <w:t>Persistence, queue, cache, search, and object storage design.</w:t>
      </w:r>
    </w:p>
    <w:p>
      <w:pPr>
        <w:pStyle w:val="ListBullet2"/>
      </w:pPr>
      <w:r>
        <w:t>Deployment topology for SaaS and installable editions.</w:t>
      </w:r>
    </w:p>
    <w:p>
      <w:pPr>
        <w:pStyle w:val="ListBullet2"/>
      </w:pPr>
      <w:r>
        <w:t>Reliability, scalability, and cost guardrails.</w:t>
      </w:r>
    </w:p>
    <w:p>
      <w:pPr>
        <w:pStyle w:val="ListBullet"/>
      </w:pPr>
      <w:r>
        <w:rPr>
          <w:b/>
        </w:rPr>
        <w:t>Out of scope</w:t>
      </w:r>
    </w:p>
    <w:p>
      <w:pPr>
        <w:pStyle w:val="ListBullet2"/>
      </w:pPr>
      <w:r>
        <w:t>Detailed UI wireframes and copywriting.</w:t>
      </w:r>
    </w:p>
    <w:p>
      <w:pPr>
        <w:pStyle w:val="ListBullet2"/>
      </w:pPr>
      <w:r>
        <w:t>Commercial pricing tables.</w:t>
      </w:r>
    </w:p>
    <w:p>
      <w:pPr>
        <w:pStyle w:val="ListBullet2"/>
      </w:pPr>
      <w:r>
        <w:t>Vendor procurement details or legal contract language.</w:t>
      </w:r>
    </w:p>
    <w:p>
      <w:pPr>
        <w:pStyle w:val="Heading1"/>
      </w:pPr>
      <w:r>
        <w:t>3. Reference logical architecture</w:t>
      </w:r>
    </w:p>
    <w:p>
      <w:r>
        <w:t>The approved logical architecture contains five layers: experience layer, control plane, domain services, infrastructure adapters, and operations/security plane.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8"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Key components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Experience layer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Human and machine entry points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Public website, product UI, admin console, developer portal, APIs, CLI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Control plane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Policy-aware orchestration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API gateway, auth, routing, tenant context, configuration, entitlement checks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Domain services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Product capabilities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Tenant, identity, billing, audit, workflow, document/domain services, plugins, themes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Infrastructure adapters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Provider abstraction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DB, object storage, cache, queue, email, KMS, search, CDN adapters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Operations/security plane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Reliability and trust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Monitoring, alerting, logs, traces, SIEM, backups, key rotation, incident workflows</w:t>
            </w:r>
          </w:p>
        </w:tc>
      </w:tr>
    </w:tbl>
    <w:p>
      <w:pPr>
        <w:pStyle w:val="Heading1"/>
      </w:pPr>
      <w:r>
        <w:t>4. Tenant isolation and trust boundaries</w:t>
      </w:r>
    </w:p>
    <w:p>
      <w:pPr>
        <w:pStyle w:val="ListBullet"/>
      </w:pPr>
      <w:r>
        <w:t>Every request must resolve tenant context before business logic executes.</w:t>
      </w:r>
    </w:p>
    <w:p>
      <w:pPr>
        <w:pStyle w:val="ListBullet"/>
      </w:pPr>
      <w:r>
        <w:t>Tenant context must propagate through synchronous APIs, async events, caches, search indexes, audit trails, and support tooling.</w:t>
      </w:r>
    </w:p>
    <w:p>
      <w:pPr>
        <w:pStyle w:val="ListBullet"/>
      </w:pPr>
      <w:r>
        <w:t>Search, analytics, and reporting layers must trim by tenant and authorization scope.</w:t>
      </w:r>
    </w:p>
    <w:p>
      <w:pPr>
        <w:pStyle w:val="ListBullet"/>
      </w:pPr>
      <w:r>
        <w:t>Support and break-glass access are separate trust boundaries with explicit approval, duration, and audit requirements.</w:t>
      </w:r>
    </w:p>
    <w:p>
      <w:pPr>
        <w:pStyle w:val="ListBullet"/>
      </w:pPr>
      <w:r>
        <w:t>Plugin execution, theme publishing, and background processing are separate execution boundaries and must never gain implicit platform-wide access.</w:t>
      </w:r>
    </w:p>
    <w:p>
      <w:pPr>
        <w:pStyle w:val="Heading1"/>
      </w:pPr>
      <w:r>
        <w:t>5. Core service domains</w:t>
      </w:r>
    </w:p>
    <w:p>
      <w:r>
        <w:t>The service map may evolve, but the baseline service ownership model is fixed enough to prevent uncontrolled coupling.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7"/>
              </w:rPr>
              <w:t>Service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Primary responsibility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Owned examples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identity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Authentication, sessions, MFA, service identities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identity_users, identity_sessions, identity_service_accounts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tenant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Tenant lifecycle, org hierarchy, configuration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tenant_tenants, tenant_org_units, tenant_settings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billing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Plans, subscriptions, entitlements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billing_subscriptions, billing_entitlements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audit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Immutable event recording and export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audit_events, audit_exports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policy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Authorization and policy evaluation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policy_policies, policy_bindings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plugin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Plugin lifecycle and registry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plugin_plugins, plugin_installs, plugin_permissions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theme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Theme tokens, assets, publish history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theme_themes, theme_revisions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queue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Messaging abstraction and delivery control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queue_messages, queue_consumers, queue_dead_letters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install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Bootstrap state and adapter validation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install_bootstrap_runs, install_adapter_configs</w:t>
            </w:r>
          </w:p>
        </w:tc>
      </w:tr>
    </w:tbl>
    <w:p>
      <w:pPr>
        <w:pStyle w:val="Heading1"/>
      </w:pPr>
      <w:r>
        <w:t>6. Service-to-service communication model</w:t>
      </w:r>
    </w:p>
    <w:p>
      <w:pPr>
        <w:pStyle w:val="ListBullet"/>
      </w:pPr>
      <w:r>
        <w:t>Synchronous composition must use internal APIs or RPC under approved contracts.</w:t>
      </w:r>
    </w:p>
    <w:p>
      <w:pPr>
        <w:pStyle w:val="ListBullet"/>
      </w:pPr>
      <w:r>
        <w:t>Asynchronous work must use the platform queue abstraction, not direct provider-specific logic in domain services.</w:t>
      </w:r>
    </w:p>
    <w:p>
      <w:pPr>
        <w:pStyle w:val="ListBullet"/>
      </w:pPr>
      <w:r>
        <w:t>Read-heavy cross-domain use cases should use BFF aggregation or denormalized read models.</w:t>
      </w:r>
    </w:p>
    <w:p>
      <w:pPr>
        <w:pStyle w:val="ListBullet"/>
      </w:pPr>
      <w:r>
        <w:t>Materialized reporting stores are the approved path for cross-domain analytics.</w:t>
      </w:r>
    </w:p>
    <w:p>
      <w:pPr>
        <w:pStyle w:val="ListBullet"/>
      </w:pPr>
      <w:r>
        <w:t>Correlation IDs, tenant IDs, actor IDs, and request lineage must be preserved across all hops.</w:t>
      </w:r>
    </w:p>
    <w:p>
      <w:pPr>
        <w:pStyle w:val="Heading1"/>
      </w:pPr>
      <w:r>
        <w:t>7. Data architecture and persistence rules</w:t>
      </w:r>
    </w:p>
    <w:p>
      <w:pPr>
        <w:pStyle w:val="ListBullet"/>
      </w:pPr>
      <w:r>
        <w:t>Each service owns its own tables and migration lifecycle.</w:t>
      </w:r>
    </w:p>
    <w:p>
      <w:pPr>
        <w:pStyle w:val="ListBullet"/>
      </w:pPr>
      <w:r>
        <w:t>Tables must be prefixed by service name to make ownership explicit.</w:t>
      </w:r>
    </w:p>
    <w:p>
      <w:pPr>
        <w:pStyle w:val="ListBullet"/>
      </w:pPr>
      <w:r>
        <w:t>No SQL statement may join another service's tables directly.</w:t>
      </w:r>
    </w:p>
    <w:p>
      <w:pPr>
        <w:pStyle w:val="ListBullet"/>
      </w:pPr>
      <w:r>
        <w:t>Cross-service references should be by external identifier, not shared foreign key coupling.</w:t>
      </w:r>
    </w:p>
    <w:p>
      <w:pPr>
        <w:pStyle w:val="ListBullet"/>
      </w:pPr>
      <w:r>
        <w:t>All timestamps are stored in UTC; all entity states are explicit; every persistent entity needs lifecycle and deletion rules.</w:t>
      </w:r>
    </w:p>
    <w:p>
      <w:pPr>
        <w:pStyle w:val="Heading1"/>
      </w:pPr>
      <w:r>
        <w:t>8. Adapter-based infrastructure architecture</w:t>
      </w:r>
    </w:p>
    <w:p>
      <w:r>
        <w:t>Infrastructure dependencies are treated as pluggable adapters behind stable internal contracts. The core product must not encode business logic around provider-specific failure modes unless explicitly documented.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7"/>
              </w:rPr>
              <w:t>Adapter domain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Baseline support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posture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MySQL, PostgreSQL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Choose at install time; contract-tested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Object storage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S3 and S3-compatible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Tenant-aware object namespaces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Cache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Redis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Central cache and selected async helper functions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Queue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SQS, Kafka, RabbitMQ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Selected at install time through queue abstraction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OpenSearch/Elasticsearch or equivalent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Optional per edition; provider hidden behind search API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CDN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Configurable CDN front door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Required for public/static asset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Email / notifications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SMTP and provider adapters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Non-core business logic behind notification interfaces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Secrets / KMS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Cloud KMS or secret manager adapters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Security-sensitive runtime integration</w:t>
            </w:r>
          </w:p>
        </w:tc>
      </w:tr>
    </w:tbl>
    <w:p>
      <w:pPr>
        <w:pStyle w:val="ListBullet"/>
      </w:pPr>
      <w:r>
        <w:t>Each adapter must have a schema, health check, timeout, retry policy, observability hooks, and contract test suite.</w:t>
      </w:r>
    </w:p>
    <w:p>
      <w:pPr>
        <w:pStyle w:val="ListBullet"/>
      </w:pPr>
      <w:r>
        <w:t>Adapter switches must be explicit, documented, and governed; silent provider behavior drift is not acceptable.</w:t>
      </w:r>
    </w:p>
    <w:p>
      <w:pPr>
        <w:pStyle w:val="ListBullet"/>
      </w:pPr>
      <w:r>
        <w:t>Unsupported adapters must fail safely at validation time rather than at runtime under customer load.</w:t>
      </w:r>
    </w:p>
    <w:p>
      <w:pPr>
        <w:pStyle w:val="Heading1"/>
      </w:pPr>
      <w:r>
        <w:t>9. Queue and eventing architecture</w:t>
      </w:r>
    </w:p>
    <w:p>
      <w:pPr>
        <w:pStyle w:val="ListBullet"/>
      </w:pPr>
      <w:r>
        <w:t>The platform must support command/job processing and domain event publication as distinct messaging patterns.</w:t>
      </w:r>
    </w:p>
    <w:p>
      <w:pPr>
        <w:pStyle w:val="ListBullet"/>
      </w:pPr>
      <w:r>
        <w:t>Queue/topic naming must include environment, service domain, and event or job type.</w:t>
      </w:r>
    </w:p>
    <w:p>
      <w:pPr>
        <w:pStyle w:val="ListBullet"/>
      </w:pPr>
      <w:r>
        <w:t>Async processing must support retries, dead-letter paths, poison message handling, replay strategy, and idempotent consumers.</w:t>
      </w:r>
    </w:p>
    <w:p>
      <w:pPr>
        <w:pStyle w:val="ListBullet"/>
      </w:pPr>
      <w:r>
        <w:t>Plugin interaction with async workflows must occur only through approved extension hooks or event contracts.</w:t>
      </w:r>
    </w:p>
    <w:p>
      <w:pPr>
        <w:pStyle w:val="ListBullet"/>
      </w:pPr>
      <w:r>
        <w:t>Queue adapter selection must not change core service business semantics.</w:t>
      </w:r>
    </w:p>
    <w:p>
      <w:pPr>
        <w:pStyle w:val="Heading1"/>
      </w:pPr>
      <w:r>
        <w:t>10. Search, cache, and object storage design</w:t>
      </w:r>
    </w:p>
    <w:p>
      <w:pPr>
        <w:pStyle w:val="ListBullet"/>
      </w:pPr>
      <w:r>
        <w:t>Cache keys must include service and tenant context and must be invalidated by the owning service only.</w:t>
      </w:r>
    </w:p>
    <w:p>
      <w:pPr>
        <w:pStyle w:val="ListBullet"/>
      </w:pPr>
      <w:r>
        <w:t>Object storage must separate originals, derived artifacts, and temporary processing assets; lifecycle rules must be explicit.</w:t>
      </w:r>
    </w:p>
    <w:p>
      <w:pPr>
        <w:pStyle w:val="ListBullet"/>
      </w:pPr>
      <w:r>
        <w:t>Search indexes and reporting stores must be treated as derived stores, never the system of record.</w:t>
      </w:r>
    </w:p>
    <w:p>
      <w:pPr>
        <w:pStyle w:val="ListBullet"/>
      </w:pPr>
      <w:r>
        <w:t>High-risk content processing should be isolated from the main request path and routed through async workers.</w:t>
      </w:r>
    </w:p>
    <w:p>
      <w:pPr>
        <w:pStyle w:val="Heading1"/>
      </w:pPr>
      <w:r>
        <w:t>11. Deployment topologies and regional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8"/>
              </w:rPr>
              <w:t>Topology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Use case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Key notes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Managed SaaS single region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Default standard customers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Shared platform services with strong logical isolation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Managed SaaS multi-region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Regional data residency and premium resilience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Region-bound data planes and coordinated control-plane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Private cloud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Customer-managed cloud account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Same service model with stricter operator boundary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Self-hosted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Customer-controlled runtime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Install guide, compatibility matrix, and upgrade discipline required</w:t>
            </w:r>
          </w:p>
        </w:tc>
      </w:tr>
    </w:tbl>
    <w:p>
      <w:pPr>
        <w:pStyle w:val="ListBullet"/>
      </w:pPr>
      <w:r>
        <w:t>Reference deployments must define ingress, service mesh or equivalent trust boundaries, data stores, queue, cache, and backup flows.</w:t>
      </w:r>
    </w:p>
    <w:p>
      <w:pPr>
        <w:pStyle w:val="ListBullet"/>
      </w:pPr>
      <w:r>
        <w:t>Regional deployment choices must document what remains region-local versus globally coordinated.</w:t>
      </w:r>
    </w:p>
    <w:p>
      <w:pPr>
        <w:pStyle w:val="ListBullet"/>
      </w:pPr>
      <w:r>
        <w:t>Disaster recovery topologies must define RPO/RTO assumptions by edition.</w:t>
      </w:r>
    </w:p>
    <w:p>
      <w:pPr>
        <w:pStyle w:val="Heading1"/>
      </w:pPr>
      <w:r>
        <w:t>12. Observability, reliability, and SLO design</w:t>
      </w:r>
    </w:p>
    <w:p>
      <w:pPr>
        <w:pStyle w:val="ListBullet"/>
      </w:pPr>
      <w:r>
        <w:t>Every critical service must publish logs, metrics, traces, health endpoints, and ownership metadata.</w:t>
      </w:r>
    </w:p>
    <w:p>
      <w:pPr>
        <w:pStyle w:val="ListBullet"/>
      </w:pPr>
      <w:r>
        <w:t>Each critical service must define SLIs for availability, latency, error rate, saturation, and queue backlog where applicable.</w:t>
      </w:r>
    </w:p>
    <w:p>
      <w:pPr>
        <w:pStyle w:val="ListBullet"/>
      </w:pPr>
      <w:r>
        <w:t>Runbooks must describe dependencies, common failure modes, rollback steps, and escalation paths.</w:t>
      </w:r>
    </w:p>
    <w:p>
      <w:pPr>
        <w:pStyle w:val="ListBullet"/>
      </w:pPr>
      <w:r>
        <w:t>Customer-impacting event classes must be standardized: degraded service, partial outage, full outage, tenant-specific incident, dependency outage.</w:t>
      </w:r>
    </w:p>
    <w:p>
      <w:pPr>
        <w:pStyle w:val="Heading1"/>
      </w:pPr>
      <w:r>
        <w:t>13. Scalability and cost guardrails</w:t>
      </w:r>
    </w:p>
    <w:p>
      <w:pPr>
        <w:pStyle w:val="ListBullet"/>
      </w:pPr>
      <w:r>
        <w:t>No feature may materially increase storage, indexing, or message fan-out cost without review.</w:t>
      </w:r>
    </w:p>
    <w:p>
      <w:pPr>
        <w:pStyle w:val="ListBullet"/>
      </w:pPr>
      <w:r>
        <w:t>Hot-tenant and noisy-neighbor controls must exist for request paths, queues, and background workers.</w:t>
      </w:r>
    </w:p>
    <w:p>
      <w:pPr>
        <w:pStyle w:val="ListBullet"/>
      </w:pPr>
      <w:r>
        <w:t>Capacity planning must cover auth load, storage growth, queue throughput, background concurrency, and plugin runtime usage.</w:t>
      </w:r>
    </w:p>
    <w:p>
      <w:pPr>
        <w:pStyle w:val="ListBullet"/>
      </w:pPr>
      <w:r>
        <w:t>Cross-region transfer and self-hosted support burden must be treated as architectural costs, not only finance concerns.</w:t>
      </w:r>
    </w:p>
    <w:p>
      <w:pPr>
        <w:pStyle w:val="Heading1"/>
      </w:pPr>
      <w:r>
        <w:t>14. System risks, trade-offs, and architecture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7"/>
              </w:rPr>
              <w:t>Decision area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Recommended default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Trade-off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Service boundaries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Strict per-domain ownership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More integration orchestration but less accidental coupling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Adapter model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Provider-neutral internal contracts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Slightly more abstraction cost, far better portability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Queue abstraction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Supported adapters behind one internal interface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Need careful contract tests to avoid semantic drift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Installability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Bootstrap-driven with validation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Longer setup surface, much stronger operator experience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Plugins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Sandboxed extension model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Some limits on raw flexibility, better security and supportability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working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Volume 3 — System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