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Volume 6</w:t>
        <w:br/>
        <w:t>Installation and Operations Guide</w:t>
      </w:r>
    </w:p>
    <w:p>
      <w:r>
        <w:rPr>
          <w:i/>
        </w:rPr>
        <w:t>Installation, bootstrap, adapter configuration, upgrade, recovery, monitoring, and day-two operations guidance.</w:t>
      </w:r>
    </w:p>
    <w:p>
      <w:r>
        <w:t>Version 1.0</w:t>
        <w:br/>
        <w:t>Prepared: 23 April 2026</w:t>
        <w:br/>
        <w:t>Status: Draft baseline specification</w:t>
      </w:r>
    </w:p>
    <w:p/>
    <w:p>
      <w:pPr>
        <w:pStyle w:val="Heading2"/>
      </w:pPr>
      <w:r>
        <w:t>Purpose</w:t>
      </w:r>
    </w:p>
    <w:p>
      <w:r>
        <w:t>This document provides a formal specification for the product area named in the title. It is intended to be used by product, design, engineering, security, operations, legal, partner, and customer-facing teams as an implementation and governance baseline.</w:t>
      </w:r>
    </w:p>
    <w:p>
      <w:r>
        <w:br w:type="page"/>
      </w:r>
    </w:p>
    <w:p>
      <w:pPr>
        <w:pStyle w:val="Heading2"/>
      </w:pPr>
      <w:r>
        <w:t>Document structure</w:t>
      </w:r>
    </w:p>
    <w:p>
      <w:pPr>
        <w:pStyle w:val="ListNumber"/>
      </w:pPr>
      <w:r>
        <w:t>Guide purpose and supported deployment models</w:t>
      </w:r>
    </w:p>
    <w:p>
      <w:pPr>
        <w:pStyle w:val="ListNumber"/>
      </w:pPr>
      <w:r>
        <w:t>Prerequisites and environment assumptions</w:t>
      </w:r>
    </w:p>
    <w:p>
      <w:pPr>
        <w:pStyle w:val="ListNumber"/>
      </w:pPr>
      <w:r>
        <w:t>Installation flows</w:t>
      </w:r>
    </w:p>
    <w:p>
      <w:pPr>
        <w:pStyle w:val="ListNumber"/>
      </w:pPr>
      <w:r>
        <w:t>Bootstrap and first-run configuration</w:t>
      </w:r>
    </w:p>
    <w:p>
      <w:pPr>
        <w:pStyle w:val="ListNumber"/>
      </w:pPr>
      <w:r>
        <w:t>Adapter configuration reference</w:t>
      </w:r>
    </w:p>
    <w:p>
      <w:pPr>
        <w:pStyle w:val="ListNumber"/>
      </w:pPr>
      <w:r>
        <w:t>Post-install validation and readiness checks</w:t>
      </w:r>
    </w:p>
    <w:p>
      <w:pPr>
        <w:pStyle w:val="ListNumber"/>
      </w:pPr>
      <w:r>
        <w:t>Operations model and daily runbook expectations</w:t>
      </w:r>
    </w:p>
    <w:p>
      <w:pPr>
        <w:pStyle w:val="ListNumber"/>
      </w:pPr>
      <w:r>
        <w:t>Backup, recovery, and disaster procedures</w:t>
      </w:r>
    </w:p>
    <w:p>
      <w:pPr>
        <w:pStyle w:val="ListNumber"/>
      </w:pPr>
      <w:r>
        <w:t>Upgrade and rollback guidance</w:t>
      </w:r>
    </w:p>
    <w:p>
      <w:pPr>
        <w:pStyle w:val="ListNumber"/>
      </w:pPr>
      <w:r>
        <w:t>Troubleshooting and support boundaries</w:t>
      </w:r>
    </w:p>
    <w:p>
      <w:r>
        <w:br w:type="page"/>
      </w:r>
    </w:p>
    <w:p>
      <w:pPr>
        <w:pStyle w:val="Heading1"/>
      </w:pPr>
      <w:r>
        <w:t>1. Guide purpose and supported deployment models</w:t>
      </w:r>
    </w:p>
    <w:p>
      <w:r>
        <w:t>This guide defines how to install, bootstrap, validate, operate, upgrade, and recover the product across managed SaaS-adjacent, private cloud, and self-hosted deployment modes. Installation is treated as a first-class product experience.</w:t>
      </w:r>
    </w:p>
    <w:p>
      <w:pPr>
        <w:pStyle w:val="ListBullet"/>
      </w:pPr>
      <w:r>
        <w:t>Supported modes: managed SaaS reference, private cloud, self-hosted, source-download or enterprise install where licensed.</w:t>
      </w:r>
    </w:p>
    <w:p>
      <w:pPr>
        <w:pStyle w:val="ListBullet"/>
      </w:pPr>
      <w:r>
        <w:t>The installation guide must always be versioned and aligned to the supported compatibility matrix.</w:t>
      </w:r>
    </w:p>
    <w:p>
      <w:pPr>
        <w:pStyle w:val="ListBullet"/>
      </w:pPr>
      <w:r>
        <w:t>Operators must be able to validate required adapters before system activation.</w:t>
      </w:r>
    </w:p>
    <w:p>
      <w:pPr>
        <w:pStyle w:val="Heading1"/>
      </w:pPr>
      <w:r>
        <w:t>2. Prerequisites and environment assumptions</w:t>
      </w:r>
    </w:p>
    <w:p>
      <w:pPr>
        <w:pStyle w:val="ListBullet"/>
      </w:pPr>
      <w:r>
        <w:t>Supported infrastructure, network routes, TLS posture, secrets model, runtime images, and storage assumptions must be documented.</w:t>
      </w:r>
    </w:p>
    <w:p>
      <w:pPr>
        <w:pStyle w:val="ListBullet"/>
      </w:pPr>
      <w:r>
        <w:t>Operators must know whether the deployment is single-region, multi-region, or restricted-network before installation.</w:t>
      </w:r>
    </w:p>
    <w:p>
      <w:pPr>
        <w:pStyle w:val="ListBullet"/>
      </w:pPr>
      <w:r>
        <w:t>Any unsupported topology or adapter combination must fail at validation time, not after production data enters the system.</w:t>
      </w:r>
    </w:p>
    <w:p>
      <w:pPr>
        <w:pStyle w:val="Heading1"/>
      </w:pPr>
      <w:r>
        <w:t>3. Installation flows</w:t>
      </w:r>
    </w:p>
    <w:p>
      <w:pPr>
        <w:pStyle w:val="ListNumber"/>
      </w:pPr>
      <w:r>
        <w:t>Review deployment model and compatibility matrix.</w:t>
      </w:r>
    </w:p>
    <w:p>
      <w:pPr>
        <w:pStyle w:val="ListNumber"/>
      </w:pPr>
      <w:r>
        <w:t>Provision required infrastructure and secrets.</w:t>
      </w:r>
    </w:p>
    <w:p>
      <w:pPr>
        <w:pStyle w:val="ListNumber"/>
      </w:pPr>
      <w:r>
        <w:t>Run install or bootstrap command/UI/API.</w:t>
      </w:r>
    </w:p>
    <w:p>
      <w:pPr>
        <w:pStyle w:val="ListNumber"/>
      </w:pPr>
      <w:r>
        <w:t>Validate adapters: CDN, database, object storage, cache, queue.</w:t>
      </w:r>
    </w:p>
    <w:p>
      <w:pPr>
        <w:pStyle w:val="ListNumber"/>
      </w:pPr>
      <w:r>
        <w:t>Create initial admin identity and security baseline.</w:t>
      </w:r>
    </w:p>
    <w:p>
      <w:pPr>
        <w:pStyle w:val="ListNumber"/>
      </w:pPr>
      <w:r>
        <w:t>Run migrations and service health checks.</w:t>
      </w:r>
    </w:p>
    <w:p>
      <w:pPr>
        <w:pStyle w:val="ListNumber"/>
      </w:pPr>
      <w:r>
        <w:t>Complete post-install validation and handoff to operational monitoring.</w:t>
      </w:r>
    </w:p>
    <w:p>
      <w:pPr>
        <w:pStyle w:val="Heading1"/>
      </w:pPr>
      <w:r>
        <w:t>4. Bootstrap and first-run configuration</w:t>
      </w:r>
    </w:p>
    <w:p>
      <w:pPr>
        <w:pStyle w:val="ListBullet"/>
      </w:pPr>
      <w:r>
        <w:t>CDN: base URL, asset routing, caching and invalidation expectations.</w:t>
      </w:r>
    </w:p>
    <w:p>
      <w:pPr>
        <w:pStyle w:val="ListBullet"/>
      </w:pPr>
      <w:r>
        <w:t>Database: choose MySQL or PostgreSQL, configure TLS, pool, credentials, migrations.</w:t>
      </w:r>
    </w:p>
    <w:p>
      <w:pPr>
        <w:pStyle w:val="ListBullet"/>
      </w:pPr>
      <w:r>
        <w:t>Object storage: configure S3 or S3-compatible endpoint, region, bucket policy, encryption, lifecycle settings.</w:t>
      </w:r>
    </w:p>
    <w:p>
      <w:pPr>
        <w:pStyle w:val="ListBullet"/>
      </w:pPr>
      <w:r>
        <w:t>Cache: configure Redis endpoint, TLS, namespaces, and eviction compatibility.</w:t>
      </w:r>
    </w:p>
    <w:p>
      <w:pPr>
        <w:pStyle w:val="ListBullet"/>
      </w:pPr>
      <w:r>
        <w:t>Queue: choose SQS, Kafka, or RabbitMQ and validate full connectivity and dead-letter support.</w:t>
      </w:r>
    </w:p>
    <w:p>
      <w:pPr>
        <w:pStyle w:val="Heading1"/>
      </w:pPr>
      <w:r>
        <w:t>5. Adapter configuration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7"/>
              </w:rPr>
              <w:t>Adapter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Required settings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Validation expectations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CDN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Base URL, asset path, cache policy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Route test, cache invalidation check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MySQL/PostgreSQL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Host, DB, user, TLS, pool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Connectivity, migration readiness, permissions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S3/object storage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Bucket, region, endpoint, auth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Read/write test, encryption compatibility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Redis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Endpoint, auth, TLS, namespace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Cache set/get, namespace isolation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SQS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Region, queue prefix, auth, DLQ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Publish/consume, visibility timeout, DLQ test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Kafka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Brokers, SASL/TLS, topics, groups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Produce/consume, ACL test, retention check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RabbitMQ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Host, vhost, exchanges, routes, auth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Publish/consume, dead-letter configuration test</w:t>
            </w:r>
          </w:p>
        </w:tc>
      </w:tr>
    </w:tbl>
    <w:p>
      <w:pPr>
        <w:pStyle w:val="Heading1"/>
      </w:pPr>
      <w:r>
        <w:t>6. Post-install validation and readiness checks</w:t>
      </w:r>
    </w:p>
    <w:p>
      <w:pPr>
        <w:pStyle w:val="ListBullet"/>
      </w:pPr>
      <w:r>
        <w:t>All services healthy and reporting version/build metadata.</w:t>
      </w:r>
    </w:p>
    <w:p>
      <w:pPr>
        <w:pStyle w:val="ListBullet"/>
      </w:pPr>
      <w:r>
        <w:t>Admin login, MFA/SSO baseline, and tenant context validation successful.</w:t>
      </w:r>
    </w:p>
    <w:p>
      <w:pPr>
        <w:pStyle w:val="ListBullet"/>
      </w:pPr>
      <w:r>
        <w:t>Audit trail writes, cache behavior, object storage read/write, and queue round-trip test successful.</w:t>
      </w:r>
    </w:p>
    <w:p>
      <w:pPr>
        <w:pStyle w:val="ListBullet"/>
      </w:pPr>
      <w:r>
        <w:t>Critical background jobs, notifications, and plugin/theme services disabled by default unless intentionally enabled.</w:t>
      </w:r>
    </w:p>
    <w:p>
      <w:pPr>
        <w:pStyle w:val="ListBullet"/>
      </w:pPr>
      <w:r>
        <w:t>Monitoring, tracing, and alert routing verified before go-live.</w:t>
      </w:r>
    </w:p>
    <w:p>
      <w:pPr>
        <w:pStyle w:val="Heading1"/>
      </w:pPr>
      <w:r>
        <w:t>7. Operations model and daily runbook expectations</w:t>
      </w:r>
    </w:p>
    <w:p>
      <w:pPr>
        <w:pStyle w:val="ListBullet"/>
      </w:pPr>
      <w:r>
        <w:t>Every service requires a runbook covering dashboards, dependencies, common incidents, rollback steps, and escalation path.</w:t>
      </w:r>
    </w:p>
    <w:p>
      <w:pPr>
        <w:pStyle w:val="ListBullet"/>
      </w:pPr>
      <w:r>
        <w:t>Daily or routine operations include health review, backlog review, queue lag review, failed job review, and audit of privileged actions.</w:t>
      </w:r>
    </w:p>
    <w:p>
      <w:pPr>
        <w:pStyle w:val="ListBullet"/>
      </w:pPr>
      <w:r>
        <w:t>Support tooling must respect least privilege, explicit tenant selection, and temporary elevation policy.</w:t>
      </w:r>
    </w:p>
    <w:p>
      <w:pPr>
        <w:pStyle w:val="ListBullet"/>
      </w:pPr>
      <w:r>
        <w:t>Self-hosted support boundaries must clearly distinguish product defect, operator misconfiguration, and unsupported environment issues.</w:t>
      </w:r>
    </w:p>
    <w:p>
      <w:pPr>
        <w:pStyle w:val="Heading1"/>
      </w:pPr>
      <w:r>
        <w:t>8. Backup, recovery, and disaster procedures</w:t>
      </w:r>
    </w:p>
    <w:p>
      <w:pPr>
        <w:pStyle w:val="ListBullet"/>
      </w:pPr>
      <w:r>
        <w:t>Backups must include system-of-record stores and essential configuration required for recovery.</w:t>
      </w:r>
    </w:p>
    <w:p>
      <w:pPr>
        <w:pStyle w:val="ListBullet"/>
      </w:pPr>
      <w:r>
        <w:t>Recovery procedures must be tested, not merely documented.</w:t>
      </w:r>
    </w:p>
    <w:p>
      <w:pPr>
        <w:pStyle w:val="ListBullet"/>
      </w:pPr>
      <w:r>
        <w:t>Restore workflows must specify expected data freshness, tenant impact, and required post-restore validation.</w:t>
      </w:r>
    </w:p>
    <w:p>
      <w:pPr>
        <w:pStyle w:val="ListBullet"/>
      </w:pPr>
      <w:r>
        <w:t>Disaster procedures must define RPO, RTO, regional failover assumptions, and operator responsibilities.</w:t>
      </w:r>
    </w:p>
    <w:p>
      <w:pPr>
        <w:pStyle w:val="Heading1"/>
      </w:pPr>
      <w:r>
        <w:t>9. Upgrade and rollback guidance</w:t>
      </w:r>
    </w:p>
    <w:p>
      <w:pPr>
        <w:pStyle w:val="ListBullet"/>
      </w:pPr>
      <w:r>
        <w:t>Every release must publish upgrade notes, migration notes, known incompatibilities, and rollback expectations.</w:t>
      </w:r>
    </w:p>
    <w:p>
      <w:pPr>
        <w:pStyle w:val="ListBullet"/>
      </w:pPr>
      <w:r>
        <w:t>Self-hosted upgrades must define supported source versions, plugin/theme compatibility expectations, and queue adapter migration notes where relevant.</w:t>
      </w:r>
    </w:p>
    <w:p>
      <w:pPr>
        <w:pStyle w:val="ListBullet"/>
      </w:pPr>
      <w:r>
        <w:t>Schema migrations must be observable, testable, and recoverable or reversible as appropriate.</w:t>
      </w:r>
    </w:p>
    <w:p>
      <w:pPr>
        <w:pStyle w:val="ListBullet"/>
      </w:pPr>
      <w:r>
        <w:t>Unsafe in-place changes must be explicitly flagged and gated.</w:t>
      </w:r>
    </w:p>
    <w:p>
      <w:pPr>
        <w:pStyle w:val="Heading1"/>
      </w:pPr>
      <w:r>
        <w:t>10. Troubleshooting and support boundaries</w:t>
      </w:r>
    </w:p>
    <w:p>
      <w:pPr>
        <w:pStyle w:val="ListBullet"/>
      </w:pPr>
      <w:r>
        <w:t>Troubleshooting guidance must cover auth, DB connectivity, object storage, Redis, queue adapters, plugin runtime, and theme publishing issues.</w:t>
      </w:r>
    </w:p>
    <w:p>
      <w:pPr>
        <w:pStyle w:val="ListBullet"/>
      </w:pPr>
      <w:r>
        <w:t>Install failures must capture structured diagnostics without leaking secrets.</w:t>
      </w:r>
    </w:p>
    <w:p>
      <w:pPr>
        <w:pStyle w:val="ListBullet"/>
      </w:pPr>
      <w:r>
        <w:t>The guide must define what the product team supports versus what remains operator-owned in self-hosted or private-cloud deployments.</w:t>
      </w:r>
    </w:p>
    <w:p>
      <w:pPr>
        <w:pStyle w:val="ListBullet"/>
      </w:pPr>
      <w:r>
        <w:t>Emergency support access requires break-glass approval and audit.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working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Volume 6 — Installation and Operations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