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BHARAT TRUST EXCHANGE</w:t>
      </w:r>
    </w:p>
    <w:p>
      <w:pPr>
        <w:jc w:val="center"/>
      </w:pPr>
      <w:r>
        <w:rPr>
          <w:color w:val="505050"/>
          <w:sz w:val="26"/>
        </w:rPr>
        <w:t>BTX | Federated trust for lawful, auditable, cloud-agnostic data exchange</w:t>
      </w:r>
    </w:p>
    <w:p/>
    <w:p/>
    <w:tbl>
      <w:tblPr>
        <w:tblW w:type="auto" w:w="0"/>
        <w:jc w:val="center"/>
        <w:tblLook w:firstColumn="1" w:firstRow="1" w:lastColumn="0" w:lastRow="0" w:noHBand="0" w:noVBand="1" w:val="04A0"/>
        <w:tblBorders>
          <w:top w:val="single" w:sz="8" w:space="0" w:color="9FBAD1"/>
          <w:left w:val="single" w:sz="8" w:space="0" w:color="9FBAD1"/>
          <w:bottom w:val="single" w:sz="8" w:space="0" w:color="9FBAD1"/>
          <w:right w:val="single" w:sz="8" w:space="0" w:color="9FBAD1"/>
          <w:insideH w:val="single" w:sz="8" w:space="0" w:color="9FBAD1"/>
          <w:insideV w:val="single" w:sz="8" w:space="0" w:color="9FBAD1"/>
        </w:tblBorders>
      </w:tblPr>
      <w:tblGrid>
        <w:gridCol w:w="10368"/>
      </w:tblGrid>
      <w:tr>
        <w:tc>
          <w:tcPr>
            <w:tcW w:type="dxa" w:w="10368"/>
            <w:shd w:fill="DDEBF7"/>
          </w:tcPr>
          <w:p>
            <w:pPr>
              <w:spacing w:after="0"/>
            </w:pPr>
            <w:r>
              <w:rPr>
                <w:b/>
                <w:color w:val="17365D"/>
                <w:sz w:val="20"/>
              </w:rPr>
              <w:t>10/10 Review Board Edition - Business Requirement Document, Architecture Pack and Governance Control Annexures</w:t>
            </w:r>
          </w:p>
        </w:tc>
        <w:trPr>
          <w:tblHeader/>
        </w:trPr>
      </w:tr>
    </w:tbl>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cantSplit/>
          <w:tblHeader/>
        </w:trPr>
        <w:tc>
          <w:tcPr>
            <w:tcW w:type="dxa" w:w="2880"/>
            <w:vAlign w:val="top"/>
            <w:shd w:fill="17365D"/>
          </w:tcPr>
          <w:p>
            <w:pPr>
              <w:spacing w:after="0"/>
            </w:pPr>
            <w:r/>
            <w:r>
              <w:rPr>
                <w:b/>
                <w:color w:val="FFFFFF"/>
                <w:sz w:val="18"/>
              </w:rPr>
              <w:t>Field</w:t>
            </w:r>
          </w:p>
        </w:tc>
        <w:tc>
          <w:tcPr>
            <w:tcW w:type="dxa" w:w="8352"/>
            <w:vAlign w:val="top"/>
            <w:shd w:fill="17365D"/>
          </w:tcPr>
          <w:p>
            <w:pPr>
              <w:spacing w:after="0"/>
            </w:pPr>
            <w:r/>
            <w:r>
              <w:rPr>
                <w:b/>
                <w:color w:val="FFFFFF"/>
                <w:sz w:val="18"/>
              </w:rPr>
              <w:t>Value</w:t>
            </w:r>
          </w:p>
        </w:tc>
      </w:tr>
      <w:tr>
        <w:trPr>
          <w:cantSplit/>
        </w:trPr>
        <w:tc>
          <w:tcPr>
            <w:tcW w:type="dxa" w:w="2880"/>
            <w:vAlign w:val="top"/>
          </w:tcPr>
          <w:p>
            <w:pPr>
              <w:spacing w:after="0"/>
            </w:pPr>
            <w:r/>
            <w:r>
              <w:rPr>
                <w:b w:val="0"/>
                <w:sz w:val="18"/>
              </w:rPr>
              <w:t>Product name</w:t>
            </w:r>
          </w:p>
        </w:tc>
        <w:tc>
          <w:tcPr>
            <w:tcW w:type="dxa" w:w="8352"/>
            <w:vAlign w:val="top"/>
          </w:tcPr>
          <w:p>
            <w:pPr>
              <w:spacing w:after="0"/>
            </w:pPr>
            <w:r/>
            <w:r>
              <w:rPr>
                <w:b w:val="0"/>
                <w:sz w:val="18"/>
              </w:rPr>
              <w:t>Bharat Trust Exchange (BTX)</w:t>
            </w:r>
          </w:p>
        </w:tc>
      </w:tr>
      <w:tr>
        <w:trPr>
          <w:cantSplit/>
        </w:trPr>
        <w:tc>
          <w:tcPr>
            <w:tcW w:type="dxa" w:w="2880"/>
            <w:vAlign w:val="top"/>
          </w:tcPr>
          <w:p>
            <w:pPr>
              <w:spacing w:after="0"/>
            </w:pPr>
            <w:r/>
            <w:r>
              <w:rPr>
                <w:b w:val="0"/>
                <w:sz w:val="18"/>
              </w:rPr>
              <w:t>Document type</w:t>
            </w:r>
          </w:p>
        </w:tc>
        <w:tc>
          <w:tcPr>
            <w:tcW w:type="dxa" w:w="8352"/>
            <w:vAlign w:val="top"/>
          </w:tcPr>
          <w:p>
            <w:pPr>
              <w:spacing w:after="0"/>
            </w:pPr>
            <w:r/>
            <w:r>
              <w:rPr>
                <w:b w:val="0"/>
                <w:sz w:val="18"/>
              </w:rPr>
              <w:t>World-class BRD + review-board architecture pack</w:t>
            </w:r>
          </w:p>
        </w:tc>
      </w:tr>
      <w:tr>
        <w:trPr>
          <w:cantSplit/>
        </w:trPr>
        <w:tc>
          <w:tcPr>
            <w:tcW w:type="dxa" w:w="2880"/>
            <w:vAlign w:val="top"/>
          </w:tcPr>
          <w:p>
            <w:pPr>
              <w:spacing w:after="0"/>
            </w:pPr>
            <w:r/>
            <w:r>
              <w:rPr>
                <w:b w:val="0"/>
                <w:sz w:val="18"/>
              </w:rPr>
              <w:t>Version</w:t>
            </w:r>
          </w:p>
        </w:tc>
        <w:tc>
          <w:tcPr>
            <w:tcW w:type="dxa" w:w="8352"/>
            <w:vAlign w:val="top"/>
          </w:tcPr>
          <w:p>
            <w:pPr>
              <w:spacing w:after="0"/>
            </w:pPr>
            <w:r/>
            <w:r>
              <w:rPr>
                <w:b w:val="0"/>
                <w:sz w:val="18"/>
              </w:rPr>
              <w:t>2.0 - 10/10 review edition</w:t>
            </w:r>
          </w:p>
        </w:tc>
      </w:tr>
      <w:tr>
        <w:trPr>
          <w:cantSplit/>
        </w:trPr>
        <w:tc>
          <w:tcPr>
            <w:tcW w:type="dxa" w:w="2880"/>
            <w:vAlign w:val="top"/>
          </w:tcPr>
          <w:p>
            <w:pPr>
              <w:spacing w:after="0"/>
            </w:pPr>
            <w:r/>
            <w:r>
              <w:rPr>
                <w:b w:val="0"/>
                <w:sz w:val="18"/>
              </w:rPr>
              <w:t>Prepared for</w:t>
            </w:r>
          </w:p>
        </w:tc>
        <w:tc>
          <w:tcPr>
            <w:tcW w:type="dxa" w:w="8352"/>
            <w:vAlign w:val="top"/>
          </w:tcPr>
          <w:p>
            <w:pPr>
              <w:spacing w:after="0"/>
            </w:pPr>
            <w:r/>
            <w:r>
              <w:rPr>
                <w:b w:val="0"/>
                <w:sz w:val="18"/>
              </w:rPr>
              <w:t>Digital India / national and state platform leadership</w:t>
            </w:r>
          </w:p>
        </w:tc>
      </w:tr>
      <w:tr>
        <w:trPr>
          <w:cantSplit/>
        </w:trPr>
        <w:tc>
          <w:tcPr>
            <w:tcW w:type="dxa" w:w="2880"/>
            <w:vAlign w:val="top"/>
          </w:tcPr>
          <w:p>
            <w:pPr>
              <w:spacing w:after="0"/>
            </w:pPr>
            <w:r/>
            <w:r>
              <w:rPr>
                <w:b w:val="0"/>
                <w:sz w:val="18"/>
              </w:rPr>
              <w:t>Prepared by</w:t>
            </w:r>
          </w:p>
        </w:tc>
        <w:tc>
          <w:tcPr>
            <w:tcW w:type="dxa" w:w="8352"/>
            <w:vAlign w:val="top"/>
          </w:tcPr>
          <w:p>
            <w:pPr>
              <w:spacing w:after="0"/>
            </w:pPr>
            <w:r/>
            <w:r>
              <w:rPr>
                <w:b w:val="0"/>
                <w:sz w:val="18"/>
              </w:rPr>
              <w:t>Debabrata Nayak with ChatGPT support</w:t>
            </w:r>
          </w:p>
        </w:tc>
      </w:tr>
      <w:tr>
        <w:trPr>
          <w:cantSplit/>
        </w:trPr>
        <w:tc>
          <w:tcPr>
            <w:tcW w:type="dxa" w:w="2880"/>
            <w:vAlign w:val="top"/>
          </w:tcPr>
          <w:p>
            <w:pPr>
              <w:spacing w:after="0"/>
            </w:pPr>
            <w:r/>
            <w:r>
              <w:rPr>
                <w:b w:val="0"/>
                <w:sz w:val="18"/>
              </w:rPr>
              <w:t>Date</w:t>
            </w:r>
          </w:p>
        </w:tc>
        <w:tc>
          <w:tcPr>
            <w:tcW w:type="dxa" w:w="8352"/>
            <w:vAlign w:val="top"/>
          </w:tcPr>
          <w:p>
            <w:pPr>
              <w:spacing w:after="0"/>
            </w:pPr>
            <w:r/>
            <w:r>
              <w:rPr>
                <w:b w:val="0"/>
                <w:sz w:val="18"/>
              </w:rPr>
              <w:t>16 May 2026</w:t>
            </w:r>
          </w:p>
        </w:tc>
      </w:tr>
      <w:tr>
        <w:trPr>
          <w:cantSplit/>
        </w:trPr>
        <w:tc>
          <w:tcPr>
            <w:tcW w:type="dxa" w:w="2880"/>
            <w:vAlign w:val="top"/>
          </w:tcPr>
          <w:p>
            <w:pPr>
              <w:spacing w:after="0"/>
            </w:pPr>
            <w:r/>
            <w:r>
              <w:rPr>
                <w:b w:val="0"/>
                <w:sz w:val="18"/>
              </w:rPr>
              <w:t>Confidentiality</w:t>
            </w:r>
          </w:p>
        </w:tc>
        <w:tc>
          <w:tcPr>
            <w:tcW w:type="dxa" w:w="8352"/>
            <w:vAlign w:val="top"/>
          </w:tcPr>
          <w:p>
            <w:pPr>
              <w:spacing w:after="0"/>
            </w:pPr>
            <w:r/>
            <w:r>
              <w:rPr>
                <w:b w:val="0"/>
                <w:sz w:val="18"/>
              </w:rPr>
              <w:t>Confidential working document - for policy, architecture, security, privacy and procurement review</w:t>
            </w:r>
          </w:p>
        </w:tc>
      </w:tr>
    </w:tbl>
    <w:p/>
    <w:p/>
    <w:tbl>
      <w:tblPr>
        <w:tblW w:type="auto" w:w="0"/>
        <w:jc w:val="center"/>
        <w:tblLook w:firstColumn="1" w:firstRow="1" w:lastColumn="0" w:lastRow="0" w:noHBand="0" w:noVBand="1" w:val="04A0"/>
        <w:tblBorders>
          <w:top w:val="single" w:sz="8" w:space="0" w:color="9FBAD1"/>
          <w:left w:val="single" w:sz="8" w:space="0" w:color="9FBAD1"/>
          <w:bottom w:val="single" w:sz="8" w:space="0" w:color="9FBAD1"/>
          <w:right w:val="single" w:sz="8" w:space="0" w:color="9FBAD1"/>
          <w:insideH w:val="single" w:sz="8" w:space="0" w:color="9FBAD1"/>
          <w:insideV w:val="single" w:sz="8" w:space="0" w:color="9FBAD1"/>
        </w:tblBorders>
      </w:tblPr>
      <w:tblGrid>
        <w:gridCol w:w="10368"/>
      </w:tblGrid>
      <w:tr>
        <w:tc>
          <w:tcPr>
            <w:tcW w:type="dxa" w:w="10368"/>
            <w:shd w:fill="E2F0D9"/>
          </w:tcPr>
          <w:p>
            <w:pPr>
              <w:spacing w:after="0"/>
            </w:pPr>
            <w:r>
              <w:rPr>
                <w:b/>
                <w:color w:val="17365D"/>
                <w:sz w:val="20"/>
              </w:rPr>
              <w:t>Leadership thesis: Do not centralise government data. Centralise trust, standards, policy, observability and audit. Federate exchange through certified BTX Trust Nodes controlled by departments and states.</w:t>
            </w:r>
          </w:p>
        </w:tc>
        <w:trPr>
          <w:tblHeader/>
        </w:trPr>
      </w:tr>
    </w:tbl>
    <w:p>
      <w:r>
        <w:br w:type="page"/>
      </w:r>
    </w:p>
    <w:p>
      <w:pPr>
        <w:pStyle w:val="Heading1"/>
      </w:pPr>
      <w:r>
        <w:t>Document control</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cantSplit/>
          <w:tblHeader/>
        </w:trPr>
        <w:tc>
          <w:tcPr>
            <w:tcW w:type="dxa" w:w="2304"/>
            <w:vAlign w:val="top"/>
            <w:shd w:fill="17365D"/>
          </w:tcPr>
          <w:p>
            <w:pPr>
              <w:spacing w:after="0"/>
            </w:pPr>
            <w:r/>
            <w:r>
              <w:rPr>
                <w:b/>
                <w:color w:val="FFFFFF"/>
                <w:sz w:val="17"/>
              </w:rPr>
              <w:t>Item</w:t>
            </w:r>
          </w:p>
        </w:tc>
        <w:tc>
          <w:tcPr>
            <w:tcW w:type="dxa" w:w="8928"/>
            <w:vAlign w:val="top"/>
            <w:shd w:fill="17365D"/>
          </w:tcPr>
          <w:p>
            <w:pPr>
              <w:spacing w:after="0"/>
            </w:pPr>
            <w:r/>
            <w:r>
              <w:rPr>
                <w:b/>
                <w:color w:val="FFFFFF"/>
                <w:sz w:val="17"/>
              </w:rPr>
              <w:t>Detail</w:t>
            </w:r>
          </w:p>
        </w:tc>
      </w:tr>
      <w:tr>
        <w:trPr>
          <w:cantSplit/>
        </w:trPr>
        <w:tc>
          <w:tcPr>
            <w:tcW w:type="dxa" w:w="2304"/>
            <w:vAlign w:val="top"/>
          </w:tcPr>
          <w:p>
            <w:pPr>
              <w:spacing w:after="0"/>
            </w:pPr>
            <w:r/>
            <w:r>
              <w:rPr>
                <w:b w:val="0"/>
                <w:sz w:val="17"/>
              </w:rPr>
              <w:t>Purpose</w:t>
            </w:r>
          </w:p>
        </w:tc>
        <w:tc>
          <w:tcPr>
            <w:tcW w:type="dxa" w:w="8928"/>
            <w:vAlign w:val="top"/>
          </w:tcPr>
          <w:p>
            <w:pPr>
              <w:spacing w:after="0"/>
            </w:pPr>
            <w:r/>
            <w:r>
              <w:rPr>
                <w:b w:val="0"/>
                <w:sz w:val="17"/>
              </w:rPr>
              <w:t>Define the business, functional, technical, security, privacy, governance, procurement and rollout requirements for BTX as a national-scale trusted data exchange product.</w:t>
            </w:r>
          </w:p>
        </w:tc>
      </w:tr>
      <w:tr>
        <w:trPr>
          <w:cantSplit/>
        </w:trPr>
        <w:tc>
          <w:tcPr>
            <w:tcW w:type="dxa" w:w="2304"/>
            <w:vAlign w:val="top"/>
          </w:tcPr>
          <w:p>
            <w:pPr>
              <w:spacing w:after="0"/>
            </w:pPr>
            <w:r/>
            <w:r>
              <w:rPr>
                <w:b w:val="0"/>
                <w:sz w:val="17"/>
              </w:rPr>
              <w:t>Audience</w:t>
            </w:r>
          </w:p>
        </w:tc>
        <w:tc>
          <w:tcPr>
            <w:tcW w:type="dxa" w:w="8928"/>
            <w:vAlign w:val="top"/>
          </w:tcPr>
          <w:p>
            <w:pPr>
              <w:spacing w:after="0"/>
            </w:pPr>
            <w:r/>
            <w:r>
              <w:rPr>
                <w:b w:val="0"/>
                <w:sz w:val="17"/>
              </w:rPr>
              <w:t>Senior leadership, architecture review board, platform owners, security teams, policy and legal teams, privacy teams, procurement teams, implementation partners and state/department product teams.</w:t>
            </w:r>
          </w:p>
        </w:tc>
      </w:tr>
      <w:tr>
        <w:trPr>
          <w:cantSplit/>
        </w:trPr>
        <w:tc>
          <w:tcPr>
            <w:tcW w:type="dxa" w:w="2304"/>
            <w:vAlign w:val="top"/>
          </w:tcPr>
          <w:p>
            <w:pPr>
              <w:spacing w:after="0"/>
            </w:pPr>
            <w:r/>
            <w:r>
              <w:rPr>
                <w:b w:val="0"/>
                <w:sz w:val="17"/>
              </w:rPr>
              <w:t>Status</w:t>
            </w:r>
          </w:p>
        </w:tc>
        <w:tc>
          <w:tcPr>
            <w:tcW w:type="dxa" w:w="8928"/>
            <w:vAlign w:val="top"/>
          </w:tcPr>
          <w:p>
            <w:pPr>
              <w:spacing w:after="0"/>
            </w:pPr>
            <w:r/>
            <w:r>
              <w:rPr>
                <w:b w:val="0"/>
                <w:sz w:val="17"/>
              </w:rPr>
              <w:t>Concept upgraded from v1.0 BRD to 10/10 review-board pack. Subject to legal validation, security review and pilot evidence.</w:t>
            </w:r>
          </w:p>
        </w:tc>
      </w:tr>
      <w:tr>
        <w:trPr>
          <w:cantSplit/>
        </w:trPr>
        <w:tc>
          <w:tcPr>
            <w:tcW w:type="dxa" w:w="2304"/>
            <w:vAlign w:val="top"/>
          </w:tcPr>
          <w:p>
            <w:pPr>
              <w:spacing w:after="0"/>
            </w:pPr>
            <w:r/>
            <w:r>
              <w:rPr>
                <w:b w:val="0"/>
                <w:sz w:val="17"/>
              </w:rPr>
              <w:t>Decision requested</w:t>
            </w:r>
          </w:p>
        </w:tc>
        <w:tc>
          <w:tcPr>
            <w:tcW w:type="dxa" w:w="8928"/>
            <w:vAlign w:val="top"/>
          </w:tcPr>
          <w:p>
            <w:pPr>
              <w:spacing w:after="0"/>
            </w:pPr>
            <w:r/>
            <w:r>
              <w:rPr>
                <w:b w:val="0"/>
                <w:sz w:val="17"/>
              </w:rPr>
              <w:t>Approve BTX as a cloud-agnostic reference product architecture and proceed to funded MVP with conformance gates.</w:t>
            </w:r>
          </w:p>
        </w:tc>
      </w:tr>
      <w:tr>
        <w:trPr>
          <w:cantSplit/>
        </w:trPr>
        <w:tc>
          <w:tcPr>
            <w:tcW w:type="dxa" w:w="2304"/>
            <w:vAlign w:val="top"/>
          </w:tcPr>
          <w:p>
            <w:pPr>
              <w:spacing w:after="0"/>
            </w:pPr>
            <w:r/>
            <w:r>
              <w:rPr>
                <w:b w:val="0"/>
                <w:sz w:val="17"/>
              </w:rPr>
              <w:t>Important caveat</w:t>
            </w:r>
          </w:p>
        </w:tc>
        <w:tc>
          <w:tcPr>
            <w:tcW w:type="dxa" w:w="8928"/>
            <w:vAlign w:val="top"/>
          </w:tcPr>
          <w:p>
            <w:pPr>
              <w:spacing w:after="0"/>
            </w:pPr>
            <w:r/>
            <w:r>
              <w:rPr>
                <w:b w:val="0"/>
                <w:sz w:val="17"/>
              </w:rPr>
              <w:t>A review board score can never be guaranteed in advance. This pack is designed to meet a 10/10 bar by including the artefacts reviewers normally require.</w:t>
            </w:r>
          </w:p>
        </w:tc>
      </w:tr>
    </w:tbl>
    <w:p>
      <w:pPr>
        <w:pStyle w:val="Heading2"/>
      </w:pPr>
      <w:r>
        <w:t>What changed from v1.0 to v2.0</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cantSplit/>
          <w:tblHeader/>
        </w:trPr>
        <w:tc>
          <w:tcPr>
            <w:tcW w:type="dxa" w:w="2736"/>
            <w:vAlign w:val="top"/>
            <w:shd w:fill="17365D"/>
          </w:tcPr>
          <w:p>
            <w:pPr>
              <w:spacing w:after="0"/>
            </w:pPr>
            <w:r/>
            <w:r>
              <w:rPr>
                <w:b/>
                <w:color w:val="FFFFFF"/>
                <w:sz w:val="17"/>
              </w:rPr>
              <w:t>Upgrade area</w:t>
            </w:r>
          </w:p>
        </w:tc>
        <w:tc>
          <w:tcPr>
            <w:tcW w:type="dxa" w:w="8496"/>
            <w:vAlign w:val="top"/>
            <w:shd w:fill="17365D"/>
          </w:tcPr>
          <w:p>
            <w:pPr>
              <w:spacing w:after="0"/>
            </w:pPr>
            <w:r/>
            <w:r>
              <w:rPr>
                <w:b/>
                <w:color w:val="FFFFFF"/>
                <w:sz w:val="17"/>
              </w:rPr>
              <w:t>Added to reach 10/10 review readiness</w:t>
            </w:r>
          </w:p>
        </w:tc>
      </w:tr>
      <w:tr>
        <w:trPr>
          <w:cantSplit/>
        </w:trPr>
        <w:tc>
          <w:tcPr>
            <w:tcW w:type="dxa" w:w="2736"/>
            <w:vAlign w:val="top"/>
          </w:tcPr>
          <w:p>
            <w:pPr>
              <w:spacing w:after="0"/>
            </w:pPr>
            <w:r/>
            <w:r>
              <w:rPr>
                <w:b w:val="0"/>
                <w:sz w:val="17"/>
              </w:rPr>
              <w:t>Threat model</w:t>
            </w:r>
          </w:p>
        </w:tc>
        <w:tc>
          <w:tcPr>
            <w:tcW w:type="dxa" w:w="8496"/>
            <w:vAlign w:val="top"/>
          </w:tcPr>
          <w:p>
            <w:pPr>
              <w:spacing w:after="0"/>
            </w:pPr>
            <w:r/>
            <w:r>
              <w:rPr>
                <w:b w:val="0"/>
                <w:sz w:val="17"/>
              </w:rPr>
              <w:t>STRIDE-style threat scenarios, trust boundaries, attack paths, mitigations and evidence requirements.</w:t>
            </w:r>
          </w:p>
        </w:tc>
      </w:tr>
      <w:tr>
        <w:trPr>
          <w:cantSplit/>
        </w:trPr>
        <w:tc>
          <w:tcPr>
            <w:tcW w:type="dxa" w:w="2736"/>
            <w:vAlign w:val="top"/>
          </w:tcPr>
          <w:p>
            <w:pPr>
              <w:spacing w:after="0"/>
            </w:pPr>
            <w:r/>
            <w:r>
              <w:rPr>
                <w:b w:val="0"/>
                <w:sz w:val="17"/>
              </w:rPr>
              <w:t>Privacy and DPIA</w:t>
            </w:r>
          </w:p>
        </w:tc>
        <w:tc>
          <w:tcPr>
            <w:tcW w:type="dxa" w:w="8496"/>
            <w:vAlign w:val="top"/>
          </w:tcPr>
          <w:p>
            <w:pPr>
              <w:spacing w:after="0"/>
            </w:pPr>
            <w:r/>
            <w:r>
              <w:rPr>
                <w:b w:val="0"/>
                <w:sz w:val="17"/>
              </w:rPr>
              <w:t>Data protection impact assessment template, lawful-use checklist, minimisation rules, retention controls and citizen safeguards.</w:t>
            </w:r>
          </w:p>
        </w:tc>
      </w:tr>
      <w:tr>
        <w:trPr>
          <w:cantSplit/>
        </w:trPr>
        <w:tc>
          <w:tcPr>
            <w:tcW w:type="dxa" w:w="2736"/>
            <w:vAlign w:val="top"/>
          </w:tcPr>
          <w:p>
            <w:pPr>
              <w:spacing w:after="0"/>
            </w:pPr>
            <w:r/>
            <w:r>
              <w:rPr>
                <w:b w:val="0"/>
                <w:sz w:val="17"/>
              </w:rPr>
              <w:t>Cloud blueprints</w:t>
            </w:r>
          </w:p>
        </w:tc>
        <w:tc>
          <w:tcPr>
            <w:tcW w:type="dxa" w:w="8496"/>
            <w:vAlign w:val="top"/>
          </w:tcPr>
          <w:p>
            <w:pPr>
              <w:spacing w:after="0"/>
            </w:pPr>
            <w:r/>
            <w:r>
              <w:rPr>
                <w:b w:val="0"/>
                <w:sz w:val="17"/>
              </w:rPr>
              <w:t>Cloud-agnostic core architecture plus certified deployment patterns for NIC/MeghRaj, state/private cloud, AWS, Azure, GCP and hybrid.</w:t>
            </w:r>
          </w:p>
        </w:tc>
      </w:tr>
      <w:tr>
        <w:trPr>
          <w:cantSplit/>
        </w:trPr>
        <w:tc>
          <w:tcPr>
            <w:tcW w:type="dxa" w:w="2736"/>
            <w:vAlign w:val="top"/>
          </w:tcPr>
          <w:p>
            <w:pPr>
              <w:spacing w:after="0"/>
            </w:pPr>
            <w:r/>
            <w:r>
              <w:rPr>
                <w:b w:val="0"/>
                <w:sz w:val="17"/>
              </w:rPr>
              <w:t>Conformance suite</w:t>
            </w:r>
          </w:p>
        </w:tc>
        <w:tc>
          <w:tcPr>
            <w:tcW w:type="dxa" w:w="8496"/>
            <w:vAlign w:val="top"/>
          </w:tcPr>
          <w:p>
            <w:pPr>
              <w:spacing w:after="0"/>
            </w:pPr>
            <w:r/>
            <w:r>
              <w:rPr>
                <w:b w:val="0"/>
                <w:sz w:val="17"/>
              </w:rPr>
              <w:t>Deployment, security, policy, audit, portability, accessibility and DR test cases with pass/fail evidence.</w:t>
            </w:r>
          </w:p>
        </w:tc>
      </w:tr>
      <w:tr>
        <w:trPr>
          <w:cantSplit/>
        </w:trPr>
        <w:tc>
          <w:tcPr>
            <w:tcW w:type="dxa" w:w="2736"/>
            <w:vAlign w:val="top"/>
          </w:tcPr>
          <w:p>
            <w:pPr>
              <w:spacing w:after="0"/>
            </w:pPr>
            <w:r/>
            <w:r>
              <w:rPr>
                <w:b w:val="0"/>
                <w:sz w:val="17"/>
              </w:rPr>
              <w:t>RACI and operating model</w:t>
            </w:r>
          </w:p>
        </w:tc>
        <w:tc>
          <w:tcPr>
            <w:tcW w:type="dxa" w:w="8496"/>
            <w:vAlign w:val="top"/>
          </w:tcPr>
          <w:p>
            <w:pPr>
              <w:spacing w:after="0"/>
            </w:pPr>
            <w:r/>
            <w:r>
              <w:rPr>
                <w:b w:val="0"/>
                <w:sz w:val="17"/>
              </w:rPr>
              <w:t>Formal accountability matrix across national authority, state authority, provider, requester, data steward, security, privacy and cloud operator.</w:t>
            </w:r>
          </w:p>
        </w:tc>
      </w:tr>
      <w:tr>
        <w:trPr>
          <w:cantSplit/>
        </w:trPr>
        <w:tc>
          <w:tcPr>
            <w:tcW w:type="dxa" w:w="2736"/>
            <w:vAlign w:val="top"/>
          </w:tcPr>
          <w:p>
            <w:pPr>
              <w:spacing w:after="0"/>
            </w:pPr>
            <w:r/>
            <w:r>
              <w:rPr>
                <w:b w:val="0"/>
                <w:sz w:val="17"/>
              </w:rPr>
              <w:t>API and audit schemas</w:t>
            </w:r>
          </w:p>
        </w:tc>
        <w:tc>
          <w:tcPr>
            <w:tcW w:type="dxa" w:w="8496"/>
            <w:vAlign w:val="top"/>
          </w:tcPr>
          <w:p>
            <w:pPr>
              <w:spacing w:after="0"/>
            </w:pPr>
            <w:r/>
            <w:r>
              <w:rPr>
                <w:b w:val="0"/>
                <w:sz w:val="17"/>
              </w:rPr>
              <w:t>Sample OpenAPI pattern, policy decision contract and canonical audit event schema.</w:t>
            </w:r>
          </w:p>
        </w:tc>
      </w:tr>
      <w:tr>
        <w:trPr>
          <w:cantSplit/>
        </w:trPr>
        <w:tc>
          <w:tcPr>
            <w:tcW w:type="dxa" w:w="2736"/>
            <w:vAlign w:val="top"/>
          </w:tcPr>
          <w:p>
            <w:pPr>
              <w:spacing w:after="0"/>
            </w:pPr>
            <w:r/>
            <w:r>
              <w:rPr>
                <w:b w:val="0"/>
                <w:sz w:val="17"/>
              </w:rPr>
              <w:t>Security control mapping</w:t>
            </w:r>
          </w:p>
        </w:tc>
        <w:tc>
          <w:tcPr>
            <w:tcW w:type="dxa" w:w="8496"/>
            <w:vAlign w:val="top"/>
          </w:tcPr>
          <w:p>
            <w:pPr>
              <w:spacing w:after="0"/>
            </w:pPr>
            <w:r/>
            <w:r>
              <w:rPr>
                <w:b w:val="0"/>
                <w:sz w:val="17"/>
              </w:rPr>
              <w:t>Mapping to DPDP obligations, NIST zero trust, OWASP API Security, ISO/IEC 27001-style controls, GIGW/WCAG accessibility and W3C VC patterns.</w:t>
            </w:r>
          </w:p>
        </w:tc>
      </w:tr>
      <w:tr>
        <w:trPr>
          <w:cantSplit/>
        </w:trPr>
        <w:tc>
          <w:tcPr>
            <w:tcW w:type="dxa" w:w="2736"/>
            <w:vAlign w:val="top"/>
          </w:tcPr>
          <w:p>
            <w:pPr>
              <w:spacing w:after="0"/>
            </w:pPr>
            <w:r/>
            <w:r>
              <w:rPr>
                <w:b w:val="0"/>
                <w:sz w:val="17"/>
              </w:rPr>
              <w:t>Procurement gates</w:t>
            </w:r>
          </w:p>
        </w:tc>
        <w:tc>
          <w:tcPr>
            <w:tcW w:type="dxa" w:w="8496"/>
            <w:vAlign w:val="top"/>
          </w:tcPr>
          <w:p>
            <w:pPr>
              <w:spacing w:after="0"/>
            </w:pPr>
            <w:r/>
            <w:r>
              <w:rPr>
                <w:b w:val="0"/>
                <w:sz w:val="17"/>
              </w:rPr>
              <w:t>RFP clauses, vendor exit rules, source escrow/open-source preference, cloud adapter separation and acceptance gates.</w:t>
            </w:r>
          </w:p>
        </w:tc>
      </w:tr>
      <w:tr>
        <w:trPr>
          <w:cantSplit/>
        </w:trPr>
        <w:tc>
          <w:tcPr>
            <w:tcW w:type="dxa" w:w="2736"/>
            <w:vAlign w:val="top"/>
          </w:tcPr>
          <w:p>
            <w:pPr>
              <w:spacing w:after="0"/>
            </w:pPr>
            <w:r/>
            <w:r>
              <w:rPr>
                <w:b w:val="0"/>
                <w:sz w:val="17"/>
              </w:rPr>
              <w:t>Cost model</w:t>
            </w:r>
          </w:p>
        </w:tc>
        <w:tc>
          <w:tcPr>
            <w:tcW w:type="dxa" w:w="8496"/>
            <w:vAlign w:val="top"/>
          </w:tcPr>
          <w:p>
            <w:pPr>
              <w:spacing w:after="0"/>
            </w:pPr>
            <w:r/>
            <w:r>
              <w:rPr>
                <w:b w:val="0"/>
                <w:sz w:val="17"/>
              </w:rPr>
              <w:t>TCO categories, drivers, optimisation levers and funding model options.</w:t>
            </w:r>
          </w:p>
        </w:tc>
      </w:tr>
      <w:tr>
        <w:trPr>
          <w:cantSplit/>
        </w:trPr>
        <w:tc>
          <w:tcPr>
            <w:tcW w:type="dxa" w:w="2736"/>
            <w:vAlign w:val="top"/>
          </w:tcPr>
          <w:p>
            <w:pPr>
              <w:spacing w:after="0"/>
            </w:pPr>
            <w:r/>
            <w:r>
              <w:rPr>
                <w:b w:val="0"/>
                <w:sz w:val="17"/>
              </w:rPr>
              <w:t>Pilot pack</w:t>
            </w:r>
          </w:p>
        </w:tc>
        <w:tc>
          <w:tcPr>
            <w:tcW w:type="dxa" w:w="8496"/>
            <w:vAlign w:val="top"/>
          </w:tcPr>
          <w:p>
            <w:pPr>
              <w:spacing w:after="0"/>
            </w:pPr>
            <w:r/>
            <w:r>
              <w:rPr>
                <w:b w:val="0"/>
                <w:sz w:val="17"/>
              </w:rPr>
              <w:t>MVP service selection criteria, sample pilot journeys, success metrics and go/no-go gates.</w:t>
            </w:r>
          </w:p>
        </w:tc>
      </w:tr>
    </w:tbl>
    <w:p>
      <w:r>
        <w:br w:type="page"/>
      </w:r>
    </w:p>
    <w:p>
      <w:pPr>
        <w:pStyle w:val="Heading1"/>
      </w:pPr>
      <w:r>
        <w:t>Table of contents</w:t>
      </w:r>
    </w:p>
    <w:p>
      <w:pPr>
        <w:pStyle w:val="ListBullet"/>
      </w:pPr>
      <w:r>
        <w:t>1. Executive summary</w:t>
      </w:r>
    </w:p>
    <w:p>
      <w:pPr>
        <w:pStyle w:val="ListBullet"/>
      </w:pPr>
      <w:r>
        <w:t>2. 10/10 review scorecard</w:t>
      </w:r>
    </w:p>
    <w:p>
      <w:pPr>
        <w:pStyle w:val="ListBullet"/>
      </w:pPr>
      <w:r>
        <w:t>3. Brand and product positioning</w:t>
      </w:r>
    </w:p>
    <w:p>
      <w:pPr>
        <w:pStyle w:val="ListBullet"/>
      </w:pPr>
      <w:r>
        <w:t>4. Problem statement and business case</w:t>
      </w:r>
    </w:p>
    <w:p>
      <w:pPr>
        <w:pStyle w:val="ListBullet"/>
      </w:pPr>
      <w:r>
        <w:t>5. Vision, objectives and principles</w:t>
      </w:r>
    </w:p>
    <w:p>
      <w:pPr>
        <w:pStyle w:val="ListBullet"/>
      </w:pPr>
      <w:r>
        <w:t>6. Scope and non-scope</w:t>
      </w:r>
    </w:p>
    <w:p>
      <w:pPr>
        <w:pStyle w:val="ListBullet"/>
      </w:pPr>
      <w:r>
        <w:t>7. Stakeholders and personas</w:t>
      </w:r>
    </w:p>
    <w:p>
      <w:pPr>
        <w:pStyle w:val="ListBullet"/>
      </w:pPr>
      <w:r>
        <w:t>8. Target operating model</w:t>
      </w:r>
    </w:p>
    <w:p>
      <w:pPr>
        <w:pStyle w:val="ListBullet"/>
      </w:pPr>
      <w:r>
        <w:t>9. Cloud-agnostic reference architecture</w:t>
      </w:r>
    </w:p>
    <w:p>
      <w:pPr>
        <w:pStyle w:val="ListBullet"/>
      </w:pPr>
      <w:r>
        <w:t>10. Business capabilities</w:t>
      </w:r>
    </w:p>
    <w:p>
      <w:pPr>
        <w:pStyle w:val="ListBullet"/>
      </w:pPr>
      <w:r>
        <w:t>11. Functional requirements</w:t>
      </w:r>
    </w:p>
    <w:p>
      <w:pPr>
        <w:pStyle w:val="ListBullet"/>
      </w:pPr>
      <w:r>
        <w:t>12. Non-functional requirements</w:t>
      </w:r>
    </w:p>
    <w:p>
      <w:pPr>
        <w:pStyle w:val="ListBullet"/>
      </w:pPr>
      <w:r>
        <w:t>13. Data governance and privacy model</w:t>
      </w:r>
    </w:p>
    <w:p>
      <w:pPr>
        <w:pStyle w:val="ListBullet"/>
      </w:pPr>
      <w:r>
        <w:t>14. Security architecture</w:t>
      </w:r>
    </w:p>
    <w:p>
      <w:pPr>
        <w:pStyle w:val="ListBullet"/>
      </w:pPr>
      <w:r>
        <w:t>15. Interoperability and integration</w:t>
      </w:r>
    </w:p>
    <w:p>
      <w:pPr>
        <w:pStyle w:val="ListBullet"/>
      </w:pPr>
      <w:r>
        <w:t>16. Operational workflows</w:t>
      </w:r>
    </w:p>
    <w:p>
      <w:pPr>
        <w:pStyle w:val="ListBullet"/>
      </w:pPr>
      <w:r>
        <w:t>17. Implementation roadmap</w:t>
      </w:r>
    </w:p>
    <w:p>
      <w:pPr>
        <w:pStyle w:val="ListBullet"/>
      </w:pPr>
      <w:r>
        <w:t>18. Success metrics</w:t>
      </w:r>
    </w:p>
    <w:p>
      <w:pPr>
        <w:pStyle w:val="ListBullet"/>
      </w:pPr>
      <w:r>
        <w:t>19. Risk register</w:t>
      </w:r>
    </w:p>
    <w:p>
      <w:pPr>
        <w:pStyle w:val="ListBullet"/>
      </w:pPr>
      <w:r>
        <w:t>20. Acceptance criteria</w:t>
      </w:r>
    </w:p>
    <w:p>
      <w:pPr>
        <w:pStyle w:val="ListBullet"/>
      </w:pPr>
      <w:r>
        <w:t>21. Procurement and implementation guardrails</w:t>
      </w:r>
    </w:p>
    <w:p>
      <w:pPr>
        <w:pStyle w:val="ListBullet"/>
      </w:pPr>
      <w:r>
        <w:t>22. Architecture decision records</w:t>
      </w:r>
    </w:p>
    <w:p>
      <w:pPr>
        <w:pStyle w:val="ListBullet"/>
      </w:pPr>
      <w:r>
        <w:t>23. Annexure A - Threat model</w:t>
      </w:r>
    </w:p>
    <w:p>
      <w:pPr>
        <w:pStyle w:val="ListBullet"/>
      </w:pPr>
      <w:r>
        <w:t>24. Annexure B - Privacy impact assessment</w:t>
      </w:r>
    </w:p>
    <w:p>
      <w:pPr>
        <w:pStyle w:val="ListBullet"/>
      </w:pPr>
      <w:r>
        <w:t>25. Annexure C - Cloud deployment blueprints</w:t>
      </w:r>
    </w:p>
    <w:p>
      <w:pPr>
        <w:pStyle w:val="ListBullet"/>
      </w:pPr>
      <w:r>
        <w:t>26. Annexure D - Conformance test suite</w:t>
      </w:r>
    </w:p>
    <w:p>
      <w:pPr>
        <w:pStyle w:val="ListBullet"/>
      </w:pPr>
      <w:r>
        <w:t>27. Annexure E - API, policy and audit schemas</w:t>
      </w:r>
    </w:p>
    <w:p>
      <w:pPr>
        <w:pStyle w:val="ListBullet"/>
      </w:pPr>
      <w:r>
        <w:t>28. Annexure F - RACI matrix</w:t>
      </w:r>
    </w:p>
    <w:p>
      <w:pPr>
        <w:pStyle w:val="ListBullet"/>
      </w:pPr>
      <w:r>
        <w:t>29. Annexure G - Cost and operating model</w:t>
      </w:r>
    </w:p>
    <w:p>
      <w:pPr>
        <w:pStyle w:val="ListBullet"/>
      </w:pPr>
      <w:r>
        <w:t>30. Annexure H - MVP pilot pack</w:t>
      </w:r>
    </w:p>
    <w:p>
      <w:pPr>
        <w:pStyle w:val="ListBullet"/>
      </w:pPr>
      <w:r>
        <w:t>31. Annexure I - Standards and control mapping</w:t>
      </w:r>
    </w:p>
    <w:p>
      <w:pPr>
        <w:pStyle w:val="ListBullet"/>
      </w:pPr>
      <w:r>
        <w:t>32. Annexure J - Glossary and references</w:t>
      </w:r>
    </w:p>
    <w:p>
      <w:r>
        <w:br w:type="page"/>
      </w:r>
    </w:p>
    <w:p>
      <w:pPr>
        <w:pStyle w:val="Heading1"/>
      </w:pPr>
      <w:r>
        <w:t>1. Executive summary</w:t>
      </w:r>
    </w:p>
    <w:p>
      <w:pPr>
        <w:spacing w:after="100"/>
      </w:pPr>
      <w:r>
        <w:t>Bharat Trust Exchange (BTX) is a proposed cloud-agnostic trust fabric for lawful, auditable and citizen-centric data exchange across central ministries, state departments, public platforms and authorised ecosystems. BTX is designed to make government data reusable without creating a central mega-database of citizen records.</w:t>
      </w:r>
    </w:p>
    <w:p>
      <w:pPr>
        <w:spacing w:after="100"/>
      </w:pPr>
      <w:r>
        <w:t>BTX is not a generic API gateway, data lake or document repository. It is the governance, trust, identity, policy, cryptographic assurance, audit and conformance layer that allows existing systems, API Setu, DigiLocker, state exchanges, wallets, verifiable credentials and legacy applications to work together responsibly.</w:t>
      </w:r>
    </w:p>
    <w:tbl>
      <w:tblPr>
        <w:tblW w:type="auto" w:w="0"/>
        <w:jc w:val="center"/>
        <w:tblLook w:firstColumn="1" w:firstRow="1" w:lastColumn="0" w:lastRow="0" w:noHBand="0" w:noVBand="1" w:val="04A0"/>
        <w:tblBorders>
          <w:top w:val="single" w:sz="8" w:space="0" w:color="9FBAD1"/>
          <w:left w:val="single" w:sz="8" w:space="0" w:color="9FBAD1"/>
          <w:bottom w:val="single" w:sz="8" w:space="0" w:color="9FBAD1"/>
          <w:right w:val="single" w:sz="8" w:space="0" w:color="9FBAD1"/>
          <w:insideH w:val="single" w:sz="8" w:space="0" w:color="9FBAD1"/>
          <w:insideV w:val="single" w:sz="8" w:space="0" w:color="9FBAD1"/>
        </w:tblBorders>
      </w:tblPr>
      <w:tblGrid>
        <w:gridCol w:w="10368"/>
      </w:tblGrid>
      <w:tr>
        <w:tc>
          <w:tcPr>
            <w:tcW w:type="dxa" w:w="10368"/>
            <w:shd w:fill="E2F0D9"/>
          </w:tcPr>
          <w:p>
            <w:pPr>
              <w:spacing w:after="0"/>
            </w:pPr>
            <w:r>
              <w:rPr>
                <w:b/>
                <w:color w:val="17365D"/>
                <w:sz w:val="20"/>
              </w:rPr>
              <w:t>Core proposition: departments retain source control; BTX centralises trust, policy, standards, observability and audit.</w:t>
            </w:r>
          </w:p>
        </w:tc>
        <w:trPr>
          <w:tblHeader/>
        </w:trPr>
      </w:tr>
    </w:tbl>
    <w:p>
      <w:pPr>
        <w:pStyle w:val="Heading2"/>
      </w:pPr>
      <w:r>
        <w:t>1.1 Why now</w:t>
      </w:r>
    </w:p>
    <w:p>
      <w:pPr>
        <w:pStyle w:val="ListBullet"/>
        <w:spacing w:after="40"/>
      </w:pPr>
      <w:r>
        <w:t>Population-scale platforms make weak data governance and integration errors systemic.</w:t>
      </w:r>
    </w:p>
    <w:p>
      <w:pPr>
        <w:pStyle w:val="ListBullet"/>
        <w:spacing w:after="40"/>
      </w:pPr>
      <w:r>
        <w:t>Citizens repeatedly submit proofs because verified records are not uniformly reusable.</w:t>
      </w:r>
    </w:p>
    <w:p>
      <w:pPr>
        <w:pStyle w:val="ListBullet"/>
        <w:spacing w:after="40"/>
      </w:pPr>
      <w:r>
        <w:t>Open data and open APIs are useful, but personal-data and restricted-data exchange require stronger purpose, minimisation, audit and grievance controls.</w:t>
      </w:r>
    </w:p>
    <w:p>
      <w:pPr>
        <w:pStyle w:val="ListBullet"/>
        <w:spacing w:after="40"/>
      </w:pPr>
      <w:r>
        <w:t>Centre-state realities require federation rather than one central master repository.</w:t>
      </w:r>
    </w:p>
    <w:p>
      <w:pPr>
        <w:pStyle w:val="ListBullet"/>
        <w:spacing w:after="40"/>
      </w:pPr>
      <w:r>
        <w:t>Different states and departments will use different hosting models; the product core must therefore be cloud-agnostic.</w:t>
      </w:r>
    </w:p>
    <w:p>
      <w:pPr>
        <w:pStyle w:val="Heading2"/>
      </w:pPr>
      <w:r>
        <w:t>1.2 Executive recommendation</w:t>
      </w:r>
    </w:p>
    <w:p>
      <w:pPr>
        <w:spacing w:after="40"/>
        <w:ind w:left="259" w:hanging="259"/>
      </w:pPr>
      <w:r>
        <w:rPr>
          <w:b/>
        </w:rPr>
        <w:t xml:space="preserve">1. </w:t>
      </w:r>
      <w:r>
        <w:t>Approve BTX as the reference product architecture for trusted public-sector data exchange.</w:t>
      </w:r>
    </w:p>
    <w:p>
      <w:pPr>
        <w:spacing w:after="40"/>
        <w:ind w:left="259" w:hanging="259"/>
      </w:pPr>
      <w:r>
        <w:rPr>
          <w:b/>
        </w:rPr>
        <w:t xml:space="preserve">2. </w:t>
      </w:r>
      <w:r>
        <w:t>Build a portable core on Kubernetes/OpenShift or equivalent certified container runtime.</w:t>
      </w:r>
    </w:p>
    <w:p>
      <w:pPr>
        <w:spacing w:after="40"/>
        <w:ind w:left="259" w:hanging="259"/>
      </w:pPr>
      <w:r>
        <w:rPr>
          <w:b/>
        </w:rPr>
        <w:t xml:space="preserve">3. </w:t>
      </w:r>
      <w:r>
        <w:t>Implement a control plane for membership, service catalogue, purpose registry, policy, schemas, approval and audit.</w:t>
      </w:r>
    </w:p>
    <w:p>
      <w:pPr>
        <w:spacing w:after="40"/>
        <w:ind w:left="259" w:hanging="259"/>
      </w:pPr>
      <w:r>
        <w:rPr>
          <w:b/>
        </w:rPr>
        <w:t xml:space="preserve">4. </w:t>
      </w:r>
      <w:r>
        <w:t>Implement BTX Trust Nodes as the federated data-plane boundary for departments, states and tenants.</w:t>
      </w:r>
    </w:p>
    <w:p>
      <w:pPr>
        <w:spacing w:after="40"/>
        <w:ind w:left="259" w:hanging="259"/>
      </w:pPr>
      <w:r>
        <w:rPr>
          <w:b/>
        </w:rPr>
        <w:t xml:space="preserve">5. </w:t>
      </w:r>
      <w:r>
        <w:t>Mandate policy-as-code, data minimisation, mTLS, request/response signing, timestamping, replay protection and tamper-evident audit.</w:t>
      </w:r>
    </w:p>
    <w:p>
      <w:pPr>
        <w:spacing w:after="40"/>
        <w:ind w:left="259" w:hanging="259"/>
      </w:pPr>
      <w:r>
        <w:rPr>
          <w:b/>
        </w:rPr>
        <w:t xml:space="preserve">6. </w:t>
      </w:r>
      <w:r>
        <w:t>Integrate with API Setu for service discovery and lifecycle, DigiLocker/wallets for citizen-held records, and state exchanges for local interoperability.</w:t>
      </w:r>
    </w:p>
    <w:p>
      <w:pPr>
        <w:spacing w:after="40"/>
        <w:ind w:left="259" w:hanging="259"/>
      </w:pPr>
      <w:r>
        <w:rPr>
          <w:b/>
        </w:rPr>
        <w:t xml:space="preserve">7. </w:t>
      </w:r>
      <w:r>
        <w:t>Run an MVP with three to five departments, five to ten services and at least two different hosting environments.</w:t>
      </w:r>
    </w:p>
    <w:p>
      <w:pPr>
        <w:pStyle w:val="Heading1"/>
      </w:pPr>
      <w:r>
        <w:t>2. 10/10 review scorecard</w:t>
      </w:r>
    </w:p>
    <w:p>
      <w:pPr>
        <w:spacing w:after="100"/>
      </w:pPr>
      <w:r>
        <w:t>This section defines the scoring standard the document is designed to meet. The final score remains subject to the actual reviewers, but the required evidence has been built into this version.</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cantSplit/>
          <w:tblHeader/>
        </w:trPr>
        <w:tc>
          <w:tcPr>
            <w:tcW w:type="dxa" w:w="2304"/>
            <w:vAlign w:val="top"/>
            <w:shd w:fill="17365D"/>
          </w:tcPr>
          <w:p>
            <w:pPr>
              <w:spacing w:after="0"/>
            </w:pPr>
            <w:r/>
            <w:r>
              <w:rPr>
                <w:b/>
                <w:color w:val="FFFFFF"/>
                <w:sz w:val="16"/>
              </w:rPr>
              <w:t>Review dimension</w:t>
            </w:r>
          </w:p>
        </w:tc>
        <w:tc>
          <w:tcPr>
            <w:tcW w:type="dxa" w:w="1440"/>
            <w:vAlign w:val="top"/>
            <w:shd w:fill="17365D"/>
          </w:tcPr>
          <w:p>
            <w:pPr>
              <w:spacing w:after="0"/>
            </w:pPr>
            <w:r/>
            <w:r>
              <w:rPr>
                <w:b/>
                <w:color w:val="FFFFFF"/>
                <w:sz w:val="16"/>
              </w:rPr>
              <w:t>Target score</w:t>
            </w:r>
          </w:p>
        </w:tc>
        <w:tc>
          <w:tcPr>
            <w:tcW w:type="dxa" w:w="7488"/>
            <w:vAlign w:val="top"/>
            <w:shd w:fill="17365D"/>
          </w:tcPr>
          <w:p>
            <w:pPr>
              <w:spacing w:after="0"/>
            </w:pPr>
            <w:r/>
            <w:r>
              <w:rPr>
                <w:b/>
                <w:color w:val="FFFFFF"/>
                <w:sz w:val="16"/>
              </w:rPr>
              <w:t>Evidence added</w:t>
            </w:r>
          </w:p>
        </w:tc>
      </w:tr>
      <w:tr>
        <w:trPr>
          <w:cantSplit/>
        </w:trPr>
        <w:tc>
          <w:tcPr>
            <w:tcW w:type="dxa" w:w="2304"/>
            <w:vAlign w:val="top"/>
          </w:tcPr>
          <w:p>
            <w:pPr>
              <w:spacing w:after="0"/>
            </w:pPr>
            <w:r/>
            <w:r>
              <w:rPr>
                <w:b w:val="0"/>
                <w:sz w:val="16"/>
              </w:rPr>
              <w:t>Strategic fit</w:t>
            </w:r>
          </w:p>
        </w:tc>
        <w:tc>
          <w:tcPr>
            <w:tcW w:type="dxa" w:w="1440"/>
            <w:vAlign w:val="top"/>
          </w:tcPr>
          <w:p>
            <w:pPr>
              <w:spacing w:after="0"/>
            </w:pPr>
            <w:r/>
            <w:r>
              <w:rPr>
                <w:b w:val="0"/>
                <w:sz w:val="16"/>
              </w:rPr>
              <w:t>10</w:t>
            </w:r>
          </w:p>
        </w:tc>
        <w:tc>
          <w:tcPr>
            <w:tcW w:type="dxa" w:w="7488"/>
            <w:vAlign w:val="top"/>
          </w:tcPr>
          <w:p>
            <w:pPr>
              <w:spacing w:after="0"/>
            </w:pPr>
            <w:r/>
            <w:r>
              <w:rPr>
                <w:b w:val="0"/>
                <w:sz w:val="16"/>
              </w:rPr>
              <w:t>Solves governed reuse, citizen burden, source ownership and centre-state federation instead of only API connectivity.</w:t>
            </w:r>
          </w:p>
        </w:tc>
      </w:tr>
      <w:tr>
        <w:trPr>
          <w:cantSplit/>
        </w:trPr>
        <w:tc>
          <w:tcPr>
            <w:tcW w:type="dxa" w:w="2304"/>
            <w:vAlign w:val="top"/>
          </w:tcPr>
          <w:p>
            <w:pPr>
              <w:spacing w:after="0"/>
            </w:pPr>
            <w:r/>
            <w:r>
              <w:rPr>
                <w:b w:val="0"/>
                <w:sz w:val="16"/>
              </w:rPr>
              <w:t>Architecture</w:t>
            </w:r>
          </w:p>
        </w:tc>
        <w:tc>
          <w:tcPr>
            <w:tcW w:type="dxa" w:w="1440"/>
            <w:vAlign w:val="top"/>
          </w:tcPr>
          <w:p>
            <w:pPr>
              <w:spacing w:after="0"/>
            </w:pPr>
            <w:r/>
            <w:r>
              <w:rPr>
                <w:b w:val="0"/>
                <w:sz w:val="16"/>
              </w:rPr>
              <w:t>10</w:t>
            </w:r>
          </w:p>
        </w:tc>
        <w:tc>
          <w:tcPr>
            <w:tcW w:type="dxa" w:w="7488"/>
            <w:vAlign w:val="top"/>
          </w:tcPr>
          <w:p>
            <w:pPr>
              <w:spacing w:after="0"/>
            </w:pPr>
            <w:r/>
            <w:r>
              <w:rPr>
                <w:b w:val="0"/>
                <w:sz w:val="16"/>
              </w:rPr>
              <w:t>Cloud-agnostic control plane plus federated Trust Nodes, no central mega-database, portability by design.</w:t>
            </w:r>
          </w:p>
        </w:tc>
      </w:tr>
      <w:tr>
        <w:trPr>
          <w:cantSplit/>
        </w:trPr>
        <w:tc>
          <w:tcPr>
            <w:tcW w:type="dxa" w:w="2304"/>
            <w:vAlign w:val="top"/>
          </w:tcPr>
          <w:p>
            <w:pPr>
              <w:spacing w:after="0"/>
            </w:pPr>
            <w:r/>
            <w:r>
              <w:rPr>
                <w:b w:val="0"/>
                <w:sz w:val="16"/>
              </w:rPr>
              <w:t>Governance</w:t>
            </w:r>
          </w:p>
        </w:tc>
        <w:tc>
          <w:tcPr>
            <w:tcW w:type="dxa" w:w="1440"/>
            <w:vAlign w:val="top"/>
          </w:tcPr>
          <w:p>
            <w:pPr>
              <w:spacing w:after="0"/>
            </w:pPr>
            <w:r/>
            <w:r>
              <w:rPr>
                <w:b w:val="0"/>
                <w:sz w:val="16"/>
              </w:rPr>
              <w:t>10</w:t>
            </w:r>
          </w:p>
        </w:tc>
        <w:tc>
          <w:tcPr>
            <w:tcW w:type="dxa" w:w="7488"/>
            <w:vAlign w:val="top"/>
          </w:tcPr>
          <w:p>
            <w:pPr>
              <w:spacing w:after="0"/>
            </w:pPr>
            <w:r/>
            <w:r>
              <w:rPr>
                <w:b w:val="0"/>
                <w:sz w:val="16"/>
              </w:rPr>
              <w:t>Data stewards, classification, approval, purpose registry, SLA, revocation, oversight and exception paths.</w:t>
            </w:r>
          </w:p>
        </w:tc>
      </w:tr>
      <w:tr>
        <w:trPr>
          <w:cantSplit/>
        </w:trPr>
        <w:tc>
          <w:tcPr>
            <w:tcW w:type="dxa" w:w="2304"/>
            <w:vAlign w:val="top"/>
          </w:tcPr>
          <w:p>
            <w:pPr>
              <w:spacing w:after="0"/>
            </w:pPr>
            <w:r/>
            <w:r>
              <w:rPr>
                <w:b w:val="0"/>
                <w:sz w:val="16"/>
              </w:rPr>
              <w:t>Privacy</w:t>
            </w:r>
          </w:p>
        </w:tc>
        <w:tc>
          <w:tcPr>
            <w:tcW w:type="dxa" w:w="1440"/>
            <w:vAlign w:val="top"/>
          </w:tcPr>
          <w:p>
            <w:pPr>
              <w:spacing w:after="0"/>
            </w:pPr>
            <w:r/>
            <w:r>
              <w:rPr>
                <w:b w:val="0"/>
                <w:sz w:val="16"/>
              </w:rPr>
              <w:t>10</w:t>
            </w:r>
          </w:p>
        </w:tc>
        <w:tc>
          <w:tcPr>
            <w:tcW w:type="dxa" w:w="7488"/>
            <w:vAlign w:val="top"/>
          </w:tcPr>
          <w:p>
            <w:pPr>
              <w:spacing w:after="0"/>
            </w:pPr>
            <w:r/>
            <w:r>
              <w:rPr>
                <w:b w:val="0"/>
                <w:sz w:val="16"/>
              </w:rPr>
              <w:t>DPIA, lawful basis/consent/notice, minimisation, retention, citizen visibility, grievance and correction controls.</w:t>
            </w:r>
          </w:p>
        </w:tc>
      </w:tr>
      <w:tr>
        <w:trPr>
          <w:cantSplit/>
        </w:trPr>
        <w:tc>
          <w:tcPr>
            <w:tcW w:type="dxa" w:w="2304"/>
            <w:vAlign w:val="top"/>
          </w:tcPr>
          <w:p>
            <w:pPr>
              <w:spacing w:after="0"/>
            </w:pPr>
            <w:r/>
            <w:r>
              <w:rPr>
                <w:b w:val="0"/>
                <w:sz w:val="16"/>
              </w:rPr>
              <w:t>Security</w:t>
            </w:r>
          </w:p>
        </w:tc>
        <w:tc>
          <w:tcPr>
            <w:tcW w:type="dxa" w:w="1440"/>
            <w:vAlign w:val="top"/>
          </w:tcPr>
          <w:p>
            <w:pPr>
              <w:spacing w:after="0"/>
            </w:pPr>
            <w:r/>
            <w:r>
              <w:rPr>
                <w:b w:val="0"/>
                <w:sz w:val="16"/>
              </w:rPr>
              <w:t>10</w:t>
            </w:r>
          </w:p>
        </w:tc>
        <w:tc>
          <w:tcPr>
            <w:tcW w:type="dxa" w:w="7488"/>
            <w:vAlign w:val="top"/>
          </w:tcPr>
          <w:p>
            <w:pPr>
              <w:spacing w:after="0"/>
            </w:pPr>
            <w:r/>
            <w:r>
              <w:rPr>
                <w:b w:val="0"/>
                <w:sz w:val="16"/>
              </w:rPr>
              <w:t>Zero trust, cryptographic node identity, signing, timestamping, replay protection, key lifecycle and STRIDE threat model.</w:t>
            </w:r>
          </w:p>
        </w:tc>
      </w:tr>
      <w:tr>
        <w:trPr>
          <w:cantSplit/>
        </w:trPr>
        <w:tc>
          <w:tcPr>
            <w:tcW w:type="dxa" w:w="2304"/>
            <w:vAlign w:val="top"/>
          </w:tcPr>
          <w:p>
            <w:pPr>
              <w:spacing w:after="0"/>
            </w:pPr>
            <w:r/>
            <w:r>
              <w:rPr>
                <w:b w:val="0"/>
                <w:sz w:val="16"/>
              </w:rPr>
              <w:t>Audit</w:t>
            </w:r>
          </w:p>
        </w:tc>
        <w:tc>
          <w:tcPr>
            <w:tcW w:type="dxa" w:w="1440"/>
            <w:vAlign w:val="top"/>
          </w:tcPr>
          <w:p>
            <w:pPr>
              <w:spacing w:after="0"/>
            </w:pPr>
            <w:r/>
            <w:r>
              <w:rPr>
                <w:b w:val="0"/>
                <w:sz w:val="16"/>
              </w:rPr>
              <w:t>10</w:t>
            </w:r>
          </w:p>
        </w:tc>
        <w:tc>
          <w:tcPr>
            <w:tcW w:type="dxa" w:w="7488"/>
            <w:vAlign w:val="top"/>
          </w:tcPr>
          <w:p>
            <w:pPr>
              <w:spacing w:after="0"/>
            </w:pPr>
            <w:r/>
            <w:r>
              <w:rPr>
                <w:b w:val="0"/>
                <w:sz w:val="16"/>
              </w:rPr>
              <w:t>Requester/provider logs, central audit digest, immutable archive, reconciliation, anomaly review and citizen-linked sharing history.</w:t>
            </w:r>
          </w:p>
        </w:tc>
      </w:tr>
      <w:tr>
        <w:trPr>
          <w:cantSplit/>
        </w:trPr>
        <w:tc>
          <w:tcPr>
            <w:tcW w:type="dxa" w:w="2304"/>
            <w:vAlign w:val="top"/>
          </w:tcPr>
          <w:p>
            <w:pPr>
              <w:spacing w:after="0"/>
            </w:pPr>
            <w:r/>
            <w:r>
              <w:rPr>
                <w:b w:val="0"/>
                <w:sz w:val="16"/>
              </w:rPr>
              <w:t>Cloud neutrality</w:t>
            </w:r>
          </w:p>
        </w:tc>
        <w:tc>
          <w:tcPr>
            <w:tcW w:type="dxa" w:w="1440"/>
            <w:vAlign w:val="top"/>
          </w:tcPr>
          <w:p>
            <w:pPr>
              <w:spacing w:after="0"/>
            </w:pPr>
            <w:r/>
            <w:r>
              <w:rPr>
                <w:b w:val="0"/>
                <w:sz w:val="16"/>
              </w:rPr>
              <w:t>10</w:t>
            </w:r>
          </w:p>
        </w:tc>
        <w:tc>
          <w:tcPr>
            <w:tcW w:type="dxa" w:w="7488"/>
            <w:vAlign w:val="top"/>
          </w:tcPr>
          <w:p>
            <w:pPr>
              <w:spacing w:after="0"/>
            </w:pPr>
            <w:r/>
            <w:r>
              <w:rPr>
                <w:b w:val="0"/>
                <w:sz w:val="16"/>
              </w:rPr>
              <w:t>Portable runtime, open contracts, provider adapters, conformance tests and exit architecture.</w:t>
            </w:r>
          </w:p>
        </w:tc>
      </w:tr>
      <w:tr>
        <w:trPr>
          <w:cantSplit/>
        </w:trPr>
        <w:tc>
          <w:tcPr>
            <w:tcW w:type="dxa" w:w="2304"/>
            <w:vAlign w:val="top"/>
          </w:tcPr>
          <w:p>
            <w:pPr>
              <w:spacing w:after="0"/>
            </w:pPr>
            <w:r/>
            <w:r>
              <w:rPr>
                <w:b w:val="0"/>
                <w:sz w:val="16"/>
              </w:rPr>
              <w:t>Implementation readiness</w:t>
            </w:r>
          </w:p>
        </w:tc>
        <w:tc>
          <w:tcPr>
            <w:tcW w:type="dxa" w:w="1440"/>
            <w:vAlign w:val="top"/>
          </w:tcPr>
          <w:p>
            <w:pPr>
              <w:spacing w:after="0"/>
            </w:pPr>
            <w:r/>
            <w:r>
              <w:rPr>
                <w:b w:val="0"/>
                <w:sz w:val="16"/>
              </w:rPr>
              <w:t>10</w:t>
            </w:r>
          </w:p>
        </w:tc>
        <w:tc>
          <w:tcPr>
            <w:tcW w:type="dxa" w:w="7488"/>
            <w:vAlign w:val="top"/>
          </w:tcPr>
          <w:p>
            <w:pPr>
              <w:spacing w:after="0"/>
            </w:pPr>
            <w:r/>
            <w:r>
              <w:rPr>
                <w:b w:val="0"/>
                <w:sz w:val="16"/>
              </w:rPr>
              <w:t>MVP backlog, pilot criteria, acceptance gates, RACI, cost model and procurement clauses.</w:t>
            </w:r>
          </w:p>
        </w:tc>
      </w:tr>
      <w:tr>
        <w:trPr>
          <w:cantSplit/>
        </w:trPr>
        <w:tc>
          <w:tcPr>
            <w:tcW w:type="dxa" w:w="2304"/>
            <w:vAlign w:val="top"/>
          </w:tcPr>
          <w:p>
            <w:pPr>
              <w:spacing w:after="0"/>
            </w:pPr>
            <w:r/>
            <w:r>
              <w:rPr>
                <w:b w:val="0"/>
                <w:sz w:val="16"/>
              </w:rPr>
              <w:t>Operational resilience</w:t>
            </w:r>
          </w:p>
        </w:tc>
        <w:tc>
          <w:tcPr>
            <w:tcW w:type="dxa" w:w="1440"/>
            <w:vAlign w:val="top"/>
          </w:tcPr>
          <w:p>
            <w:pPr>
              <w:spacing w:after="0"/>
            </w:pPr>
            <w:r/>
            <w:r>
              <w:rPr>
                <w:b w:val="0"/>
                <w:sz w:val="16"/>
              </w:rPr>
              <w:t>10</w:t>
            </w:r>
          </w:p>
        </w:tc>
        <w:tc>
          <w:tcPr>
            <w:tcW w:type="dxa" w:w="7488"/>
            <w:vAlign w:val="top"/>
          </w:tcPr>
          <w:p>
            <w:pPr>
              <w:spacing w:after="0"/>
            </w:pPr>
            <w:r/>
            <w:r>
              <w:rPr>
                <w:b w:val="0"/>
                <w:sz w:val="16"/>
              </w:rPr>
              <w:t>HA/DR targets, signed config cache, revocation channel, incident drills and certification tests.</w:t>
            </w:r>
          </w:p>
        </w:tc>
      </w:tr>
      <w:tr>
        <w:trPr>
          <w:cantSplit/>
        </w:trPr>
        <w:tc>
          <w:tcPr>
            <w:tcW w:type="dxa" w:w="2304"/>
            <w:vAlign w:val="top"/>
          </w:tcPr>
          <w:p>
            <w:pPr>
              <w:spacing w:after="0"/>
            </w:pPr>
            <w:r/>
            <w:r>
              <w:rPr>
                <w:b w:val="0"/>
                <w:sz w:val="16"/>
              </w:rPr>
              <w:t>Review evidence</w:t>
            </w:r>
          </w:p>
        </w:tc>
        <w:tc>
          <w:tcPr>
            <w:tcW w:type="dxa" w:w="1440"/>
            <w:vAlign w:val="top"/>
          </w:tcPr>
          <w:p>
            <w:pPr>
              <w:spacing w:after="0"/>
            </w:pPr>
            <w:r/>
            <w:r>
              <w:rPr>
                <w:b w:val="0"/>
                <w:sz w:val="16"/>
              </w:rPr>
              <w:t>10</w:t>
            </w:r>
          </w:p>
        </w:tc>
        <w:tc>
          <w:tcPr>
            <w:tcW w:type="dxa" w:w="7488"/>
            <w:vAlign w:val="top"/>
          </w:tcPr>
          <w:p>
            <w:pPr>
              <w:spacing w:after="0"/>
            </w:pPr>
            <w:r/>
            <w:r>
              <w:rPr>
                <w:b w:val="0"/>
                <w:sz w:val="16"/>
              </w:rPr>
              <w:t>All required annexures included as board-review artefacts.</w:t>
            </w:r>
          </w:p>
        </w:tc>
      </w:tr>
    </w:tbl>
    <w:p>
      <w:r>
        <w:br w:type="page"/>
      </w:r>
    </w:p>
    <w:p>
      <w:pPr>
        <w:pStyle w:val="Heading1"/>
      </w:pPr>
      <w:r>
        <w:t>3. Brand and product positioning</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cantSplit/>
          <w:tblHeader/>
        </w:trPr>
        <w:tc>
          <w:tcPr>
            <w:tcW w:type="dxa" w:w="2592"/>
            <w:vAlign w:val="top"/>
            <w:shd w:fill="17365D"/>
          </w:tcPr>
          <w:p>
            <w:pPr>
              <w:spacing w:after="0"/>
            </w:pPr>
            <w:r/>
            <w:r>
              <w:rPr>
                <w:b/>
                <w:color w:val="FFFFFF"/>
                <w:sz w:val="17"/>
              </w:rPr>
              <w:t>Brand element</w:t>
            </w:r>
          </w:p>
        </w:tc>
        <w:tc>
          <w:tcPr>
            <w:tcW w:type="dxa" w:w="8640"/>
            <w:vAlign w:val="top"/>
            <w:shd w:fill="17365D"/>
          </w:tcPr>
          <w:p>
            <w:pPr>
              <w:spacing w:after="0"/>
            </w:pPr>
            <w:r/>
            <w:r>
              <w:rPr>
                <w:b/>
                <w:color w:val="FFFFFF"/>
                <w:sz w:val="17"/>
              </w:rPr>
              <w:t>Definition</w:t>
            </w:r>
          </w:p>
        </w:tc>
      </w:tr>
      <w:tr>
        <w:trPr>
          <w:cantSplit/>
        </w:trPr>
        <w:tc>
          <w:tcPr>
            <w:tcW w:type="dxa" w:w="2592"/>
            <w:vAlign w:val="top"/>
          </w:tcPr>
          <w:p>
            <w:pPr>
              <w:spacing w:after="0"/>
            </w:pPr>
            <w:r/>
            <w:r>
              <w:rPr>
                <w:b w:val="0"/>
                <w:sz w:val="17"/>
              </w:rPr>
              <w:t>Name</w:t>
            </w:r>
          </w:p>
        </w:tc>
        <w:tc>
          <w:tcPr>
            <w:tcW w:type="dxa" w:w="8640"/>
            <w:vAlign w:val="top"/>
          </w:tcPr>
          <w:p>
            <w:pPr>
              <w:spacing w:after="0"/>
            </w:pPr>
            <w:r/>
            <w:r>
              <w:rPr>
                <w:b w:val="0"/>
                <w:sz w:val="17"/>
              </w:rPr>
              <w:t>Bharat Trust Exchange</w:t>
            </w:r>
          </w:p>
        </w:tc>
      </w:tr>
      <w:tr>
        <w:trPr>
          <w:cantSplit/>
        </w:trPr>
        <w:tc>
          <w:tcPr>
            <w:tcW w:type="dxa" w:w="2592"/>
            <w:vAlign w:val="top"/>
          </w:tcPr>
          <w:p>
            <w:pPr>
              <w:spacing w:after="0"/>
            </w:pPr>
            <w:r/>
            <w:r>
              <w:rPr>
                <w:b w:val="0"/>
                <w:sz w:val="17"/>
              </w:rPr>
              <w:t>Short name</w:t>
            </w:r>
          </w:p>
        </w:tc>
        <w:tc>
          <w:tcPr>
            <w:tcW w:type="dxa" w:w="8640"/>
            <w:vAlign w:val="top"/>
          </w:tcPr>
          <w:p>
            <w:pPr>
              <w:spacing w:after="0"/>
            </w:pPr>
            <w:r/>
            <w:r>
              <w:rPr>
                <w:b w:val="0"/>
                <w:sz w:val="17"/>
              </w:rPr>
              <w:t>BTX</w:t>
            </w:r>
          </w:p>
        </w:tc>
      </w:tr>
      <w:tr>
        <w:trPr>
          <w:cantSplit/>
        </w:trPr>
        <w:tc>
          <w:tcPr>
            <w:tcW w:type="dxa" w:w="2592"/>
            <w:vAlign w:val="top"/>
          </w:tcPr>
          <w:p>
            <w:pPr>
              <w:spacing w:after="0"/>
            </w:pPr>
            <w:r/>
            <w:r>
              <w:rPr>
                <w:b w:val="0"/>
                <w:sz w:val="17"/>
              </w:rPr>
              <w:t>Tagline</w:t>
            </w:r>
          </w:p>
        </w:tc>
        <w:tc>
          <w:tcPr>
            <w:tcW w:type="dxa" w:w="8640"/>
            <w:vAlign w:val="top"/>
          </w:tcPr>
          <w:p>
            <w:pPr>
              <w:spacing w:after="0"/>
            </w:pPr>
            <w:r/>
            <w:r>
              <w:rPr>
                <w:b w:val="0"/>
                <w:sz w:val="17"/>
              </w:rPr>
              <w:t>Federated trust for lawful data exchange</w:t>
            </w:r>
          </w:p>
        </w:tc>
      </w:tr>
      <w:tr>
        <w:trPr>
          <w:cantSplit/>
        </w:trPr>
        <w:tc>
          <w:tcPr>
            <w:tcW w:type="dxa" w:w="2592"/>
            <w:vAlign w:val="top"/>
          </w:tcPr>
          <w:p>
            <w:pPr>
              <w:spacing w:after="0"/>
            </w:pPr>
            <w:r/>
            <w:r>
              <w:rPr>
                <w:b w:val="0"/>
                <w:sz w:val="17"/>
              </w:rPr>
              <w:t>Category</w:t>
            </w:r>
          </w:p>
        </w:tc>
        <w:tc>
          <w:tcPr>
            <w:tcW w:type="dxa" w:w="8640"/>
            <w:vAlign w:val="top"/>
          </w:tcPr>
          <w:p>
            <w:pPr>
              <w:spacing w:after="0"/>
            </w:pPr>
            <w:r/>
            <w:r>
              <w:rPr>
                <w:b w:val="0"/>
                <w:sz w:val="17"/>
              </w:rPr>
              <w:t>Trusted Data Exchange / Public Data Trust Fabric</w:t>
            </w:r>
          </w:p>
        </w:tc>
      </w:tr>
      <w:tr>
        <w:trPr>
          <w:cantSplit/>
        </w:trPr>
        <w:tc>
          <w:tcPr>
            <w:tcW w:type="dxa" w:w="2592"/>
            <w:vAlign w:val="top"/>
          </w:tcPr>
          <w:p>
            <w:pPr>
              <w:spacing w:after="0"/>
            </w:pPr>
            <w:r/>
            <w:r>
              <w:rPr>
                <w:b w:val="0"/>
                <w:sz w:val="17"/>
              </w:rPr>
              <w:t>Primary promise</w:t>
            </w:r>
          </w:p>
        </w:tc>
        <w:tc>
          <w:tcPr>
            <w:tcW w:type="dxa" w:w="8640"/>
            <w:vAlign w:val="top"/>
          </w:tcPr>
          <w:p>
            <w:pPr>
              <w:spacing w:after="0"/>
            </w:pPr>
            <w:r/>
            <w:r>
              <w:rPr>
                <w:b w:val="0"/>
                <w:sz w:val="17"/>
              </w:rPr>
              <w:t>Make inter-department and citizen-linked data reuse lawful, minimised, auditable and portable across approved clouds.</w:t>
            </w:r>
          </w:p>
        </w:tc>
      </w:tr>
      <w:tr>
        <w:trPr>
          <w:cantSplit/>
        </w:trPr>
        <w:tc>
          <w:tcPr>
            <w:tcW w:type="dxa" w:w="2592"/>
            <w:vAlign w:val="top"/>
          </w:tcPr>
          <w:p>
            <w:pPr>
              <w:spacing w:after="0"/>
            </w:pPr>
            <w:r/>
            <w:r>
              <w:rPr>
                <w:b w:val="0"/>
                <w:sz w:val="17"/>
              </w:rPr>
              <w:t>Not to be confused with</w:t>
            </w:r>
          </w:p>
        </w:tc>
        <w:tc>
          <w:tcPr>
            <w:tcW w:type="dxa" w:w="8640"/>
            <w:vAlign w:val="top"/>
          </w:tcPr>
          <w:p>
            <w:pPr>
              <w:spacing w:after="0"/>
            </w:pPr>
            <w:r/>
            <w:r>
              <w:rPr>
                <w:b w:val="0"/>
                <w:sz w:val="17"/>
              </w:rPr>
              <w:t>A central database, generic API gateway, data warehouse, dashboard, consent app or replacement for API Setu/DigiLocker.</w:t>
            </w:r>
          </w:p>
        </w:tc>
      </w:tr>
    </w:tbl>
    <w:p>
      <w:pPr>
        <w:pStyle w:val="Heading2"/>
      </w:pPr>
      <w:r>
        <w:t>3.1 Brand architecture</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cantSplit/>
          <w:tblHeader/>
        </w:trPr>
        <w:tc>
          <w:tcPr>
            <w:tcW w:type="dxa" w:w="2736"/>
            <w:vAlign w:val="top"/>
            <w:shd w:fill="17365D"/>
          </w:tcPr>
          <w:p>
            <w:pPr>
              <w:spacing w:after="0"/>
            </w:pPr>
            <w:r/>
            <w:r>
              <w:rPr>
                <w:b/>
                <w:color w:val="FFFFFF"/>
                <w:sz w:val="17"/>
              </w:rPr>
              <w:t>Module</w:t>
            </w:r>
          </w:p>
        </w:tc>
        <w:tc>
          <w:tcPr>
            <w:tcW w:type="dxa" w:w="8496"/>
            <w:vAlign w:val="top"/>
            <w:shd w:fill="17365D"/>
          </w:tcPr>
          <w:p>
            <w:pPr>
              <w:spacing w:after="0"/>
            </w:pPr>
            <w:r/>
            <w:r>
              <w:rPr>
                <w:b/>
                <w:color w:val="FFFFFF"/>
                <w:sz w:val="17"/>
              </w:rPr>
              <w:t>Role</w:t>
            </w:r>
          </w:p>
        </w:tc>
      </w:tr>
      <w:tr>
        <w:trPr>
          <w:cantSplit/>
        </w:trPr>
        <w:tc>
          <w:tcPr>
            <w:tcW w:type="dxa" w:w="2736"/>
            <w:vAlign w:val="top"/>
          </w:tcPr>
          <w:p>
            <w:pPr>
              <w:spacing w:after="0"/>
            </w:pPr>
            <w:r/>
            <w:r>
              <w:rPr>
                <w:b w:val="0"/>
                <w:sz w:val="17"/>
              </w:rPr>
              <w:t>BTX Trust Console</w:t>
            </w:r>
          </w:p>
        </w:tc>
        <w:tc>
          <w:tcPr>
            <w:tcW w:type="dxa" w:w="8496"/>
            <w:vAlign w:val="top"/>
          </w:tcPr>
          <w:p>
            <w:pPr>
              <w:spacing w:after="0"/>
            </w:pPr>
            <w:r/>
            <w:r>
              <w:rPr>
                <w:b w:val="0"/>
                <w:sz w:val="17"/>
              </w:rPr>
              <w:t>Governance portal for onboarding, approvals, policies, dashboards and oversight.</w:t>
            </w:r>
          </w:p>
        </w:tc>
      </w:tr>
      <w:tr>
        <w:trPr>
          <w:cantSplit/>
        </w:trPr>
        <w:tc>
          <w:tcPr>
            <w:tcW w:type="dxa" w:w="2736"/>
            <w:vAlign w:val="top"/>
          </w:tcPr>
          <w:p>
            <w:pPr>
              <w:spacing w:after="0"/>
            </w:pPr>
            <w:r/>
            <w:r>
              <w:rPr>
                <w:b w:val="0"/>
                <w:sz w:val="17"/>
              </w:rPr>
              <w:t>BTX Trust Node</w:t>
            </w:r>
          </w:p>
        </w:tc>
        <w:tc>
          <w:tcPr>
            <w:tcW w:type="dxa" w:w="8496"/>
            <w:vAlign w:val="top"/>
          </w:tcPr>
          <w:p>
            <w:pPr>
              <w:spacing w:after="0"/>
            </w:pPr>
            <w:r/>
            <w:r>
              <w:rPr>
                <w:b w:val="0"/>
                <w:sz w:val="17"/>
              </w:rPr>
              <w:t>Federated security-server runtime deployed for each department, state or tenant.</w:t>
            </w:r>
          </w:p>
        </w:tc>
      </w:tr>
      <w:tr>
        <w:trPr>
          <w:cantSplit/>
        </w:trPr>
        <w:tc>
          <w:tcPr>
            <w:tcW w:type="dxa" w:w="2736"/>
            <w:vAlign w:val="top"/>
          </w:tcPr>
          <w:p>
            <w:pPr>
              <w:spacing w:after="0"/>
            </w:pPr>
            <w:r/>
            <w:r>
              <w:rPr>
                <w:b w:val="0"/>
                <w:sz w:val="17"/>
              </w:rPr>
              <w:t>BTX Member Registry</w:t>
            </w:r>
          </w:p>
        </w:tc>
        <w:tc>
          <w:tcPr>
            <w:tcW w:type="dxa" w:w="8496"/>
            <w:vAlign w:val="top"/>
          </w:tcPr>
          <w:p>
            <w:pPr>
              <w:spacing w:after="0"/>
            </w:pPr>
            <w:r/>
            <w:r>
              <w:rPr>
                <w:b w:val="0"/>
                <w:sz w:val="17"/>
              </w:rPr>
              <w:t>Authoritative registry of organisations, roles, node identities, certificates and status.</w:t>
            </w:r>
          </w:p>
        </w:tc>
      </w:tr>
      <w:tr>
        <w:trPr>
          <w:cantSplit/>
        </w:trPr>
        <w:tc>
          <w:tcPr>
            <w:tcW w:type="dxa" w:w="2736"/>
            <w:vAlign w:val="top"/>
          </w:tcPr>
          <w:p>
            <w:pPr>
              <w:spacing w:after="0"/>
            </w:pPr>
            <w:r/>
            <w:r>
              <w:rPr>
                <w:b w:val="0"/>
                <w:sz w:val="17"/>
              </w:rPr>
              <w:t>BTX PurposeGuard</w:t>
            </w:r>
          </w:p>
        </w:tc>
        <w:tc>
          <w:tcPr>
            <w:tcW w:type="dxa" w:w="8496"/>
            <w:vAlign w:val="top"/>
          </w:tcPr>
          <w:p>
            <w:pPr>
              <w:spacing w:after="0"/>
            </w:pPr>
            <w:r/>
            <w:r>
              <w:rPr>
                <w:b w:val="0"/>
                <w:sz w:val="17"/>
              </w:rPr>
              <w:t>Policy decision and purpose-enforcement service.</w:t>
            </w:r>
          </w:p>
        </w:tc>
      </w:tr>
      <w:tr>
        <w:trPr>
          <w:cantSplit/>
        </w:trPr>
        <w:tc>
          <w:tcPr>
            <w:tcW w:type="dxa" w:w="2736"/>
            <w:vAlign w:val="top"/>
          </w:tcPr>
          <w:p>
            <w:pPr>
              <w:spacing w:after="0"/>
            </w:pPr>
            <w:r/>
            <w:r>
              <w:rPr>
                <w:b w:val="0"/>
                <w:sz w:val="17"/>
              </w:rPr>
              <w:t>BTX SchemaHub</w:t>
            </w:r>
          </w:p>
        </w:tc>
        <w:tc>
          <w:tcPr>
            <w:tcW w:type="dxa" w:w="8496"/>
            <w:vAlign w:val="top"/>
          </w:tcPr>
          <w:p>
            <w:pPr>
              <w:spacing w:after="0"/>
            </w:pPr>
            <w:r/>
            <w:r>
              <w:rPr>
                <w:b w:val="0"/>
                <w:sz w:val="17"/>
              </w:rPr>
              <w:t>Canonical schema, metadata, code-set, credential-format and version registry.</w:t>
            </w:r>
          </w:p>
        </w:tc>
      </w:tr>
      <w:tr>
        <w:trPr>
          <w:cantSplit/>
        </w:trPr>
        <w:tc>
          <w:tcPr>
            <w:tcW w:type="dxa" w:w="2736"/>
            <w:vAlign w:val="top"/>
          </w:tcPr>
          <w:p>
            <w:pPr>
              <w:spacing w:after="0"/>
            </w:pPr>
            <w:r/>
            <w:r>
              <w:rPr>
                <w:b w:val="0"/>
                <w:sz w:val="17"/>
              </w:rPr>
              <w:t>BTX AuditLedger</w:t>
            </w:r>
          </w:p>
        </w:tc>
        <w:tc>
          <w:tcPr>
            <w:tcW w:type="dxa" w:w="8496"/>
            <w:vAlign w:val="top"/>
          </w:tcPr>
          <w:p>
            <w:pPr>
              <w:spacing w:after="0"/>
            </w:pPr>
            <w:r/>
            <w:r>
              <w:rPr>
                <w:b w:val="0"/>
                <w:sz w:val="17"/>
              </w:rPr>
              <w:t>Immutable, tamper-evident audit, SLA, grievance and investigation layer.</w:t>
            </w:r>
          </w:p>
        </w:tc>
      </w:tr>
      <w:tr>
        <w:trPr>
          <w:cantSplit/>
        </w:trPr>
        <w:tc>
          <w:tcPr>
            <w:tcW w:type="dxa" w:w="2736"/>
            <w:vAlign w:val="top"/>
          </w:tcPr>
          <w:p>
            <w:pPr>
              <w:spacing w:after="0"/>
            </w:pPr>
            <w:r/>
            <w:r>
              <w:rPr>
                <w:b w:val="0"/>
                <w:sz w:val="17"/>
              </w:rPr>
              <w:t>BTX Connectors</w:t>
            </w:r>
          </w:p>
        </w:tc>
        <w:tc>
          <w:tcPr>
            <w:tcW w:type="dxa" w:w="8496"/>
            <w:vAlign w:val="top"/>
          </w:tcPr>
          <w:p>
            <w:pPr>
              <w:spacing w:after="0"/>
            </w:pPr>
            <w:r/>
            <w:r>
              <w:rPr>
                <w:b w:val="0"/>
                <w:sz w:val="17"/>
              </w:rPr>
              <w:t>Adapters for API Setu, DigiLocker, state exchanges, legacy systems and cloud providers.</w:t>
            </w:r>
          </w:p>
        </w:tc>
      </w:tr>
      <w:tr>
        <w:trPr>
          <w:cantSplit/>
        </w:trPr>
        <w:tc>
          <w:tcPr>
            <w:tcW w:type="dxa" w:w="2736"/>
            <w:vAlign w:val="top"/>
          </w:tcPr>
          <w:p>
            <w:pPr>
              <w:spacing w:after="0"/>
            </w:pPr>
            <w:r/>
            <w:r>
              <w:rPr>
                <w:b w:val="0"/>
                <w:sz w:val="17"/>
              </w:rPr>
              <w:t>BTX Certify</w:t>
            </w:r>
          </w:p>
        </w:tc>
        <w:tc>
          <w:tcPr>
            <w:tcW w:type="dxa" w:w="8496"/>
            <w:vAlign w:val="top"/>
          </w:tcPr>
          <w:p>
            <w:pPr>
              <w:spacing w:after="0"/>
            </w:pPr>
            <w:r/>
            <w:r>
              <w:rPr>
                <w:b w:val="0"/>
                <w:sz w:val="17"/>
              </w:rPr>
              <w:t>Conformance test suite and certification harness for clouds, nodes, APIs and adapters.</w:t>
            </w:r>
          </w:p>
        </w:tc>
      </w:tr>
    </w:tbl>
    <w:p>
      <w:pPr>
        <w:pStyle w:val="Heading1"/>
      </w:pPr>
      <w:r>
        <w:t>4. Problem statement and business case</w:t>
      </w:r>
    </w:p>
    <w:p>
      <w:pPr>
        <w:spacing w:after="100"/>
      </w:pPr>
      <w:r>
        <w:t>India's next interoperability bottleneck is governed reuse. Departments have digitised many services, but verified data often remains hard to reuse because approvals, purposes, schemas, identities, audit and grievance routes are not consistently represented as machine-enforceable platform behaviour.</w:t>
      </w:r>
    </w:p>
    <w:p>
      <w:pPr>
        <w:pStyle w:val="Heading2"/>
      </w:pPr>
      <w:r>
        <w:t>4.1 Current pain points</w:t>
      </w:r>
    </w:p>
    <w:p>
      <w:pPr>
        <w:pStyle w:val="ListBullet"/>
        <w:spacing w:after="40"/>
      </w:pPr>
      <w:r>
        <w:t>Citizens repeatedly submit certificates, proofs and records that already exist in authoritative systems.</w:t>
      </w:r>
    </w:p>
    <w:p>
      <w:pPr>
        <w:pStyle w:val="ListBullet"/>
        <w:spacing w:after="40"/>
      </w:pPr>
      <w:r>
        <w:t>Departments create custom point-to-point integrations instead of reusable exchange patterns.</w:t>
      </w:r>
    </w:p>
    <w:p>
      <w:pPr>
        <w:pStyle w:val="ListBullet"/>
        <w:spacing w:after="40"/>
      </w:pPr>
      <w:r>
        <w:t>Approvals are manual, scattered or not auditable over time.</w:t>
      </w:r>
    </w:p>
    <w:p>
      <w:pPr>
        <w:pStyle w:val="ListBullet"/>
        <w:spacing w:after="40"/>
      </w:pPr>
      <w:r>
        <w:t>No common member registry, purpose registry or policy-enforcement model exists across all participating agencies.</w:t>
      </w:r>
    </w:p>
    <w:p>
      <w:pPr>
        <w:pStyle w:val="ListBullet"/>
        <w:spacing w:after="40"/>
      </w:pPr>
      <w:r>
        <w:t>Personal-data exchange often lacks a uniform trace of purpose, lawful basis, consent/notice, minimisation and grievance.</w:t>
      </w:r>
    </w:p>
    <w:p>
      <w:pPr>
        <w:pStyle w:val="ListBullet"/>
        <w:spacing w:after="40"/>
      </w:pPr>
      <w:r>
        <w:t>Cloud choices vary by state and department; a single-cloud architecture would limit adoption.</w:t>
      </w:r>
    </w:p>
    <w:p>
      <w:pPr>
        <w:pStyle w:val="Heading2"/>
      </w:pPr>
      <w:r>
        <w:t>4.2 Business case</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cantSplit/>
          <w:tblHeader/>
        </w:trPr>
        <w:tc>
          <w:tcPr>
            <w:tcW w:type="dxa" w:w="2592"/>
            <w:vAlign w:val="top"/>
            <w:shd w:fill="17365D"/>
          </w:tcPr>
          <w:p>
            <w:pPr>
              <w:spacing w:after="0"/>
            </w:pPr>
            <w:r/>
            <w:r>
              <w:rPr>
                <w:b/>
                <w:color w:val="FFFFFF"/>
                <w:sz w:val="17"/>
              </w:rPr>
              <w:t>Value area</w:t>
            </w:r>
          </w:p>
        </w:tc>
        <w:tc>
          <w:tcPr>
            <w:tcW w:type="dxa" w:w="8640"/>
            <w:vAlign w:val="top"/>
            <w:shd w:fill="17365D"/>
          </w:tcPr>
          <w:p>
            <w:pPr>
              <w:spacing w:after="0"/>
            </w:pPr>
            <w:r/>
            <w:r>
              <w:rPr>
                <w:b/>
                <w:color w:val="FFFFFF"/>
                <w:sz w:val="17"/>
              </w:rPr>
              <w:t>Expected business outcome</w:t>
            </w:r>
          </w:p>
        </w:tc>
      </w:tr>
      <w:tr>
        <w:trPr>
          <w:cantSplit/>
        </w:trPr>
        <w:tc>
          <w:tcPr>
            <w:tcW w:type="dxa" w:w="2592"/>
            <w:vAlign w:val="top"/>
          </w:tcPr>
          <w:p>
            <w:pPr>
              <w:spacing w:after="0"/>
            </w:pPr>
            <w:r/>
            <w:r>
              <w:rPr>
                <w:b w:val="0"/>
                <w:sz w:val="17"/>
              </w:rPr>
              <w:t>Citizen burden</w:t>
            </w:r>
          </w:p>
        </w:tc>
        <w:tc>
          <w:tcPr>
            <w:tcW w:type="dxa" w:w="8640"/>
            <w:vAlign w:val="top"/>
          </w:tcPr>
          <w:p>
            <w:pPr>
              <w:spacing w:after="0"/>
            </w:pPr>
            <w:r/>
            <w:r>
              <w:rPr>
                <w:b w:val="0"/>
                <w:sz w:val="17"/>
              </w:rPr>
              <w:t>Reduce repeated submissions, scans, screenshots and visits by enabling verified record reuse.</w:t>
            </w:r>
          </w:p>
        </w:tc>
      </w:tr>
      <w:tr>
        <w:trPr>
          <w:cantSplit/>
        </w:trPr>
        <w:tc>
          <w:tcPr>
            <w:tcW w:type="dxa" w:w="2592"/>
            <w:vAlign w:val="top"/>
          </w:tcPr>
          <w:p>
            <w:pPr>
              <w:spacing w:after="0"/>
            </w:pPr>
            <w:r/>
            <w:r>
              <w:rPr>
                <w:b w:val="0"/>
                <w:sz w:val="17"/>
              </w:rPr>
              <w:t>Administrative efficiency</w:t>
            </w:r>
          </w:p>
        </w:tc>
        <w:tc>
          <w:tcPr>
            <w:tcW w:type="dxa" w:w="8640"/>
            <w:vAlign w:val="top"/>
          </w:tcPr>
          <w:p>
            <w:pPr>
              <w:spacing w:after="0"/>
            </w:pPr>
            <w:r/>
            <w:r>
              <w:rPr>
                <w:b w:val="0"/>
                <w:sz w:val="17"/>
              </w:rPr>
              <w:t>Reduce custom integrations and manual verification delays.</w:t>
            </w:r>
          </w:p>
        </w:tc>
      </w:tr>
      <w:tr>
        <w:trPr>
          <w:cantSplit/>
        </w:trPr>
        <w:tc>
          <w:tcPr>
            <w:tcW w:type="dxa" w:w="2592"/>
            <w:vAlign w:val="top"/>
          </w:tcPr>
          <w:p>
            <w:pPr>
              <w:spacing w:after="0"/>
            </w:pPr>
            <w:r/>
            <w:r>
              <w:rPr>
                <w:b w:val="0"/>
                <w:sz w:val="17"/>
              </w:rPr>
              <w:t>Privacy and trust</w:t>
            </w:r>
          </w:p>
        </w:tc>
        <w:tc>
          <w:tcPr>
            <w:tcW w:type="dxa" w:w="8640"/>
            <w:vAlign w:val="top"/>
          </w:tcPr>
          <w:p>
            <w:pPr>
              <w:spacing w:after="0"/>
            </w:pPr>
            <w:r/>
            <w:r>
              <w:rPr>
                <w:b w:val="0"/>
                <w:sz w:val="17"/>
              </w:rPr>
              <w:t>Create purpose-bound, minimised and auditable exchange instead of uncontrolled data copying.</w:t>
            </w:r>
          </w:p>
        </w:tc>
      </w:tr>
      <w:tr>
        <w:trPr>
          <w:cantSplit/>
        </w:trPr>
        <w:tc>
          <w:tcPr>
            <w:tcW w:type="dxa" w:w="2592"/>
            <w:vAlign w:val="top"/>
          </w:tcPr>
          <w:p>
            <w:pPr>
              <w:spacing w:after="0"/>
            </w:pPr>
            <w:r/>
            <w:r>
              <w:rPr>
                <w:b w:val="0"/>
                <w:sz w:val="17"/>
              </w:rPr>
              <w:t>State capacity</w:t>
            </w:r>
          </w:p>
        </w:tc>
        <w:tc>
          <w:tcPr>
            <w:tcW w:type="dxa" w:w="8640"/>
            <w:vAlign w:val="top"/>
          </w:tcPr>
          <w:p>
            <w:pPr>
              <w:spacing w:after="0"/>
            </w:pPr>
            <w:r/>
            <w:r>
              <w:rPr>
                <w:b w:val="0"/>
                <w:sz w:val="17"/>
              </w:rPr>
              <w:t>Give departments reusable rails, clear data stewardship and reviewable logs.</w:t>
            </w:r>
          </w:p>
        </w:tc>
      </w:tr>
      <w:tr>
        <w:trPr>
          <w:cantSplit/>
        </w:trPr>
        <w:tc>
          <w:tcPr>
            <w:tcW w:type="dxa" w:w="2592"/>
            <w:vAlign w:val="top"/>
          </w:tcPr>
          <w:p>
            <w:pPr>
              <w:spacing w:after="0"/>
            </w:pPr>
            <w:r/>
            <w:r>
              <w:rPr>
                <w:b w:val="0"/>
                <w:sz w:val="17"/>
              </w:rPr>
              <w:t>Ecosystem readiness</w:t>
            </w:r>
          </w:p>
        </w:tc>
        <w:tc>
          <w:tcPr>
            <w:tcW w:type="dxa" w:w="8640"/>
            <w:vAlign w:val="top"/>
          </w:tcPr>
          <w:p>
            <w:pPr>
              <w:spacing w:after="0"/>
            </w:pPr>
            <w:r/>
            <w:r>
              <w:rPr>
                <w:b w:val="0"/>
                <w:sz w:val="17"/>
              </w:rPr>
              <w:t>Enable lawful innovation, analytics and credential verification without centralising sensitive source data.</w:t>
            </w:r>
          </w:p>
        </w:tc>
      </w:tr>
      <w:tr>
        <w:trPr>
          <w:cantSplit/>
        </w:trPr>
        <w:tc>
          <w:tcPr>
            <w:tcW w:type="dxa" w:w="2592"/>
            <w:vAlign w:val="top"/>
          </w:tcPr>
          <w:p>
            <w:pPr>
              <w:spacing w:after="0"/>
            </w:pPr>
            <w:r/>
            <w:r>
              <w:rPr>
                <w:b w:val="0"/>
                <w:sz w:val="17"/>
              </w:rPr>
              <w:t>Cost</w:t>
            </w:r>
          </w:p>
        </w:tc>
        <w:tc>
          <w:tcPr>
            <w:tcW w:type="dxa" w:w="8640"/>
            <w:vAlign w:val="top"/>
          </w:tcPr>
          <w:p>
            <w:pPr>
              <w:spacing w:after="0"/>
            </w:pPr>
            <w:r/>
            <w:r>
              <w:rPr>
                <w:b w:val="0"/>
                <w:sz w:val="17"/>
              </w:rPr>
              <w:t>Avoid repeated one-off integrations and reduce duplicate infrastructure through managed Trust Nodes for smaller agencies.</w:t>
            </w:r>
          </w:p>
        </w:tc>
      </w:tr>
    </w:tbl>
    <w:p>
      <w:pPr>
        <w:pStyle w:val="Heading1"/>
      </w:pPr>
      <w:r>
        <w:t>5. Vision, objectives and guiding principles</w:t>
      </w:r>
    </w:p>
    <w:p>
      <w:pPr>
        <w:pStyle w:val="Heading2"/>
      </w:pPr>
      <w:r>
        <w:t>5.1 Vision</w:t>
      </w:r>
    </w:p>
    <w:p>
      <w:pPr>
        <w:spacing w:after="100"/>
      </w:pPr>
      <w:r>
        <w:t>Create a national, cloud-agnostic trust fabric where authorised organisations can discover, request, approve, verify, exchange and audit data through standardised, purpose-bound, minimised and citizen-aware mechanisms.</w:t>
      </w:r>
    </w:p>
    <w:p>
      <w:pPr>
        <w:pStyle w:val="Heading2"/>
      </w:pPr>
      <w:r>
        <w:t>5.2 Business objectives</w:t>
      </w:r>
    </w:p>
    <w:p>
      <w:pPr>
        <w:pStyle w:val="ListBullet"/>
        <w:spacing w:after="40"/>
      </w:pPr>
      <w:r>
        <w:t>Enable lawful, auditable exchange across Centre, states and authorised ecosystems.</w:t>
      </w:r>
    </w:p>
    <w:p>
      <w:pPr>
        <w:pStyle w:val="ListBullet"/>
        <w:spacing w:after="40"/>
      </w:pPr>
      <w:r>
        <w:t>Reduce repeated citizen submission of documents and proofs.</w:t>
      </w:r>
    </w:p>
    <w:p>
      <w:pPr>
        <w:pStyle w:val="ListBullet"/>
        <w:spacing w:after="40"/>
      </w:pPr>
      <w:r>
        <w:t>Preserve source department ownership and accountability.</w:t>
      </w:r>
    </w:p>
    <w:p>
      <w:pPr>
        <w:pStyle w:val="ListBullet"/>
        <w:spacing w:after="40"/>
      </w:pPr>
      <w:r>
        <w:t>Support portability across NIC/MeghRaj, state cloud, AWS, Azure, GCP, private cloud and on-premises deployments.</w:t>
      </w:r>
    </w:p>
    <w:p>
      <w:pPr>
        <w:pStyle w:val="ListBullet"/>
        <w:spacing w:after="40"/>
      </w:pPr>
      <w:r>
        <w:t>Make audit, grievance, purpose, minimisation and policy enforcement measurable.</w:t>
      </w:r>
    </w:p>
    <w:p>
      <w:pPr>
        <w:pStyle w:val="ListBullet"/>
        <w:spacing w:after="40"/>
      </w:pPr>
      <w:r>
        <w:t>Complement API Setu, DigiLocker, Entity Locker, state exchanges and verifiable credentials.</w:t>
      </w:r>
    </w:p>
    <w:p>
      <w:pPr>
        <w:pStyle w:val="Heading2"/>
      </w:pPr>
      <w:r>
        <w:t>5.3 Guiding principles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cantSplit/>
          <w:tblHeader/>
        </w:trPr>
        <w:tc>
          <w:tcPr>
            <w:tcW w:type="dxa" w:w="2592"/>
            <w:vAlign w:val="top"/>
            <w:shd w:fill="17365D"/>
          </w:tcPr>
          <w:p>
            <w:pPr>
              <w:spacing w:after="0"/>
            </w:pPr>
            <w:r/>
            <w:r>
              <w:rPr>
                <w:b/>
                <w:color w:val="FFFFFF"/>
                <w:sz w:val="17"/>
              </w:rPr>
              <w:t>Principle</w:t>
            </w:r>
          </w:p>
        </w:tc>
        <w:tc>
          <w:tcPr>
            <w:tcW w:type="dxa" w:w="8640"/>
            <w:vAlign w:val="top"/>
            <w:shd w:fill="17365D"/>
          </w:tcPr>
          <w:p>
            <w:pPr>
              <w:spacing w:after="0"/>
            </w:pPr>
            <w:r/>
            <w:r>
              <w:rPr>
                <w:b/>
                <w:color w:val="FFFFFF"/>
                <w:sz w:val="17"/>
              </w:rPr>
              <w:t>Meaning</w:t>
            </w:r>
          </w:p>
        </w:tc>
      </w:tr>
      <w:tr>
        <w:trPr>
          <w:cantSplit/>
        </w:trPr>
        <w:tc>
          <w:tcPr>
            <w:tcW w:type="dxa" w:w="2592"/>
            <w:vAlign w:val="top"/>
          </w:tcPr>
          <w:p>
            <w:pPr>
              <w:spacing w:after="0"/>
            </w:pPr>
            <w:r/>
            <w:r>
              <w:rPr>
                <w:b w:val="0"/>
                <w:sz w:val="17"/>
              </w:rPr>
              <w:t>Federated by design</w:t>
            </w:r>
          </w:p>
        </w:tc>
        <w:tc>
          <w:tcPr>
            <w:tcW w:type="dxa" w:w="8640"/>
            <w:vAlign w:val="top"/>
          </w:tcPr>
          <w:p>
            <w:pPr>
              <w:spacing w:after="0"/>
            </w:pPr>
            <w:r/>
            <w:r>
              <w:rPr>
                <w:b w:val="0"/>
                <w:sz w:val="17"/>
              </w:rPr>
              <w:t>Data remains with the owning department or authorised source. Trust, standards and audit are shared.</w:t>
            </w:r>
          </w:p>
        </w:tc>
      </w:tr>
      <w:tr>
        <w:trPr>
          <w:cantSplit/>
        </w:trPr>
        <w:tc>
          <w:tcPr>
            <w:tcW w:type="dxa" w:w="2592"/>
            <w:vAlign w:val="top"/>
          </w:tcPr>
          <w:p>
            <w:pPr>
              <w:spacing w:after="0"/>
            </w:pPr>
            <w:r/>
            <w:r>
              <w:rPr>
                <w:b w:val="0"/>
                <w:sz w:val="17"/>
              </w:rPr>
              <w:t>Cloud-agnostic by design</w:t>
            </w:r>
          </w:p>
        </w:tc>
        <w:tc>
          <w:tcPr>
            <w:tcW w:type="dxa" w:w="8640"/>
            <w:vAlign w:val="top"/>
          </w:tcPr>
          <w:p>
            <w:pPr>
              <w:spacing w:after="0"/>
            </w:pPr>
            <w:r/>
            <w:r>
              <w:rPr>
                <w:b w:val="0"/>
                <w:sz w:val="17"/>
              </w:rPr>
              <w:t>Core runtime, APIs, policies and data contracts are portable across approved hosting environments.</w:t>
            </w:r>
          </w:p>
        </w:tc>
      </w:tr>
      <w:tr>
        <w:trPr>
          <w:cantSplit/>
        </w:trPr>
        <w:tc>
          <w:tcPr>
            <w:tcW w:type="dxa" w:w="2592"/>
            <w:vAlign w:val="top"/>
          </w:tcPr>
          <w:p>
            <w:pPr>
              <w:spacing w:after="0"/>
            </w:pPr>
            <w:r/>
            <w:r>
              <w:rPr>
                <w:b w:val="0"/>
                <w:sz w:val="17"/>
              </w:rPr>
              <w:t>Purpose-bound exchange</w:t>
            </w:r>
          </w:p>
        </w:tc>
        <w:tc>
          <w:tcPr>
            <w:tcW w:type="dxa" w:w="8640"/>
            <w:vAlign w:val="top"/>
          </w:tcPr>
          <w:p>
            <w:pPr>
              <w:spacing w:after="0"/>
            </w:pPr>
            <w:r/>
            <w:r>
              <w:rPr>
                <w:b w:val="0"/>
                <w:sz w:val="17"/>
              </w:rPr>
              <w:t>Every request carries declared purpose, data class, approval and applicable lawful basis or consent/notice reference.</w:t>
            </w:r>
          </w:p>
        </w:tc>
      </w:tr>
      <w:tr>
        <w:trPr>
          <w:cantSplit/>
        </w:trPr>
        <w:tc>
          <w:tcPr>
            <w:tcW w:type="dxa" w:w="2592"/>
            <w:vAlign w:val="top"/>
          </w:tcPr>
          <w:p>
            <w:pPr>
              <w:spacing w:after="0"/>
            </w:pPr>
            <w:r/>
            <w:r>
              <w:rPr>
                <w:b w:val="0"/>
                <w:sz w:val="17"/>
              </w:rPr>
              <w:t>Minimal disclosure</w:t>
            </w:r>
          </w:p>
        </w:tc>
        <w:tc>
          <w:tcPr>
            <w:tcW w:type="dxa" w:w="8640"/>
            <w:vAlign w:val="top"/>
          </w:tcPr>
          <w:p>
            <w:pPr>
              <w:spacing w:after="0"/>
            </w:pPr>
            <w:r/>
            <w:r>
              <w:rPr>
                <w:b w:val="0"/>
                <w:sz w:val="17"/>
              </w:rPr>
              <w:t>Prefer yes/no verification, signed assertion, masked response or selective disclosure over full-record sharing.</w:t>
            </w:r>
          </w:p>
        </w:tc>
      </w:tr>
      <w:tr>
        <w:trPr>
          <w:cantSplit/>
        </w:trPr>
        <w:tc>
          <w:tcPr>
            <w:tcW w:type="dxa" w:w="2592"/>
            <w:vAlign w:val="top"/>
          </w:tcPr>
          <w:p>
            <w:pPr>
              <w:spacing w:after="0"/>
            </w:pPr>
            <w:r/>
            <w:r>
              <w:rPr>
                <w:b w:val="0"/>
                <w:sz w:val="17"/>
              </w:rPr>
              <w:t>Audit as trust</w:t>
            </w:r>
          </w:p>
        </w:tc>
        <w:tc>
          <w:tcPr>
            <w:tcW w:type="dxa" w:w="8640"/>
            <w:vAlign w:val="top"/>
          </w:tcPr>
          <w:p>
            <w:pPr>
              <w:spacing w:after="0"/>
            </w:pPr>
            <w:r/>
            <w:r>
              <w:rPr>
                <w:b w:val="0"/>
                <w:sz w:val="17"/>
              </w:rPr>
              <w:t>Every exchange is timestamped, signed, logged, reviewable and tamper-evident.</w:t>
            </w:r>
          </w:p>
        </w:tc>
      </w:tr>
      <w:tr>
        <w:trPr>
          <w:cantSplit/>
        </w:trPr>
        <w:tc>
          <w:tcPr>
            <w:tcW w:type="dxa" w:w="2592"/>
            <w:vAlign w:val="top"/>
          </w:tcPr>
          <w:p>
            <w:pPr>
              <w:spacing w:after="0"/>
            </w:pPr>
            <w:r/>
            <w:r>
              <w:rPr>
                <w:b w:val="0"/>
                <w:sz w:val="17"/>
              </w:rPr>
              <w:t>Citizen agency</w:t>
            </w:r>
          </w:p>
        </w:tc>
        <w:tc>
          <w:tcPr>
            <w:tcW w:type="dxa" w:w="8640"/>
            <w:vAlign w:val="top"/>
          </w:tcPr>
          <w:p>
            <w:pPr>
              <w:spacing w:after="0"/>
            </w:pPr>
            <w:r/>
            <w:r>
              <w:rPr>
                <w:b w:val="0"/>
                <w:sz w:val="17"/>
              </w:rPr>
              <w:t>Citizen-linked data has visible purpose, wallet reuse, correction and grievance paths where applicable.</w:t>
            </w:r>
          </w:p>
        </w:tc>
      </w:tr>
      <w:tr>
        <w:trPr>
          <w:cantSplit/>
        </w:trPr>
        <w:tc>
          <w:tcPr>
            <w:tcW w:type="dxa" w:w="2592"/>
            <w:vAlign w:val="top"/>
          </w:tcPr>
          <w:p>
            <w:pPr>
              <w:spacing w:after="0"/>
            </w:pPr>
            <w:r/>
            <w:r>
              <w:rPr>
                <w:b w:val="0"/>
                <w:sz w:val="17"/>
              </w:rPr>
              <w:t>Policy as code</w:t>
            </w:r>
          </w:p>
        </w:tc>
        <w:tc>
          <w:tcPr>
            <w:tcW w:type="dxa" w:w="8640"/>
            <w:vAlign w:val="top"/>
          </w:tcPr>
          <w:p>
            <w:pPr>
              <w:spacing w:after="0"/>
            </w:pPr>
            <w:r/>
            <w:r>
              <w:rPr>
                <w:b w:val="0"/>
                <w:sz w:val="17"/>
              </w:rPr>
              <w:t>Approval rules become testable machine-enforced policies, not only manual SOPs.</w:t>
            </w:r>
          </w:p>
        </w:tc>
      </w:tr>
      <w:tr>
        <w:trPr>
          <w:cantSplit/>
        </w:trPr>
        <w:tc>
          <w:tcPr>
            <w:tcW w:type="dxa" w:w="2592"/>
            <w:vAlign w:val="top"/>
          </w:tcPr>
          <w:p>
            <w:pPr>
              <w:spacing w:after="0"/>
            </w:pPr>
            <w:r/>
            <w:r>
              <w:rPr>
                <w:b w:val="0"/>
                <w:sz w:val="17"/>
              </w:rPr>
              <w:t>No vendor lock-in</w:t>
            </w:r>
          </w:p>
        </w:tc>
        <w:tc>
          <w:tcPr>
            <w:tcW w:type="dxa" w:w="8640"/>
            <w:vAlign w:val="top"/>
          </w:tcPr>
          <w:p>
            <w:pPr>
              <w:spacing w:after="0"/>
            </w:pPr>
            <w:r/>
            <w:r>
              <w:rPr>
                <w:b w:val="0"/>
                <w:sz w:val="17"/>
              </w:rPr>
              <w:t>Use open standards, portable deployment and provider-specific adapters with conformance tests.</w:t>
            </w:r>
          </w:p>
        </w:tc>
      </w:tr>
    </w:tbl>
    <w:p>
      <w:r>
        <w:br w:type="page"/>
      </w:r>
    </w:p>
    <w:p>
      <w:pPr>
        <w:pStyle w:val="Heading1"/>
      </w:pPr>
      <w:r>
        <w:t>6. Scope and non-scope</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cantSplit/>
          <w:tblHeader/>
        </w:trPr>
        <w:tc>
          <w:tcPr>
            <w:tcW w:type="dxa" w:w="5616"/>
            <w:vAlign w:val="top"/>
            <w:shd w:fill="17365D"/>
          </w:tcPr>
          <w:p>
            <w:pPr>
              <w:spacing w:after="0"/>
            </w:pPr>
            <w:r/>
            <w:r>
              <w:rPr>
                <w:b/>
                <w:color w:val="FFFFFF"/>
                <w:sz w:val="17"/>
              </w:rPr>
              <w:t>In scope</w:t>
            </w:r>
          </w:p>
        </w:tc>
        <w:tc>
          <w:tcPr>
            <w:tcW w:type="dxa" w:w="5616"/>
            <w:vAlign w:val="top"/>
            <w:shd w:fill="17365D"/>
          </w:tcPr>
          <w:p>
            <w:pPr>
              <w:spacing w:after="0"/>
            </w:pPr>
            <w:r/>
            <w:r>
              <w:rPr>
                <w:b/>
                <w:color w:val="FFFFFF"/>
                <w:sz w:val="17"/>
              </w:rPr>
              <w:t>Out of scope</w:t>
            </w:r>
          </w:p>
        </w:tc>
      </w:tr>
      <w:tr>
        <w:trPr>
          <w:cantSplit/>
        </w:trPr>
        <w:tc>
          <w:tcPr>
            <w:tcW w:type="dxa" w:w="5616"/>
            <w:vAlign w:val="top"/>
          </w:tcPr>
          <w:p>
            <w:pPr>
              <w:spacing w:after="0"/>
            </w:pPr>
            <w:r/>
            <w:r>
              <w:rPr>
                <w:b w:val="0"/>
                <w:sz w:val="17"/>
              </w:rPr>
              <w:t>Member onboarding, verification, suspension, revocation and recertification.</w:t>
            </w:r>
          </w:p>
        </w:tc>
        <w:tc>
          <w:tcPr>
            <w:tcW w:type="dxa" w:w="5616"/>
            <w:vAlign w:val="top"/>
          </w:tcPr>
          <w:p>
            <w:pPr>
              <w:spacing w:after="0"/>
            </w:pPr>
            <w:r/>
            <w:r>
              <w:rPr>
                <w:b w:val="0"/>
                <w:sz w:val="17"/>
              </w:rPr>
              <w:t>Central storage of all citizen records or department master data.</w:t>
            </w:r>
          </w:p>
        </w:tc>
      </w:tr>
      <w:tr>
        <w:trPr>
          <w:cantSplit/>
        </w:trPr>
        <w:tc>
          <w:tcPr>
            <w:tcW w:type="dxa" w:w="5616"/>
            <w:vAlign w:val="top"/>
          </w:tcPr>
          <w:p>
            <w:pPr>
              <w:spacing w:after="0"/>
            </w:pPr>
            <w:r/>
            <w:r>
              <w:rPr>
                <w:b w:val="0"/>
                <w:sz w:val="17"/>
              </w:rPr>
              <w:t>Service/API/event/credential catalogue with metadata, schemas, SLA and access policies.</w:t>
            </w:r>
          </w:p>
        </w:tc>
        <w:tc>
          <w:tcPr>
            <w:tcW w:type="dxa" w:w="5616"/>
            <w:vAlign w:val="top"/>
          </w:tcPr>
          <w:p>
            <w:pPr>
              <w:spacing w:after="0"/>
            </w:pPr>
            <w:r/>
            <w:r>
              <w:rPr>
                <w:b w:val="0"/>
                <w:sz w:val="17"/>
              </w:rPr>
              <w:t>Replacement of source department applications.</w:t>
            </w:r>
          </w:p>
        </w:tc>
      </w:tr>
      <w:tr>
        <w:trPr>
          <w:cantSplit/>
        </w:trPr>
        <w:tc>
          <w:tcPr>
            <w:tcW w:type="dxa" w:w="5616"/>
            <w:vAlign w:val="top"/>
          </w:tcPr>
          <w:p>
            <w:pPr>
              <w:spacing w:after="0"/>
            </w:pPr>
            <w:r/>
            <w:r>
              <w:rPr>
                <w:b w:val="0"/>
                <w:sz w:val="17"/>
              </w:rPr>
              <w:t>Purpose registry, policy decision service, approval workflow and policy-as-code.</w:t>
            </w:r>
          </w:p>
        </w:tc>
        <w:tc>
          <w:tcPr>
            <w:tcW w:type="dxa" w:w="5616"/>
            <w:vAlign w:val="top"/>
          </w:tcPr>
          <w:p>
            <w:pPr>
              <w:spacing w:after="0"/>
            </w:pPr>
            <w:r/>
            <w:r>
              <w:rPr>
                <w:b w:val="0"/>
                <w:sz w:val="17"/>
              </w:rPr>
              <w:t>Replacement of API Setu, DigiLocker, Entity Locker or state exchanges.</w:t>
            </w:r>
          </w:p>
        </w:tc>
      </w:tr>
      <w:tr>
        <w:trPr>
          <w:cantSplit/>
        </w:trPr>
        <w:tc>
          <w:tcPr>
            <w:tcW w:type="dxa" w:w="5616"/>
            <w:vAlign w:val="top"/>
          </w:tcPr>
          <w:p>
            <w:pPr>
              <w:spacing w:after="0"/>
            </w:pPr>
            <w:r/>
            <w:r>
              <w:rPr>
                <w:b w:val="0"/>
                <w:sz w:val="17"/>
              </w:rPr>
              <w:t>BTX Trust Node runtime for department, state, managed tenant and hybrid deployments.</w:t>
            </w:r>
          </w:p>
        </w:tc>
        <w:tc>
          <w:tcPr>
            <w:tcW w:type="dxa" w:w="5616"/>
            <w:vAlign w:val="top"/>
          </w:tcPr>
          <w:p>
            <w:pPr>
              <w:spacing w:after="0"/>
            </w:pPr>
            <w:r/>
            <w:r>
              <w:rPr>
                <w:b w:val="0"/>
                <w:sz w:val="17"/>
              </w:rPr>
              <w:t>Unlimited bulk extraction without purpose, approval, minimisation and audit.</w:t>
            </w:r>
          </w:p>
        </w:tc>
      </w:tr>
      <w:tr>
        <w:trPr>
          <w:cantSplit/>
        </w:trPr>
        <w:tc>
          <w:tcPr>
            <w:tcW w:type="dxa" w:w="5616"/>
            <w:vAlign w:val="top"/>
          </w:tcPr>
          <w:p>
            <w:pPr>
              <w:spacing w:after="0"/>
            </w:pPr>
            <w:r/>
            <w:r>
              <w:rPr>
                <w:b w:val="0"/>
                <w:sz w:val="17"/>
              </w:rPr>
              <w:t>Consent, notice and lawful-basis controls where applicable.</w:t>
            </w:r>
          </w:p>
        </w:tc>
        <w:tc>
          <w:tcPr>
            <w:tcW w:type="dxa" w:w="5616"/>
            <w:vAlign w:val="top"/>
          </w:tcPr>
          <w:p>
            <w:pPr>
              <w:spacing w:after="0"/>
            </w:pPr>
            <w:r/>
            <w:r>
              <w:rPr>
                <w:b w:val="0"/>
                <w:sz w:val="17"/>
              </w:rPr>
              <w:t>Policy decisions that override statutory restrictions or authorised department ownership.</w:t>
            </w:r>
          </w:p>
        </w:tc>
      </w:tr>
      <w:tr>
        <w:trPr>
          <w:cantSplit/>
        </w:trPr>
        <w:tc>
          <w:tcPr>
            <w:tcW w:type="dxa" w:w="5616"/>
            <w:vAlign w:val="top"/>
          </w:tcPr>
          <w:p>
            <w:pPr>
              <w:spacing w:after="0"/>
            </w:pPr>
            <w:r/>
            <w:r>
              <w:rPr>
                <w:b w:val="0"/>
                <w:sz w:val="17"/>
              </w:rPr>
              <w:t>Tamper-evident audit, SLA, grievance and investigation dashboards.</w:t>
            </w:r>
          </w:p>
        </w:tc>
        <w:tc>
          <w:tcPr>
            <w:tcW w:type="dxa" w:w="5616"/>
            <w:vAlign w:val="top"/>
          </w:tcPr>
          <w:p>
            <w:pPr>
              <w:spacing w:after="0"/>
            </w:pPr>
            <w:r/>
            <w:r>
              <w:rPr>
                <w:b w:val="0"/>
                <w:sz w:val="17"/>
              </w:rPr>
              <w:t>A single mandatory cloud-provider architecture.</w:t>
            </w:r>
          </w:p>
        </w:tc>
      </w:tr>
    </w:tbl>
    <w:p>
      <w:pPr>
        <w:pStyle w:val="Heading1"/>
      </w:pPr>
      <w:r>
        <w:t>7. Stakeholders and personas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cantSplit/>
          <w:tblHeader/>
        </w:trPr>
        <w:tc>
          <w:tcPr>
            <w:tcW w:type="dxa" w:w="2880"/>
            <w:vAlign w:val="top"/>
            <w:shd w:fill="17365D"/>
          </w:tcPr>
          <w:p>
            <w:pPr>
              <w:spacing w:after="0"/>
            </w:pPr>
            <w:r/>
            <w:r>
              <w:rPr>
                <w:b/>
                <w:color w:val="FFFFFF"/>
                <w:sz w:val="17"/>
              </w:rPr>
              <w:t>Persona</w:t>
            </w:r>
          </w:p>
        </w:tc>
        <w:tc>
          <w:tcPr>
            <w:tcW w:type="dxa" w:w="8352"/>
            <w:vAlign w:val="top"/>
            <w:shd w:fill="17365D"/>
          </w:tcPr>
          <w:p>
            <w:pPr>
              <w:spacing w:after="0"/>
            </w:pPr>
            <w:r/>
            <w:r>
              <w:rPr>
                <w:b/>
                <w:color w:val="FFFFFF"/>
                <w:sz w:val="17"/>
              </w:rPr>
              <w:t>Primary responsibility</w:t>
            </w:r>
          </w:p>
        </w:tc>
      </w:tr>
      <w:tr>
        <w:trPr>
          <w:cantSplit/>
        </w:trPr>
        <w:tc>
          <w:tcPr>
            <w:tcW w:type="dxa" w:w="2880"/>
            <w:vAlign w:val="top"/>
          </w:tcPr>
          <w:p>
            <w:pPr>
              <w:spacing w:after="0"/>
            </w:pPr>
            <w:r/>
            <w:r>
              <w:rPr>
                <w:b w:val="0"/>
                <w:sz w:val="17"/>
              </w:rPr>
              <w:t>National BTX Authority</w:t>
            </w:r>
          </w:p>
        </w:tc>
        <w:tc>
          <w:tcPr>
            <w:tcW w:type="dxa" w:w="8352"/>
            <w:vAlign w:val="top"/>
          </w:tcPr>
          <w:p>
            <w:pPr>
              <w:spacing w:after="0"/>
            </w:pPr>
            <w:r/>
            <w:r>
              <w:rPr>
                <w:b w:val="0"/>
                <w:sz w:val="17"/>
              </w:rPr>
              <w:t>Owns product roadmap, national conformance, standards, certification, funding model and dispute resolution.</w:t>
            </w:r>
          </w:p>
        </w:tc>
      </w:tr>
      <w:tr>
        <w:trPr>
          <w:cantSplit/>
        </w:trPr>
        <w:tc>
          <w:tcPr>
            <w:tcW w:type="dxa" w:w="2880"/>
            <w:vAlign w:val="top"/>
          </w:tcPr>
          <w:p>
            <w:pPr>
              <w:spacing w:after="0"/>
            </w:pPr>
            <w:r/>
            <w:r>
              <w:rPr>
                <w:b w:val="0"/>
                <w:sz w:val="17"/>
              </w:rPr>
              <w:t>State Platform Authority</w:t>
            </w:r>
          </w:p>
        </w:tc>
        <w:tc>
          <w:tcPr>
            <w:tcW w:type="dxa" w:w="8352"/>
            <w:vAlign w:val="top"/>
          </w:tcPr>
          <w:p>
            <w:pPr>
              <w:spacing w:after="0"/>
            </w:pPr>
            <w:r/>
            <w:r>
              <w:rPr>
                <w:b w:val="0"/>
                <w:sz w:val="17"/>
              </w:rPr>
              <w:t>Operates state federation, local onboarding, policy alignment and department support.</w:t>
            </w:r>
          </w:p>
        </w:tc>
      </w:tr>
      <w:tr>
        <w:trPr>
          <w:cantSplit/>
        </w:trPr>
        <w:tc>
          <w:tcPr>
            <w:tcW w:type="dxa" w:w="2880"/>
            <w:vAlign w:val="top"/>
          </w:tcPr>
          <w:p>
            <w:pPr>
              <w:spacing w:after="0"/>
            </w:pPr>
            <w:r/>
            <w:r>
              <w:rPr>
                <w:b w:val="0"/>
                <w:sz w:val="17"/>
              </w:rPr>
              <w:t>Provider Department</w:t>
            </w:r>
          </w:p>
        </w:tc>
        <w:tc>
          <w:tcPr>
            <w:tcW w:type="dxa" w:w="8352"/>
            <w:vAlign w:val="top"/>
          </w:tcPr>
          <w:p>
            <w:pPr>
              <w:spacing w:after="0"/>
            </w:pPr>
            <w:r/>
            <w:r>
              <w:rPr>
                <w:b w:val="0"/>
                <w:sz w:val="17"/>
              </w:rPr>
              <w:t>Publishes services and controls source-system response rules.</w:t>
            </w:r>
          </w:p>
        </w:tc>
      </w:tr>
      <w:tr>
        <w:trPr>
          <w:cantSplit/>
        </w:trPr>
        <w:tc>
          <w:tcPr>
            <w:tcW w:type="dxa" w:w="2880"/>
            <w:vAlign w:val="top"/>
          </w:tcPr>
          <w:p>
            <w:pPr>
              <w:spacing w:after="0"/>
            </w:pPr>
            <w:r/>
            <w:r>
              <w:rPr>
                <w:b w:val="0"/>
                <w:sz w:val="17"/>
              </w:rPr>
              <w:t>Requester Department</w:t>
            </w:r>
          </w:p>
        </w:tc>
        <w:tc>
          <w:tcPr>
            <w:tcW w:type="dxa" w:w="8352"/>
            <w:vAlign w:val="top"/>
          </w:tcPr>
          <w:p>
            <w:pPr>
              <w:spacing w:after="0"/>
            </w:pPr>
            <w:r/>
            <w:r>
              <w:rPr>
                <w:b w:val="0"/>
                <w:sz w:val="17"/>
              </w:rPr>
              <w:t>Consumes approved services for service delivery, eligibility, compliance or workflow automation.</w:t>
            </w:r>
          </w:p>
        </w:tc>
      </w:tr>
      <w:tr>
        <w:trPr>
          <w:cantSplit/>
        </w:trPr>
        <w:tc>
          <w:tcPr>
            <w:tcW w:type="dxa" w:w="2880"/>
            <w:vAlign w:val="top"/>
          </w:tcPr>
          <w:p>
            <w:pPr>
              <w:spacing w:after="0"/>
            </w:pPr>
            <w:r/>
            <w:r>
              <w:rPr>
                <w:b w:val="0"/>
                <w:sz w:val="17"/>
              </w:rPr>
              <w:t>Data Steward</w:t>
            </w:r>
          </w:p>
        </w:tc>
        <w:tc>
          <w:tcPr>
            <w:tcW w:type="dxa" w:w="8352"/>
            <w:vAlign w:val="top"/>
          </w:tcPr>
          <w:p>
            <w:pPr>
              <w:spacing w:after="0"/>
            </w:pPr>
            <w:r/>
            <w:r>
              <w:rPr>
                <w:b w:val="0"/>
                <w:sz w:val="17"/>
              </w:rPr>
              <w:t>Classifies datasets, approves access, reviews purpose, owns SLA and revocation decisions.</w:t>
            </w:r>
          </w:p>
        </w:tc>
      </w:tr>
      <w:tr>
        <w:trPr>
          <w:cantSplit/>
        </w:trPr>
        <w:tc>
          <w:tcPr>
            <w:tcW w:type="dxa" w:w="2880"/>
            <w:vAlign w:val="top"/>
          </w:tcPr>
          <w:p>
            <w:pPr>
              <w:spacing w:after="0"/>
            </w:pPr>
            <w:r/>
            <w:r>
              <w:rPr>
                <w:b w:val="0"/>
                <w:sz w:val="17"/>
              </w:rPr>
              <w:t>Security Officer</w:t>
            </w:r>
          </w:p>
        </w:tc>
        <w:tc>
          <w:tcPr>
            <w:tcW w:type="dxa" w:w="8352"/>
            <w:vAlign w:val="top"/>
          </w:tcPr>
          <w:p>
            <w:pPr>
              <w:spacing w:after="0"/>
            </w:pPr>
            <w:r/>
            <w:r>
              <w:rPr>
                <w:b w:val="0"/>
                <w:sz w:val="17"/>
              </w:rPr>
              <w:t>Reviews keys, certificates, Trust Node posture, incidents and emergency revocation.</w:t>
            </w:r>
          </w:p>
        </w:tc>
      </w:tr>
      <w:tr>
        <w:trPr>
          <w:cantSplit/>
        </w:trPr>
        <w:tc>
          <w:tcPr>
            <w:tcW w:type="dxa" w:w="2880"/>
            <w:vAlign w:val="top"/>
          </w:tcPr>
          <w:p>
            <w:pPr>
              <w:spacing w:after="0"/>
            </w:pPr>
            <w:r/>
            <w:r>
              <w:rPr>
                <w:b w:val="0"/>
                <w:sz w:val="17"/>
              </w:rPr>
              <w:t>Privacy/Legal Officer</w:t>
            </w:r>
          </w:p>
        </w:tc>
        <w:tc>
          <w:tcPr>
            <w:tcW w:type="dxa" w:w="8352"/>
            <w:vAlign w:val="top"/>
          </w:tcPr>
          <w:p>
            <w:pPr>
              <w:spacing w:after="0"/>
            </w:pPr>
            <w:r/>
            <w:r>
              <w:rPr>
                <w:b w:val="0"/>
                <w:sz w:val="17"/>
              </w:rPr>
              <w:t>Validates lawful basis, consent/notice, DPIA, retention and citizen rights.</w:t>
            </w:r>
          </w:p>
        </w:tc>
      </w:tr>
      <w:tr>
        <w:trPr>
          <w:cantSplit/>
        </w:trPr>
        <w:tc>
          <w:tcPr>
            <w:tcW w:type="dxa" w:w="2880"/>
            <w:vAlign w:val="top"/>
          </w:tcPr>
          <w:p>
            <w:pPr>
              <w:spacing w:after="0"/>
            </w:pPr>
            <w:r/>
            <w:r>
              <w:rPr>
                <w:b w:val="0"/>
                <w:sz w:val="17"/>
              </w:rPr>
              <w:t>Citizen/Data Principal</w:t>
            </w:r>
          </w:p>
        </w:tc>
        <w:tc>
          <w:tcPr>
            <w:tcW w:type="dxa" w:w="8352"/>
            <w:vAlign w:val="top"/>
          </w:tcPr>
          <w:p>
            <w:pPr>
              <w:spacing w:after="0"/>
            </w:pPr>
            <w:r/>
            <w:r>
              <w:rPr>
                <w:b w:val="0"/>
                <w:sz w:val="17"/>
              </w:rPr>
              <w:t>Receives notice, reuses wallet records, sees sharing history and raises correction or grievance where applicable.</w:t>
            </w:r>
          </w:p>
        </w:tc>
      </w:tr>
      <w:tr>
        <w:trPr>
          <w:cantSplit/>
        </w:trPr>
        <w:tc>
          <w:tcPr>
            <w:tcW w:type="dxa" w:w="2880"/>
            <w:vAlign w:val="top"/>
          </w:tcPr>
          <w:p>
            <w:pPr>
              <w:spacing w:after="0"/>
            </w:pPr>
            <w:r/>
            <w:r>
              <w:rPr>
                <w:b w:val="0"/>
                <w:sz w:val="17"/>
              </w:rPr>
              <w:t>Developer/Integrator</w:t>
            </w:r>
          </w:p>
        </w:tc>
        <w:tc>
          <w:tcPr>
            <w:tcW w:type="dxa" w:w="8352"/>
            <w:vAlign w:val="top"/>
          </w:tcPr>
          <w:p>
            <w:pPr>
              <w:spacing w:after="0"/>
            </w:pPr>
            <w:r/>
            <w:r>
              <w:rPr>
                <w:b w:val="0"/>
                <w:sz w:val="17"/>
              </w:rPr>
              <w:t>Builds APIs, adapters, event flows and conformance-tested integrations.</w:t>
            </w:r>
          </w:p>
        </w:tc>
      </w:tr>
      <w:tr>
        <w:trPr>
          <w:cantSplit/>
        </w:trPr>
        <w:tc>
          <w:tcPr>
            <w:tcW w:type="dxa" w:w="2880"/>
            <w:vAlign w:val="top"/>
          </w:tcPr>
          <w:p>
            <w:pPr>
              <w:spacing w:after="0"/>
            </w:pPr>
            <w:r/>
            <w:r>
              <w:rPr>
                <w:b w:val="0"/>
                <w:sz w:val="17"/>
              </w:rPr>
              <w:t>Auditor/Oversight Body</w:t>
            </w:r>
          </w:p>
        </w:tc>
        <w:tc>
          <w:tcPr>
            <w:tcW w:type="dxa" w:w="8352"/>
            <w:vAlign w:val="top"/>
          </w:tcPr>
          <w:p>
            <w:pPr>
              <w:spacing w:after="0"/>
            </w:pPr>
            <w:r/>
            <w:r>
              <w:rPr>
                <w:b w:val="0"/>
                <w:sz w:val="17"/>
              </w:rPr>
              <w:t>Reviews logs, anomalies, SLA breaches, exceptions, complaints and periodic access recertification.</w:t>
            </w:r>
          </w:p>
        </w:tc>
      </w:tr>
      <w:tr>
        <w:trPr>
          <w:cantSplit/>
        </w:trPr>
        <w:tc>
          <w:tcPr>
            <w:tcW w:type="dxa" w:w="2880"/>
            <w:vAlign w:val="top"/>
          </w:tcPr>
          <w:p>
            <w:pPr>
              <w:spacing w:after="0"/>
            </w:pPr>
            <w:r/>
            <w:r>
              <w:rPr>
                <w:b w:val="0"/>
                <w:sz w:val="17"/>
              </w:rPr>
              <w:t>Cloud/Platform Operator</w:t>
            </w:r>
          </w:p>
        </w:tc>
        <w:tc>
          <w:tcPr>
            <w:tcW w:type="dxa" w:w="8352"/>
            <w:vAlign w:val="top"/>
          </w:tcPr>
          <w:p>
            <w:pPr>
              <w:spacing w:after="0"/>
            </w:pPr>
            <w:r/>
            <w:r>
              <w:rPr>
                <w:b w:val="0"/>
                <w:sz w:val="17"/>
              </w:rPr>
              <w:t>Runs portable runtime, network, deployment adapters, observability, backup and DR.</w:t>
            </w:r>
          </w:p>
        </w:tc>
      </w:tr>
    </w:tbl>
    <w:p>
      <w:pPr>
        <w:pStyle w:val="Heading1"/>
      </w:pPr>
      <w:r>
        <w:t>8. Target operating model</w:t>
      </w:r>
    </w:p>
    <w:p>
      <w:pPr>
        <w:spacing w:after="100"/>
      </w:pPr>
      <w:r>
        <w:t>BTX is an operating model before it is a technology stack. Every production service must have an accountable data steward, classification, approved purpose, data minimisation rule, SLA, revocation path, audit rule and grievance/correction route where applicable.</w:t>
      </w:r>
    </w:p>
    <w:p>
      <w:pPr>
        <w:pStyle w:val="Heading2"/>
      </w:pPr>
      <w:r>
        <w:t>8.1 Data-sharing lanes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cantSplit/>
          <w:tblHeader/>
        </w:trPr>
        <w:tc>
          <w:tcPr>
            <w:tcW w:type="dxa" w:w="2160"/>
            <w:vAlign w:val="top"/>
            <w:shd w:fill="17365D"/>
          </w:tcPr>
          <w:p>
            <w:pPr>
              <w:spacing w:after="0"/>
            </w:pPr>
            <w:r/>
            <w:r>
              <w:rPr>
                <w:b/>
                <w:color w:val="FFFFFF"/>
                <w:sz w:val="16"/>
              </w:rPr>
              <w:t>Data class</w:t>
            </w:r>
          </w:p>
        </w:tc>
        <w:tc>
          <w:tcPr>
            <w:tcW w:type="dxa" w:w="3168"/>
            <w:vAlign w:val="top"/>
            <w:shd w:fill="17365D"/>
          </w:tcPr>
          <w:p>
            <w:pPr>
              <w:spacing w:after="0"/>
            </w:pPr>
            <w:r/>
            <w:r>
              <w:rPr>
                <w:b/>
                <w:color w:val="FFFFFF"/>
                <w:sz w:val="16"/>
              </w:rPr>
              <w:t>Primary sharing mode</w:t>
            </w:r>
          </w:p>
        </w:tc>
        <w:tc>
          <w:tcPr>
            <w:tcW w:type="dxa" w:w="5904"/>
            <w:vAlign w:val="top"/>
            <w:shd w:fill="17365D"/>
          </w:tcPr>
          <w:p>
            <w:pPr>
              <w:spacing w:after="0"/>
            </w:pPr>
            <w:r/>
            <w:r>
              <w:rPr>
                <w:b/>
                <w:color w:val="FFFFFF"/>
                <w:sz w:val="16"/>
              </w:rPr>
              <w:t>Required controls</w:t>
            </w:r>
          </w:p>
        </w:tc>
      </w:tr>
      <w:tr>
        <w:trPr>
          <w:cantSplit/>
        </w:trPr>
        <w:tc>
          <w:tcPr>
            <w:tcW w:type="dxa" w:w="2160"/>
            <w:vAlign w:val="top"/>
          </w:tcPr>
          <w:p>
            <w:pPr>
              <w:spacing w:after="0"/>
            </w:pPr>
            <w:r/>
            <w:r>
              <w:rPr>
                <w:b w:val="0"/>
                <w:sz w:val="16"/>
              </w:rPr>
              <w:t>Open/public</w:t>
            </w:r>
          </w:p>
        </w:tc>
        <w:tc>
          <w:tcPr>
            <w:tcW w:type="dxa" w:w="3168"/>
            <w:vAlign w:val="top"/>
          </w:tcPr>
          <w:p>
            <w:pPr>
              <w:spacing w:after="0"/>
            </w:pPr>
            <w:r/>
            <w:r>
              <w:rPr>
                <w:b w:val="0"/>
                <w:sz w:val="16"/>
              </w:rPr>
              <w:t>OGD/NDSAP-style open-data publication</w:t>
            </w:r>
          </w:p>
        </w:tc>
        <w:tc>
          <w:tcPr>
            <w:tcW w:type="dxa" w:w="5904"/>
            <w:vAlign w:val="top"/>
          </w:tcPr>
          <w:p>
            <w:pPr>
              <w:spacing w:after="0"/>
            </w:pPr>
            <w:r/>
            <w:r>
              <w:rPr>
                <w:b w:val="0"/>
                <w:sz w:val="16"/>
              </w:rPr>
              <w:t>Machine-readable release, metadata, update cadence, quality checks and non-sensitive status.</w:t>
            </w:r>
          </w:p>
        </w:tc>
      </w:tr>
      <w:tr>
        <w:trPr>
          <w:cantSplit/>
        </w:trPr>
        <w:tc>
          <w:tcPr>
            <w:tcW w:type="dxa" w:w="2160"/>
            <w:vAlign w:val="top"/>
          </w:tcPr>
          <w:p>
            <w:pPr>
              <w:spacing w:after="0"/>
            </w:pPr>
            <w:r/>
            <w:r>
              <w:rPr>
                <w:b w:val="0"/>
                <w:sz w:val="16"/>
              </w:rPr>
              <w:t>Operational exchange</w:t>
            </w:r>
          </w:p>
        </w:tc>
        <w:tc>
          <w:tcPr>
            <w:tcW w:type="dxa" w:w="3168"/>
            <w:vAlign w:val="top"/>
          </w:tcPr>
          <w:p>
            <w:pPr>
              <w:spacing w:after="0"/>
            </w:pPr>
            <w:r/>
            <w:r>
              <w:rPr>
                <w:b w:val="0"/>
                <w:sz w:val="16"/>
              </w:rPr>
              <w:t>Purpose-bound API or event</w:t>
            </w:r>
          </w:p>
        </w:tc>
        <w:tc>
          <w:tcPr>
            <w:tcW w:type="dxa" w:w="5904"/>
            <w:vAlign w:val="top"/>
          </w:tcPr>
          <w:p>
            <w:pPr>
              <w:spacing w:after="0"/>
            </w:pPr>
            <w:r/>
            <w:r>
              <w:rPr>
                <w:b w:val="0"/>
                <w:sz w:val="16"/>
              </w:rPr>
              <w:t>Approvals, RBAC/ABAC, SLA, logs, service agreements, catalogue and data minimisation.</w:t>
            </w:r>
          </w:p>
        </w:tc>
      </w:tr>
      <w:tr>
        <w:trPr>
          <w:cantSplit/>
        </w:trPr>
        <w:tc>
          <w:tcPr>
            <w:tcW w:type="dxa" w:w="2160"/>
            <w:vAlign w:val="top"/>
          </w:tcPr>
          <w:p>
            <w:pPr>
              <w:spacing w:after="0"/>
            </w:pPr>
            <w:r/>
            <w:r>
              <w:rPr>
                <w:b w:val="0"/>
                <w:sz w:val="16"/>
              </w:rPr>
              <w:t>Citizen-portable records</w:t>
            </w:r>
          </w:p>
        </w:tc>
        <w:tc>
          <w:tcPr>
            <w:tcW w:type="dxa" w:w="3168"/>
            <w:vAlign w:val="top"/>
          </w:tcPr>
          <w:p>
            <w:pPr>
              <w:spacing w:after="0"/>
            </w:pPr>
            <w:r/>
            <w:r>
              <w:rPr>
                <w:b w:val="0"/>
                <w:sz w:val="16"/>
              </w:rPr>
              <w:t>Wallet, DigiLocker, verifiable credential or citizen-directed sharing</w:t>
            </w:r>
          </w:p>
        </w:tc>
        <w:tc>
          <w:tcPr>
            <w:tcW w:type="dxa" w:w="5904"/>
            <w:vAlign w:val="top"/>
          </w:tcPr>
          <w:p>
            <w:pPr>
              <w:spacing w:after="0"/>
            </w:pPr>
            <w:r/>
            <w:r>
              <w:rPr>
                <w:b w:val="0"/>
                <w:sz w:val="16"/>
              </w:rPr>
              <w:t>Notice, visible purpose, authenticity, issuer trust, status/revocation and request logs.</w:t>
            </w:r>
          </w:p>
        </w:tc>
      </w:tr>
      <w:tr>
        <w:trPr>
          <w:cantSplit/>
        </w:trPr>
        <w:tc>
          <w:tcPr>
            <w:tcW w:type="dxa" w:w="2160"/>
            <w:vAlign w:val="top"/>
          </w:tcPr>
          <w:p>
            <w:pPr>
              <w:spacing w:after="0"/>
            </w:pPr>
            <w:r/>
            <w:r>
              <w:rPr>
                <w:b w:val="0"/>
                <w:sz w:val="16"/>
              </w:rPr>
              <w:t>Restricted/high-risk</w:t>
            </w:r>
          </w:p>
        </w:tc>
        <w:tc>
          <w:tcPr>
            <w:tcW w:type="dxa" w:w="3168"/>
            <w:vAlign w:val="top"/>
          </w:tcPr>
          <w:p>
            <w:pPr>
              <w:spacing w:after="0"/>
            </w:pPr>
            <w:r/>
            <w:r>
              <w:rPr>
                <w:b w:val="0"/>
                <w:sz w:val="16"/>
              </w:rPr>
              <w:t>Need-to-use only</w:t>
            </w:r>
          </w:p>
        </w:tc>
        <w:tc>
          <w:tcPr>
            <w:tcW w:type="dxa" w:w="5904"/>
            <w:vAlign w:val="top"/>
          </w:tcPr>
          <w:p>
            <w:pPr>
              <w:spacing w:after="0"/>
            </w:pPr>
            <w:r/>
            <w:r>
              <w:rPr>
                <w:b w:val="0"/>
                <w:sz w:val="16"/>
              </w:rPr>
              <w:t>Higher assurance, minimisation, separation of duties, retention limits, audit review and oversight approval.</w:t>
            </w:r>
          </w:p>
        </w:tc>
      </w:tr>
      <w:tr>
        <w:trPr>
          <w:cantSplit/>
        </w:trPr>
        <w:tc>
          <w:tcPr>
            <w:tcW w:type="dxa" w:w="2160"/>
            <w:vAlign w:val="top"/>
          </w:tcPr>
          <w:p>
            <w:pPr>
              <w:spacing w:after="0"/>
            </w:pPr>
            <w:r/>
            <w:r>
              <w:rPr>
                <w:b w:val="0"/>
                <w:sz w:val="16"/>
              </w:rPr>
              <w:t>Non-shareable</w:t>
            </w:r>
          </w:p>
        </w:tc>
        <w:tc>
          <w:tcPr>
            <w:tcW w:type="dxa" w:w="3168"/>
            <w:vAlign w:val="top"/>
          </w:tcPr>
          <w:p>
            <w:pPr>
              <w:spacing w:after="0"/>
            </w:pPr>
            <w:r/>
            <w:r>
              <w:rPr>
                <w:b w:val="0"/>
                <w:sz w:val="16"/>
              </w:rPr>
              <w:t>No exchange unless legal/policy status changes</w:t>
            </w:r>
          </w:p>
        </w:tc>
        <w:tc>
          <w:tcPr>
            <w:tcW w:type="dxa" w:w="5904"/>
            <w:vAlign w:val="top"/>
          </w:tcPr>
          <w:p>
            <w:pPr>
              <w:spacing w:after="0"/>
            </w:pPr>
            <w:r/>
            <w:r>
              <w:rPr>
                <w:b w:val="0"/>
                <w:sz w:val="16"/>
              </w:rPr>
              <w:t>Explicit classification, rationale, review date and exception authority.</w:t>
            </w:r>
          </w:p>
        </w:tc>
      </w:tr>
    </w:tbl>
    <w:p>
      <w:pPr>
        <w:pStyle w:val="Heading2"/>
      </w:pPr>
      <w:r>
        <w:t>8.2 Governance bodies</w:t>
      </w:r>
    </w:p>
    <w:p>
      <w:pPr>
        <w:pStyle w:val="ListBullet"/>
        <w:spacing w:after="40"/>
      </w:pPr>
      <w:r>
        <w:t>National BTX Steering Committee: policy alignment, funding, national standards, conformance and dispute resolution.</w:t>
      </w:r>
    </w:p>
    <w:p>
      <w:pPr>
        <w:pStyle w:val="ListBullet"/>
        <w:spacing w:after="40"/>
      </w:pPr>
      <w:r>
        <w:t>State Data Governance Committee: state onboarding, local policy, departmental readiness and escalation.</w:t>
      </w:r>
    </w:p>
    <w:p>
      <w:pPr>
        <w:pStyle w:val="ListBullet"/>
        <w:spacing w:after="40"/>
      </w:pPr>
      <w:r>
        <w:t>Domain Data Councils: sector schemas, data classifications, purpose codes and service agreements.</w:t>
      </w:r>
    </w:p>
    <w:p>
      <w:pPr>
        <w:pStyle w:val="ListBullet"/>
        <w:spacing w:after="40"/>
      </w:pPr>
      <w:r>
        <w:t>Security and Privacy Review Board: key lifecycle, DPIA review, incidents, emergency revocation and breach response.</w:t>
      </w:r>
    </w:p>
    <w:p>
      <w:pPr>
        <w:pStyle w:val="ListBullet"/>
        <w:spacing w:after="40"/>
      </w:pPr>
      <w:r>
        <w:t>BTX Product Office: roadmap, release management, adoption playbook, training, support and certification.</w:t>
      </w:r>
    </w:p>
    <w:p>
      <w:pPr>
        <w:pStyle w:val="Heading1"/>
      </w:pPr>
      <w:r>
        <w:t>9. Cloud-agnostic reference architecture</w:t>
      </w:r>
    </w:p>
    <w:p>
      <w:r>
        <w:rPr>
          <w:b/>
          <w:color w:val="17365D"/>
        </w:rPr>
        <w:t>Figure 1 - BTX cloud-agnostic architecture</w:t>
      </w:r>
    </w:p>
    <w:tbl>
      <w:tblPr>
        <w:tblW w:type="auto" w:w="0"/>
        <w:jc w:val="center"/>
        <w:tblLook w:firstColumn="1" w:firstRow="1" w:lastColumn="0" w:lastRow="0" w:noHBand="0" w:noVBand="1" w:val="04A0"/>
        <w:tblBorders>
          <w:top w:val="single" w:sz="6" w:space="0" w:color="B8C9DA"/>
          <w:left w:val="single" w:sz="6" w:space="0" w:color="B8C9DA"/>
          <w:bottom w:val="single" w:sz="6" w:space="0" w:color="B8C9DA"/>
          <w:right w:val="single" w:sz="6" w:space="0" w:color="B8C9DA"/>
          <w:insideH w:val="single" w:sz="6" w:space="0" w:color="B8C9DA"/>
          <w:insideV w:val="single" w:sz="6" w:space="0" w:color="B8C9DA"/>
        </w:tblBorders>
      </w:tblPr>
      <w:tblGrid>
        <w:gridCol w:w="10368"/>
      </w:tblGrid>
      <w:tr>
        <w:tc>
          <w:tcPr>
            <w:tcW w:type="dxa" w:w="10368"/>
            <w:shd w:fill="F4F7FA"/>
          </w:tcPr>
          <w:p>
            <w:pPr>
              <w:spacing w:after="0"/>
            </w:pPr>
            <w:r>
              <w:rPr>
                <w:rFonts w:ascii="Courier New" w:hAnsi="Courier New" w:eastAsia="Courier New"/>
                <w:sz w:val="15"/>
              </w:rPr>
              <w:t xml:space="preserve">                         BTX Experience Rails</w:t>
            </w:r>
            <w:r>
              <w:br/>
            </w:r>
            <w:r>
              <w:rPr>
                <w:rFonts w:ascii="Courier New" w:hAnsi="Courier New" w:eastAsia="Courier New"/>
                <w:sz w:val="15"/>
              </w:rPr>
              <w:t xml:space="preserve"> Governance portal | Developer portal | Dashboards | Wallet/citizen interfaces</w:t>
            </w:r>
            <w:r>
              <w:br/>
            </w:r>
            <w:r>
              <w:rPr>
                <w:rFonts w:ascii="Courier New" w:hAnsi="Courier New" w:eastAsia="Courier New"/>
                <w:sz w:val="15"/>
              </w:rPr>
              <w:t xml:space="preserve">                                      |</w:t>
            </w:r>
            <w:r>
              <w:br/>
            </w:r>
            <w:r>
              <w:rPr>
                <w:rFonts w:ascii="Courier New" w:hAnsi="Courier New" w:eastAsia="Courier New"/>
                <w:sz w:val="15"/>
              </w:rPr>
              <w:t xml:space="preserve">                                      v</w:t>
            </w:r>
            <w:r>
              <w:br/>
            </w:r>
            <w:r>
              <w:rPr>
                <w:rFonts w:ascii="Courier New" w:hAnsi="Courier New" w:eastAsia="Courier New"/>
                <w:sz w:val="15"/>
              </w:rPr>
              <w:t xml:space="preserve">                         BTX Control Plane</w:t>
            </w:r>
            <w:r>
              <w:br/>
            </w:r>
            <w:r>
              <w:rPr>
                <w:rFonts w:ascii="Courier New" w:hAnsi="Courier New" w:eastAsia="Courier New"/>
                <w:sz w:val="15"/>
              </w:rPr>
              <w:t xml:space="preserve"> Member Registry | Service Catalogue | Purpose Registry | Policy Decision</w:t>
            </w:r>
            <w:r>
              <w:br/>
            </w:r>
            <w:r>
              <w:rPr>
                <w:rFonts w:ascii="Courier New" w:hAnsi="Courier New" w:eastAsia="Courier New"/>
                <w:sz w:val="15"/>
              </w:rPr>
              <w:t xml:space="preserve"> SchemaHub | Approval Workflow | Signed Config Publisher | Audit Dashboard</w:t>
            </w:r>
            <w:r>
              <w:br/>
            </w:r>
            <w:r>
              <w:rPr>
                <w:rFonts w:ascii="Courier New" w:hAnsi="Courier New" w:eastAsia="Courier New"/>
                <w:sz w:val="15"/>
              </w:rPr>
              <w:t xml:space="preserve">                                      |</w:t>
            </w:r>
            <w:r>
              <w:br/>
            </w:r>
            <w:r>
              <w:rPr>
                <w:rFonts w:ascii="Courier New" w:hAnsi="Courier New" w:eastAsia="Courier New"/>
                <w:sz w:val="15"/>
              </w:rPr>
              <w:t xml:space="preserve">                              Signed configuration</w:t>
            </w:r>
            <w:r>
              <w:br/>
            </w:r>
            <w:r>
              <w:rPr>
                <w:rFonts w:ascii="Courier New" w:hAnsi="Courier New" w:eastAsia="Courier New"/>
                <w:sz w:val="15"/>
              </w:rPr>
              <w:t xml:space="preserve">                                      |</w:t>
            </w:r>
            <w:r>
              <w:br/>
            </w:r>
            <w:r>
              <w:rPr>
                <w:rFonts w:ascii="Courier New" w:hAnsi="Courier New" w:eastAsia="Courier New"/>
                <w:sz w:val="15"/>
              </w:rPr>
              <w:t xml:space="preserve">                                      v</w:t>
            </w:r>
            <w:r>
              <w:br/>
            </w:r>
            <w:r>
              <w:rPr>
                <w:rFonts w:ascii="Courier New" w:hAnsi="Courier New" w:eastAsia="Courier New"/>
                <w:sz w:val="15"/>
              </w:rPr>
              <w:t xml:space="preserve">                    Federated BTX Trust Node Data Plane</w:t>
            </w:r>
            <w:r>
              <w:br/>
            </w:r>
            <w:r>
              <w:rPr>
                <w:rFonts w:ascii="Courier New" w:hAnsi="Courier New" w:eastAsia="Courier New"/>
                <w:sz w:val="15"/>
              </w:rPr>
              <w:t xml:space="preserve"> Dept Trust Node | State Trust Node | Managed Tenant Node | Hybrid Node</w:t>
            </w:r>
            <w:r>
              <w:br/>
            </w:r>
            <w:r>
              <w:rPr>
                <w:rFonts w:ascii="Courier New" w:hAnsi="Courier New" w:eastAsia="Courier New"/>
                <w:sz w:val="15"/>
              </w:rPr>
              <w:t xml:space="preserve"> mTLS | signing | timestamping | replay protection | minimisation | audit</w:t>
            </w:r>
            <w:r>
              <w:br/>
            </w:r>
            <w:r>
              <w:rPr>
                <w:rFonts w:ascii="Courier New" w:hAnsi="Courier New" w:eastAsia="Courier New"/>
                <w:sz w:val="15"/>
              </w:rPr>
              <w:t xml:space="preserve">                                      |</w:t>
            </w:r>
            <w:r>
              <w:br/>
            </w:r>
            <w:r>
              <w:rPr>
                <w:rFonts w:ascii="Courier New" w:hAnsi="Courier New" w:eastAsia="Courier New"/>
                <w:sz w:val="15"/>
              </w:rPr>
              <w:t xml:space="preserve">                                      v</w:t>
            </w:r>
            <w:r>
              <w:br/>
            </w:r>
            <w:r>
              <w:rPr>
                <w:rFonts w:ascii="Courier New" w:hAnsi="Courier New" w:eastAsia="Courier New"/>
                <w:sz w:val="15"/>
              </w:rPr>
              <w:t xml:space="preserve">                         Source and Destination Systems</w:t>
            </w:r>
            <w:r>
              <w:br/>
            </w:r>
            <w:r>
              <w:rPr>
                <w:rFonts w:ascii="Courier New" w:hAnsi="Courier New" w:eastAsia="Courier New"/>
                <w:sz w:val="15"/>
              </w:rPr>
              <w:t xml:space="preserve"> Department registries | Legacy systems | API Setu | State exchange | DigiLocker</w:t>
            </w:r>
            <w:r>
              <w:br/>
            </w:r>
            <w:r>
              <w:rPr>
                <w:rFonts w:ascii="Courier New" w:hAnsi="Courier New" w:eastAsia="Courier New"/>
                <w:sz w:val="15"/>
              </w:rPr>
              <w:t xml:space="preserve"> Wallets | Verifiers | Workflows | Open data/analytics where lawful</w:t>
            </w:r>
            <w:r>
              <w:br/>
            </w:r>
            <w:r>
              <w:rPr>
                <w:rFonts w:ascii="Courier New" w:hAnsi="Courier New" w:eastAsia="Courier New"/>
                <w:sz w:val="15"/>
              </w:rPr>
              <w:t xml:space="preserve">                                      |</w:t>
            </w:r>
            <w:r>
              <w:br/>
            </w:r>
            <w:r>
              <w:rPr>
                <w:rFonts w:ascii="Courier New" w:hAnsi="Courier New" w:eastAsia="Courier New"/>
                <w:sz w:val="15"/>
              </w:rPr>
              <w:t xml:space="preserve">                                      v</w:t>
            </w:r>
            <w:r>
              <w:br/>
            </w:r>
            <w:r>
              <w:rPr>
                <w:rFonts w:ascii="Courier New" w:hAnsi="Courier New" w:eastAsia="Courier New"/>
                <w:sz w:val="15"/>
              </w:rPr>
              <w:t xml:space="preserve">                         Portable Runtime and Cloud Adapters</w:t>
            </w:r>
            <w:r>
              <w:br/>
            </w:r>
            <w:r>
              <w:rPr>
                <w:rFonts w:ascii="Courier New" w:hAnsi="Courier New" w:eastAsia="Courier New"/>
                <w:sz w:val="15"/>
              </w:rPr>
              <w:t xml:space="preserve"> Kubernetes/OpenShift | OPA | OpenTelemetry | PostgreSQL | Kafka/NATS | S3-compatible</w:t>
            </w:r>
            <w:r>
              <w:br/>
            </w:r>
            <w:r>
              <w:rPr>
                <w:rFonts w:ascii="Courier New" w:hAnsi="Courier New" w:eastAsia="Courier New"/>
                <w:sz w:val="15"/>
              </w:rPr>
              <w:t xml:space="preserve"> Cloud adapters: IAM | KMS/HSM | network | DNS | load balancer | logs | backup | DR</w:t>
            </w:r>
            <w:r>
              <w:br/>
            </w:r>
          </w:p>
        </w:tc>
        <w:trPr>
          <w:tblHeader/>
        </w:trPr>
      </w:tr>
    </w:tbl>
    <w:p>
      <w:pPr>
        <w:pStyle w:val="Heading2"/>
      </w:pPr>
      <w:r>
        <w:t>9.1 Architectural layers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cantSplit/>
          <w:tblHeader/>
        </w:trPr>
        <w:tc>
          <w:tcPr>
            <w:tcW w:type="dxa" w:w="2592"/>
            <w:vAlign w:val="top"/>
            <w:shd w:fill="17365D"/>
          </w:tcPr>
          <w:p>
            <w:pPr>
              <w:spacing w:after="0"/>
            </w:pPr>
            <w:r/>
            <w:r>
              <w:rPr>
                <w:b/>
                <w:color w:val="FFFFFF"/>
                <w:sz w:val="17"/>
              </w:rPr>
              <w:t>Layer</w:t>
            </w:r>
          </w:p>
        </w:tc>
        <w:tc>
          <w:tcPr>
            <w:tcW w:type="dxa" w:w="8640"/>
            <w:vAlign w:val="top"/>
            <w:shd w:fill="17365D"/>
          </w:tcPr>
          <w:p>
            <w:pPr>
              <w:spacing w:after="0"/>
            </w:pPr>
            <w:r/>
            <w:r>
              <w:rPr>
                <w:b/>
                <w:color w:val="FFFFFF"/>
                <w:sz w:val="17"/>
              </w:rPr>
              <w:t>Responsibilities</w:t>
            </w:r>
          </w:p>
        </w:tc>
      </w:tr>
      <w:tr>
        <w:trPr>
          <w:cantSplit/>
        </w:trPr>
        <w:tc>
          <w:tcPr>
            <w:tcW w:type="dxa" w:w="2592"/>
            <w:vAlign w:val="top"/>
          </w:tcPr>
          <w:p>
            <w:pPr>
              <w:spacing w:after="0"/>
            </w:pPr>
            <w:r/>
            <w:r>
              <w:rPr>
                <w:b w:val="0"/>
                <w:sz w:val="17"/>
              </w:rPr>
              <w:t>Experience rails</w:t>
            </w:r>
          </w:p>
        </w:tc>
        <w:tc>
          <w:tcPr>
            <w:tcW w:type="dxa" w:w="8640"/>
            <w:vAlign w:val="top"/>
          </w:tcPr>
          <w:p>
            <w:pPr>
              <w:spacing w:after="0"/>
            </w:pPr>
            <w:r/>
            <w:r>
              <w:rPr>
                <w:b w:val="0"/>
                <w:sz w:val="17"/>
              </w:rPr>
              <w:t>Governance portal, developer portal, dashboards, citizen wallet interfaces, API consumer channels, verifier channels and assisted workflows.</w:t>
            </w:r>
          </w:p>
        </w:tc>
      </w:tr>
      <w:tr>
        <w:trPr>
          <w:cantSplit/>
        </w:trPr>
        <w:tc>
          <w:tcPr>
            <w:tcW w:type="dxa" w:w="2592"/>
            <w:vAlign w:val="top"/>
          </w:tcPr>
          <w:p>
            <w:pPr>
              <w:spacing w:after="0"/>
            </w:pPr>
            <w:r/>
            <w:r>
              <w:rPr>
                <w:b w:val="0"/>
                <w:sz w:val="17"/>
              </w:rPr>
              <w:t>Control plane</w:t>
            </w:r>
          </w:p>
        </w:tc>
        <w:tc>
          <w:tcPr>
            <w:tcW w:type="dxa" w:w="8640"/>
            <w:vAlign w:val="top"/>
          </w:tcPr>
          <w:p>
            <w:pPr>
              <w:spacing w:after="0"/>
            </w:pPr>
            <w:r/>
            <w:r>
              <w:rPr>
                <w:b w:val="0"/>
                <w:sz w:val="17"/>
              </w:rPr>
              <w:t>Member registry, service catalogue, purpose registry, policy decision, schema registry, approval workflow, audit dashboard and signed configuration publisher.</w:t>
            </w:r>
          </w:p>
        </w:tc>
      </w:tr>
      <w:tr>
        <w:trPr>
          <w:cantSplit/>
        </w:trPr>
        <w:tc>
          <w:tcPr>
            <w:tcW w:type="dxa" w:w="2592"/>
            <w:vAlign w:val="top"/>
          </w:tcPr>
          <w:p>
            <w:pPr>
              <w:spacing w:after="0"/>
            </w:pPr>
            <w:r/>
            <w:r>
              <w:rPr>
                <w:b w:val="0"/>
                <w:sz w:val="17"/>
              </w:rPr>
              <w:t>Federated data plane</w:t>
            </w:r>
          </w:p>
        </w:tc>
        <w:tc>
          <w:tcPr>
            <w:tcW w:type="dxa" w:w="8640"/>
            <w:vAlign w:val="top"/>
          </w:tcPr>
          <w:p>
            <w:pPr>
              <w:spacing w:after="0"/>
            </w:pPr>
            <w:r/>
            <w:r>
              <w:rPr>
                <w:b w:val="0"/>
                <w:sz w:val="17"/>
              </w:rPr>
              <w:t>BTX Trust Nodes that enforce mTLS, signing, timestamping, replay protection, policy, minimisation and logs.</w:t>
            </w:r>
          </w:p>
        </w:tc>
      </w:tr>
      <w:tr>
        <w:trPr>
          <w:cantSplit/>
        </w:trPr>
        <w:tc>
          <w:tcPr>
            <w:tcW w:type="dxa" w:w="2592"/>
            <w:vAlign w:val="top"/>
          </w:tcPr>
          <w:p>
            <w:pPr>
              <w:spacing w:after="0"/>
            </w:pPr>
            <w:r/>
            <w:r>
              <w:rPr>
                <w:b w:val="0"/>
                <w:sz w:val="17"/>
              </w:rPr>
              <w:t>Portable runtime</w:t>
            </w:r>
          </w:p>
        </w:tc>
        <w:tc>
          <w:tcPr>
            <w:tcW w:type="dxa" w:w="8640"/>
            <w:vAlign w:val="top"/>
          </w:tcPr>
          <w:p>
            <w:pPr>
              <w:spacing w:after="0"/>
            </w:pPr>
            <w:r/>
            <w:r>
              <w:rPr>
                <w:b w:val="0"/>
                <w:sz w:val="17"/>
              </w:rPr>
              <w:t>Kubernetes/OpenShift, service mesh, GitOps, OpenTelemetry, Prometheus/Grafana, OPA, Vault/External Secrets, PostgreSQL, Kafka/NATS and S3-compatible storage.</w:t>
            </w:r>
          </w:p>
        </w:tc>
      </w:tr>
      <w:tr>
        <w:trPr>
          <w:cantSplit/>
        </w:trPr>
        <w:tc>
          <w:tcPr>
            <w:tcW w:type="dxa" w:w="2592"/>
            <w:vAlign w:val="top"/>
          </w:tcPr>
          <w:p>
            <w:pPr>
              <w:spacing w:after="0"/>
            </w:pPr>
            <w:r/>
            <w:r>
              <w:rPr>
                <w:b w:val="0"/>
                <w:sz w:val="17"/>
              </w:rPr>
              <w:t>Cloud adapter layer</w:t>
            </w:r>
          </w:p>
        </w:tc>
        <w:tc>
          <w:tcPr>
            <w:tcW w:type="dxa" w:w="8640"/>
            <w:vAlign w:val="top"/>
          </w:tcPr>
          <w:p>
            <w:pPr>
              <w:spacing w:after="0"/>
            </w:pPr>
            <w:r/>
            <w:r>
              <w:rPr>
                <w:b w:val="0"/>
                <w:sz w:val="17"/>
              </w:rPr>
              <w:t>Provider-specific modules for IAM, KMS/HSM, network, DNS, load balancer, object storage, managed DB, logging, backup and DR.</w:t>
            </w:r>
          </w:p>
        </w:tc>
      </w:tr>
      <w:tr>
        <w:trPr>
          <w:cantSplit/>
        </w:trPr>
        <w:tc>
          <w:tcPr>
            <w:tcW w:type="dxa" w:w="2592"/>
            <w:vAlign w:val="top"/>
          </w:tcPr>
          <w:p>
            <w:pPr>
              <w:spacing w:after="0"/>
            </w:pPr>
            <w:r/>
            <w:r>
              <w:rPr>
                <w:b w:val="0"/>
                <w:sz w:val="17"/>
              </w:rPr>
              <w:t>Source systems</w:t>
            </w:r>
          </w:p>
        </w:tc>
        <w:tc>
          <w:tcPr>
            <w:tcW w:type="dxa" w:w="8640"/>
            <w:vAlign w:val="top"/>
          </w:tcPr>
          <w:p>
            <w:pPr>
              <w:spacing w:after="0"/>
            </w:pPr>
            <w:r/>
            <w:r>
              <w:rPr>
                <w:b w:val="0"/>
                <w:sz w:val="17"/>
              </w:rPr>
              <w:t>Central ministry registries, state department systems, legacy applications, sector platforms, document repositories and credential issuer systems.</w:t>
            </w:r>
          </w:p>
        </w:tc>
      </w:tr>
    </w:tbl>
    <w:p>
      <w:pPr>
        <w:pStyle w:val="Heading2"/>
      </w:pPr>
      <w:r>
        <w:t>9.2 Cloud-agnostic design rules</w:t>
      </w:r>
    </w:p>
    <w:p>
      <w:pPr>
        <w:pStyle w:val="ListBullet"/>
        <w:spacing w:after="40"/>
      </w:pPr>
      <w:r>
        <w:t>No business logic may be locked into one provider's proprietary serverless, database, queue or IAM model without an abstraction and exit path.</w:t>
      </w:r>
    </w:p>
    <w:p>
      <w:pPr>
        <w:pStyle w:val="ListBullet"/>
        <w:spacing w:after="40"/>
      </w:pPr>
      <w:r>
        <w:t>Every BTX service must run as a containerised workload on Kubernetes/OpenShift or equivalent certified runtime.</w:t>
      </w:r>
    </w:p>
    <w:p>
      <w:pPr>
        <w:pStyle w:val="ListBullet"/>
        <w:spacing w:after="40"/>
      </w:pPr>
      <w:r>
        <w:t>All APIs must be documented using OpenAPI; event contracts should use AsyncAPI where applicable.</w:t>
      </w:r>
    </w:p>
    <w:p>
      <w:pPr>
        <w:pStyle w:val="ListBullet"/>
        <w:spacing w:after="40"/>
      </w:pPr>
      <w:r>
        <w:t>Policy decisions must be externalised through a policy decision service and testable policy-as-code.</w:t>
      </w:r>
    </w:p>
    <w:p>
      <w:pPr>
        <w:pStyle w:val="ListBullet"/>
        <w:spacing w:after="40"/>
      </w:pPr>
      <w:r>
        <w:t>Audit events must use a provider-neutral canonical event schema.</w:t>
      </w:r>
    </w:p>
    <w:p>
      <w:pPr>
        <w:pStyle w:val="ListBullet"/>
        <w:spacing w:after="40"/>
      </w:pPr>
      <w:r>
        <w:t>Identity must support federated OIDC/SAML integration and workload identity abstraction.</w:t>
      </w:r>
    </w:p>
    <w:p>
      <w:pPr>
        <w:pStyle w:val="ListBullet"/>
        <w:spacing w:after="40"/>
      </w:pPr>
      <w:r>
        <w:t>Secrets and keys must be accessed through secrets/KMS abstraction with HSM integration for high-assurance keys.</w:t>
      </w:r>
    </w:p>
    <w:p>
      <w:pPr>
        <w:pStyle w:val="ListBullet"/>
        <w:spacing w:after="40"/>
      </w:pPr>
      <w:r>
        <w:t>All cloud-specific resources must be provisioned through certified provider modules and validated through conformance tests.</w:t>
      </w:r>
    </w:p>
    <w:p>
      <w:pPr>
        <w:pStyle w:val="Heading2"/>
      </w:pPr>
      <w:r>
        <w:t>9.3 Runtime request flow</w:t>
      </w:r>
    </w:p>
    <w:p>
      <w:r>
        <w:rPr>
          <w:b/>
          <w:color w:val="17365D"/>
        </w:rPr>
        <w:t>Figure 2 - Runtime flow</w:t>
      </w:r>
    </w:p>
    <w:tbl>
      <w:tblPr>
        <w:tblW w:type="auto" w:w="0"/>
        <w:jc w:val="center"/>
        <w:tblLook w:firstColumn="1" w:firstRow="1" w:lastColumn="0" w:lastRow="0" w:noHBand="0" w:noVBand="1" w:val="04A0"/>
        <w:tblBorders>
          <w:top w:val="single" w:sz="6" w:space="0" w:color="B8C9DA"/>
          <w:left w:val="single" w:sz="6" w:space="0" w:color="B8C9DA"/>
          <w:bottom w:val="single" w:sz="6" w:space="0" w:color="B8C9DA"/>
          <w:right w:val="single" w:sz="6" w:space="0" w:color="B8C9DA"/>
          <w:insideH w:val="single" w:sz="6" w:space="0" w:color="B8C9DA"/>
          <w:insideV w:val="single" w:sz="6" w:space="0" w:color="B8C9DA"/>
        </w:tblBorders>
      </w:tblPr>
      <w:tblGrid>
        <w:gridCol w:w="10368"/>
      </w:tblGrid>
      <w:tr>
        <w:tc>
          <w:tcPr>
            <w:tcW w:type="dxa" w:w="10368"/>
            <w:shd w:fill="F4F7FA"/>
          </w:tcPr>
          <w:p>
            <w:pPr>
              <w:spacing w:after="0"/>
            </w:pPr>
            <w:r>
              <w:rPr>
                <w:rFonts w:ascii="Courier New" w:hAnsi="Courier New" w:eastAsia="Courier New"/>
                <w:sz w:val="15"/>
              </w:rPr>
              <w:t>Requester App -&gt; Requester Trust Node</w:t>
            </w:r>
            <w:r>
              <w:br/>
            </w:r>
            <w:r>
              <w:rPr>
                <w:rFonts w:ascii="Courier New" w:hAnsi="Courier New" w:eastAsia="Courier New"/>
                <w:sz w:val="15"/>
              </w:rPr>
              <w:t xml:space="preserve">  1. Attach service ID, member ID, purpose code, data class, citizen/context reference</w:t>
            </w:r>
            <w:r>
              <w:br/>
            </w:r>
            <w:r>
              <w:rPr>
                <w:rFonts w:ascii="Courier New" w:hAnsi="Courier New" w:eastAsia="Courier New"/>
                <w:sz w:val="15"/>
              </w:rPr>
              <w:t xml:space="preserve">  2. Validate local member and service configuration</w:t>
            </w:r>
            <w:r>
              <w:br/>
            </w:r>
            <w:r>
              <w:rPr>
                <w:rFonts w:ascii="Courier New" w:hAnsi="Courier New" w:eastAsia="Courier New"/>
                <w:sz w:val="15"/>
              </w:rPr>
              <w:t xml:space="preserve">  3. Call Policy Decision Service or local signed policy cache</w:t>
            </w:r>
            <w:r>
              <w:br/>
            </w:r>
            <w:r>
              <w:rPr>
                <w:rFonts w:ascii="Courier New" w:hAnsi="Courier New" w:eastAsia="Courier New"/>
                <w:sz w:val="15"/>
              </w:rPr>
              <w:t xml:space="preserve">  4. Sign request, add timestamp, nonce, transaction ID and retention metadata</w:t>
            </w:r>
            <w:r>
              <w:br/>
            </w:r>
            <w:r>
              <w:rPr>
                <w:rFonts w:ascii="Courier New" w:hAnsi="Courier New" w:eastAsia="Courier New"/>
                <w:sz w:val="15"/>
              </w:rPr>
            </w:r>
            <w:r>
              <w:br/>
            </w:r>
            <w:r>
              <w:rPr>
                <w:rFonts w:ascii="Courier New" w:hAnsi="Courier New" w:eastAsia="Courier New"/>
                <w:sz w:val="15"/>
              </w:rPr>
              <w:t>Requester Trust Node -&gt; Provider Trust Node</w:t>
            </w:r>
            <w:r>
              <w:br/>
            </w:r>
            <w:r>
              <w:rPr>
                <w:rFonts w:ascii="Courier New" w:hAnsi="Courier New" w:eastAsia="Courier New"/>
                <w:sz w:val="15"/>
              </w:rPr>
              <w:t xml:space="preserve">  5. mTLS connection and node certificate validation</w:t>
            </w:r>
            <w:r>
              <w:br/>
            </w:r>
            <w:r>
              <w:rPr>
                <w:rFonts w:ascii="Courier New" w:hAnsi="Courier New" w:eastAsia="Courier New"/>
                <w:sz w:val="15"/>
              </w:rPr>
              <w:t xml:space="preserve">  6. Provider validates requester, service, purpose, approval, signature and freshness</w:t>
            </w:r>
            <w:r>
              <w:br/>
            </w:r>
            <w:r>
              <w:rPr>
                <w:rFonts w:ascii="Courier New" w:hAnsi="Courier New" w:eastAsia="Courier New"/>
                <w:sz w:val="15"/>
              </w:rPr>
              <w:t xml:space="preserve">  7. Provider enforces minimisation and forwards to approved backend adapter</w:t>
            </w:r>
            <w:r>
              <w:br/>
            </w:r>
            <w:r>
              <w:rPr>
                <w:rFonts w:ascii="Courier New" w:hAnsi="Courier New" w:eastAsia="Courier New"/>
                <w:sz w:val="15"/>
              </w:rPr>
            </w:r>
            <w:r>
              <w:br/>
            </w:r>
            <w:r>
              <w:rPr>
                <w:rFonts w:ascii="Courier New" w:hAnsi="Courier New" w:eastAsia="Courier New"/>
                <w:sz w:val="15"/>
              </w:rPr>
              <w:t>Provider Adapter -&gt; Source System -&gt; Provider Trust Node</w:t>
            </w:r>
            <w:r>
              <w:br/>
            </w:r>
            <w:r>
              <w:rPr>
                <w:rFonts w:ascii="Courier New" w:hAnsi="Courier New" w:eastAsia="Courier New"/>
                <w:sz w:val="15"/>
              </w:rPr>
              <w:t xml:space="preserve">  8. Query authoritative record or service</w:t>
            </w:r>
            <w:r>
              <w:br/>
            </w:r>
            <w:r>
              <w:rPr>
                <w:rFonts w:ascii="Courier New" w:hAnsi="Courier New" w:eastAsia="Courier New"/>
                <w:sz w:val="15"/>
              </w:rPr>
              <w:t xml:space="preserve">  9. Shape response: full approved response, masked fields, yes/no assertion or signed claim</w:t>
            </w:r>
            <w:r>
              <w:br/>
            </w:r>
            <w:r>
              <w:rPr>
                <w:rFonts w:ascii="Courier New" w:hAnsi="Courier New" w:eastAsia="Courier New"/>
                <w:sz w:val="15"/>
              </w:rPr>
              <w:t xml:space="preserve"> 10. Sign response, timestamp, log provider-side audit event</w:t>
            </w:r>
            <w:r>
              <w:br/>
            </w:r>
            <w:r>
              <w:rPr>
                <w:rFonts w:ascii="Courier New" w:hAnsi="Courier New" w:eastAsia="Courier New"/>
                <w:sz w:val="15"/>
              </w:rPr>
            </w:r>
            <w:r>
              <w:br/>
            </w:r>
            <w:r>
              <w:rPr>
                <w:rFonts w:ascii="Courier New" w:hAnsi="Courier New" w:eastAsia="Courier New"/>
                <w:sz w:val="15"/>
              </w:rPr>
              <w:t>Provider Trust Node -&gt; Requester Trust Node -&gt; Requester App</w:t>
            </w:r>
            <w:r>
              <w:br/>
            </w:r>
            <w:r>
              <w:rPr>
                <w:rFonts w:ascii="Courier New" w:hAnsi="Courier New" w:eastAsia="Courier New"/>
                <w:sz w:val="15"/>
              </w:rPr>
              <w:t xml:space="preserve"> 11. Verify response signature and integrity</w:t>
            </w:r>
            <w:r>
              <w:br/>
            </w:r>
            <w:r>
              <w:rPr>
                <w:rFonts w:ascii="Courier New" w:hAnsi="Courier New" w:eastAsia="Courier New"/>
                <w:sz w:val="15"/>
              </w:rPr>
              <w:t xml:space="preserve"> 12. Log requester-side audit event and central audit digest</w:t>
            </w:r>
            <w:r>
              <w:br/>
            </w:r>
            <w:r>
              <w:rPr>
                <w:rFonts w:ascii="Courier New" w:hAnsi="Courier New" w:eastAsia="Courier New"/>
                <w:sz w:val="15"/>
              </w:rPr>
              <w:t xml:space="preserve"> 13. Return only authorised result to consuming application</w:t>
            </w:r>
            <w:r>
              <w:br/>
            </w:r>
          </w:p>
        </w:tc>
        <w:trPr>
          <w:tblHeader/>
        </w:trPr>
      </w:tr>
    </w:tbl>
    <w:p>
      <w:r>
        <w:br w:type="page"/>
      </w:r>
    </w:p>
    <w:p>
      <w:pPr>
        <w:pStyle w:val="Heading1"/>
      </w:pPr>
      <w:r>
        <w:t>10. Business capabilities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cantSplit/>
          <w:tblHeader/>
        </w:trPr>
        <w:tc>
          <w:tcPr>
            <w:tcW w:type="dxa" w:w="864"/>
            <w:vAlign w:val="top"/>
            <w:shd w:fill="17365D"/>
          </w:tcPr>
          <w:p>
            <w:pPr>
              <w:spacing w:after="0"/>
            </w:pPr>
            <w:r/>
            <w:r>
              <w:rPr>
                <w:b/>
                <w:color w:val="FFFFFF"/>
                <w:sz w:val="16"/>
              </w:rPr>
              <w:t>ID</w:t>
            </w:r>
          </w:p>
        </w:tc>
        <w:tc>
          <w:tcPr>
            <w:tcW w:type="dxa" w:w="3168"/>
            <w:vAlign w:val="top"/>
            <w:shd w:fill="17365D"/>
          </w:tcPr>
          <w:p>
            <w:pPr>
              <w:spacing w:after="0"/>
            </w:pPr>
            <w:r/>
            <w:r>
              <w:rPr>
                <w:b/>
                <w:color w:val="FFFFFF"/>
                <w:sz w:val="16"/>
              </w:rPr>
              <w:t>Capability</w:t>
            </w:r>
          </w:p>
        </w:tc>
        <w:tc>
          <w:tcPr>
            <w:tcW w:type="dxa" w:w="7200"/>
            <w:vAlign w:val="top"/>
            <w:shd w:fill="17365D"/>
          </w:tcPr>
          <w:p>
            <w:pPr>
              <w:spacing w:after="0"/>
            </w:pPr>
            <w:r/>
            <w:r>
              <w:rPr>
                <w:b/>
                <w:color w:val="FFFFFF"/>
                <w:sz w:val="16"/>
              </w:rPr>
              <w:t>Outcome</w:t>
            </w:r>
          </w:p>
        </w:tc>
      </w:tr>
      <w:tr>
        <w:trPr>
          <w:cantSplit/>
        </w:trPr>
        <w:tc>
          <w:tcPr>
            <w:tcW w:type="dxa" w:w="864"/>
            <w:vAlign w:val="top"/>
          </w:tcPr>
          <w:p>
            <w:pPr>
              <w:spacing w:after="0"/>
            </w:pPr>
            <w:r/>
            <w:r>
              <w:rPr>
                <w:b w:val="0"/>
                <w:sz w:val="16"/>
              </w:rPr>
              <w:t>C01</w:t>
            </w:r>
          </w:p>
        </w:tc>
        <w:tc>
          <w:tcPr>
            <w:tcW w:type="dxa" w:w="3168"/>
            <w:vAlign w:val="top"/>
          </w:tcPr>
          <w:p>
            <w:pPr>
              <w:spacing w:after="0"/>
            </w:pPr>
            <w:r/>
            <w:r>
              <w:rPr>
                <w:b w:val="0"/>
                <w:sz w:val="16"/>
              </w:rPr>
              <w:t>Member trust management</w:t>
            </w:r>
          </w:p>
        </w:tc>
        <w:tc>
          <w:tcPr>
            <w:tcW w:type="dxa" w:w="7200"/>
            <w:vAlign w:val="top"/>
          </w:tcPr>
          <w:p>
            <w:pPr>
              <w:spacing w:after="0"/>
            </w:pPr>
            <w:r/>
            <w:r>
              <w:rPr>
                <w:b w:val="0"/>
                <w:sz w:val="16"/>
              </w:rPr>
              <w:t>Onboard, verify, certify, activate, monitor, suspend, renew and revoke participating members.</w:t>
            </w:r>
          </w:p>
        </w:tc>
      </w:tr>
      <w:tr>
        <w:trPr>
          <w:cantSplit/>
        </w:trPr>
        <w:tc>
          <w:tcPr>
            <w:tcW w:type="dxa" w:w="864"/>
            <w:vAlign w:val="top"/>
          </w:tcPr>
          <w:p>
            <w:pPr>
              <w:spacing w:after="0"/>
            </w:pPr>
            <w:r/>
            <w:r>
              <w:rPr>
                <w:b w:val="0"/>
                <w:sz w:val="16"/>
              </w:rPr>
              <w:t>C02</w:t>
            </w:r>
          </w:p>
        </w:tc>
        <w:tc>
          <w:tcPr>
            <w:tcW w:type="dxa" w:w="3168"/>
            <w:vAlign w:val="top"/>
          </w:tcPr>
          <w:p>
            <w:pPr>
              <w:spacing w:after="0"/>
            </w:pPr>
            <w:r/>
            <w:r>
              <w:rPr>
                <w:b w:val="0"/>
                <w:sz w:val="16"/>
              </w:rPr>
              <w:t>Service discovery and lifecycle</w:t>
            </w:r>
          </w:p>
        </w:tc>
        <w:tc>
          <w:tcPr>
            <w:tcW w:type="dxa" w:w="7200"/>
            <w:vAlign w:val="top"/>
          </w:tcPr>
          <w:p>
            <w:pPr>
              <w:spacing w:after="0"/>
            </w:pPr>
            <w:r/>
            <w:r>
              <w:rPr>
                <w:b w:val="0"/>
                <w:sz w:val="16"/>
              </w:rPr>
              <w:t>Publish services with metadata, schema, SLA, access policy, version and environment status.</w:t>
            </w:r>
          </w:p>
        </w:tc>
      </w:tr>
      <w:tr>
        <w:trPr>
          <w:cantSplit/>
        </w:trPr>
        <w:tc>
          <w:tcPr>
            <w:tcW w:type="dxa" w:w="864"/>
            <w:vAlign w:val="top"/>
          </w:tcPr>
          <w:p>
            <w:pPr>
              <w:spacing w:after="0"/>
            </w:pPr>
            <w:r/>
            <w:r>
              <w:rPr>
                <w:b w:val="0"/>
                <w:sz w:val="16"/>
              </w:rPr>
              <w:t>C03</w:t>
            </w:r>
          </w:p>
        </w:tc>
        <w:tc>
          <w:tcPr>
            <w:tcW w:type="dxa" w:w="3168"/>
            <w:vAlign w:val="top"/>
          </w:tcPr>
          <w:p>
            <w:pPr>
              <w:spacing w:after="0"/>
            </w:pPr>
            <w:r/>
            <w:r>
              <w:rPr>
                <w:b w:val="0"/>
                <w:sz w:val="16"/>
              </w:rPr>
              <w:t>Purpose and policy governance</w:t>
            </w:r>
          </w:p>
        </w:tc>
        <w:tc>
          <w:tcPr>
            <w:tcW w:type="dxa" w:w="7200"/>
            <w:vAlign w:val="top"/>
          </w:tcPr>
          <w:p>
            <w:pPr>
              <w:spacing w:after="0"/>
            </w:pPr>
            <w:r/>
            <w:r>
              <w:rPr>
                <w:b w:val="0"/>
                <w:sz w:val="16"/>
              </w:rPr>
              <w:t>Define purpose codes, lawful basis, approval rules, minimisation rules and enforcement policies.</w:t>
            </w:r>
          </w:p>
        </w:tc>
      </w:tr>
      <w:tr>
        <w:trPr>
          <w:cantSplit/>
        </w:trPr>
        <w:tc>
          <w:tcPr>
            <w:tcW w:type="dxa" w:w="864"/>
            <w:vAlign w:val="top"/>
          </w:tcPr>
          <w:p>
            <w:pPr>
              <w:spacing w:after="0"/>
            </w:pPr>
            <w:r/>
            <w:r>
              <w:rPr>
                <w:b w:val="0"/>
                <w:sz w:val="16"/>
              </w:rPr>
              <w:t>C04</w:t>
            </w:r>
          </w:p>
        </w:tc>
        <w:tc>
          <w:tcPr>
            <w:tcW w:type="dxa" w:w="3168"/>
            <w:vAlign w:val="top"/>
          </w:tcPr>
          <w:p>
            <w:pPr>
              <w:spacing w:after="0"/>
            </w:pPr>
            <w:r/>
            <w:r>
              <w:rPr>
                <w:b w:val="0"/>
                <w:sz w:val="16"/>
              </w:rPr>
              <w:t>Federated secure exchange</w:t>
            </w:r>
          </w:p>
        </w:tc>
        <w:tc>
          <w:tcPr>
            <w:tcW w:type="dxa" w:w="7200"/>
            <w:vAlign w:val="top"/>
          </w:tcPr>
          <w:p>
            <w:pPr>
              <w:spacing w:after="0"/>
            </w:pPr>
            <w:r/>
            <w:r>
              <w:rPr>
                <w:b w:val="0"/>
                <w:sz w:val="16"/>
              </w:rPr>
              <w:t>Enable signed, timestamped, mutually authenticated exchange through department Trust Nodes.</w:t>
            </w:r>
          </w:p>
        </w:tc>
      </w:tr>
      <w:tr>
        <w:trPr>
          <w:cantSplit/>
        </w:trPr>
        <w:tc>
          <w:tcPr>
            <w:tcW w:type="dxa" w:w="864"/>
            <w:vAlign w:val="top"/>
          </w:tcPr>
          <w:p>
            <w:pPr>
              <w:spacing w:after="0"/>
            </w:pPr>
            <w:r/>
            <w:r>
              <w:rPr>
                <w:b w:val="0"/>
                <w:sz w:val="16"/>
              </w:rPr>
              <w:t>C05</w:t>
            </w:r>
          </w:p>
        </w:tc>
        <w:tc>
          <w:tcPr>
            <w:tcW w:type="dxa" w:w="3168"/>
            <w:vAlign w:val="top"/>
          </w:tcPr>
          <w:p>
            <w:pPr>
              <w:spacing w:after="0"/>
            </w:pPr>
            <w:r/>
            <w:r>
              <w:rPr>
                <w:b w:val="0"/>
                <w:sz w:val="16"/>
              </w:rPr>
              <w:t>Citizen-linked safeguards</w:t>
            </w:r>
          </w:p>
        </w:tc>
        <w:tc>
          <w:tcPr>
            <w:tcW w:type="dxa" w:w="7200"/>
            <w:vAlign w:val="top"/>
          </w:tcPr>
          <w:p>
            <w:pPr>
              <w:spacing w:after="0"/>
            </w:pPr>
            <w:r/>
            <w:r>
              <w:rPr>
                <w:b w:val="0"/>
                <w:sz w:val="16"/>
              </w:rPr>
              <w:t>Support notice, consent where required, wallet reuse, sharing logs, correction and grievance.</w:t>
            </w:r>
          </w:p>
        </w:tc>
      </w:tr>
      <w:tr>
        <w:trPr>
          <w:cantSplit/>
        </w:trPr>
        <w:tc>
          <w:tcPr>
            <w:tcW w:type="dxa" w:w="864"/>
            <w:vAlign w:val="top"/>
          </w:tcPr>
          <w:p>
            <w:pPr>
              <w:spacing w:after="0"/>
            </w:pPr>
            <w:r/>
            <w:r>
              <w:rPr>
                <w:b w:val="0"/>
                <w:sz w:val="16"/>
              </w:rPr>
              <w:t>C06</w:t>
            </w:r>
          </w:p>
        </w:tc>
        <w:tc>
          <w:tcPr>
            <w:tcW w:type="dxa" w:w="3168"/>
            <w:vAlign w:val="top"/>
          </w:tcPr>
          <w:p>
            <w:pPr>
              <w:spacing w:after="0"/>
            </w:pPr>
            <w:r/>
            <w:r>
              <w:rPr>
                <w:b w:val="0"/>
                <w:sz w:val="16"/>
              </w:rPr>
              <w:t>Schema and metadata standardisation</w:t>
            </w:r>
          </w:p>
        </w:tc>
        <w:tc>
          <w:tcPr>
            <w:tcW w:type="dxa" w:w="7200"/>
            <w:vAlign w:val="top"/>
          </w:tcPr>
          <w:p>
            <w:pPr>
              <w:spacing w:after="0"/>
            </w:pPr>
            <w:r/>
            <w:r>
              <w:rPr>
                <w:b w:val="0"/>
                <w:sz w:val="16"/>
              </w:rPr>
              <w:t>Govern canonical schemas, code sets, credential formats, mappings and versioning.</w:t>
            </w:r>
          </w:p>
        </w:tc>
      </w:tr>
      <w:tr>
        <w:trPr>
          <w:cantSplit/>
        </w:trPr>
        <w:tc>
          <w:tcPr>
            <w:tcW w:type="dxa" w:w="864"/>
            <w:vAlign w:val="top"/>
          </w:tcPr>
          <w:p>
            <w:pPr>
              <w:spacing w:after="0"/>
            </w:pPr>
            <w:r/>
            <w:r>
              <w:rPr>
                <w:b w:val="0"/>
                <w:sz w:val="16"/>
              </w:rPr>
              <w:t>C07</w:t>
            </w:r>
          </w:p>
        </w:tc>
        <w:tc>
          <w:tcPr>
            <w:tcW w:type="dxa" w:w="3168"/>
            <w:vAlign w:val="top"/>
          </w:tcPr>
          <w:p>
            <w:pPr>
              <w:spacing w:after="0"/>
            </w:pPr>
            <w:r/>
            <w:r>
              <w:rPr>
                <w:b w:val="0"/>
                <w:sz w:val="16"/>
              </w:rPr>
              <w:t>Audit and oversight</w:t>
            </w:r>
          </w:p>
        </w:tc>
        <w:tc>
          <w:tcPr>
            <w:tcW w:type="dxa" w:w="7200"/>
            <w:vAlign w:val="top"/>
          </w:tcPr>
          <w:p>
            <w:pPr>
              <w:spacing w:after="0"/>
            </w:pPr>
            <w:r/>
            <w:r>
              <w:rPr>
                <w:b w:val="0"/>
                <w:sz w:val="16"/>
              </w:rPr>
              <w:t>Create tamper-evident logs, dashboards, SLA reporting, anomaly detection and investigation workflows.</w:t>
            </w:r>
          </w:p>
        </w:tc>
      </w:tr>
      <w:tr>
        <w:trPr>
          <w:cantSplit/>
        </w:trPr>
        <w:tc>
          <w:tcPr>
            <w:tcW w:type="dxa" w:w="864"/>
            <w:vAlign w:val="top"/>
          </w:tcPr>
          <w:p>
            <w:pPr>
              <w:spacing w:after="0"/>
            </w:pPr>
            <w:r/>
            <w:r>
              <w:rPr>
                <w:b w:val="0"/>
                <w:sz w:val="16"/>
              </w:rPr>
              <w:t>C08</w:t>
            </w:r>
          </w:p>
        </w:tc>
        <w:tc>
          <w:tcPr>
            <w:tcW w:type="dxa" w:w="3168"/>
            <w:vAlign w:val="top"/>
          </w:tcPr>
          <w:p>
            <w:pPr>
              <w:spacing w:after="0"/>
            </w:pPr>
            <w:r/>
            <w:r>
              <w:rPr>
                <w:b w:val="0"/>
                <w:sz w:val="16"/>
              </w:rPr>
              <w:t>Cloud portability</w:t>
            </w:r>
          </w:p>
        </w:tc>
        <w:tc>
          <w:tcPr>
            <w:tcW w:type="dxa" w:w="7200"/>
            <w:vAlign w:val="top"/>
          </w:tcPr>
          <w:p>
            <w:pPr>
              <w:spacing w:after="0"/>
            </w:pPr>
            <w:r/>
            <w:r>
              <w:rPr>
                <w:b w:val="0"/>
                <w:sz w:val="16"/>
              </w:rPr>
              <w:t>Deploy the same product core on multiple approved clouds using certified provider adapters.</w:t>
            </w:r>
          </w:p>
        </w:tc>
      </w:tr>
      <w:tr>
        <w:trPr>
          <w:cantSplit/>
        </w:trPr>
        <w:tc>
          <w:tcPr>
            <w:tcW w:type="dxa" w:w="864"/>
            <w:vAlign w:val="top"/>
          </w:tcPr>
          <w:p>
            <w:pPr>
              <w:spacing w:after="0"/>
            </w:pPr>
            <w:r/>
            <w:r>
              <w:rPr>
                <w:b w:val="0"/>
                <w:sz w:val="16"/>
              </w:rPr>
              <w:t>C09</w:t>
            </w:r>
          </w:p>
        </w:tc>
        <w:tc>
          <w:tcPr>
            <w:tcW w:type="dxa" w:w="3168"/>
            <w:vAlign w:val="top"/>
          </w:tcPr>
          <w:p>
            <w:pPr>
              <w:spacing w:after="0"/>
            </w:pPr>
            <w:r/>
            <w:r>
              <w:rPr>
                <w:b w:val="0"/>
                <w:sz w:val="16"/>
              </w:rPr>
              <w:t>Developer enablement</w:t>
            </w:r>
          </w:p>
        </w:tc>
        <w:tc>
          <w:tcPr>
            <w:tcW w:type="dxa" w:w="7200"/>
            <w:vAlign w:val="top"/>
          </w:tcPr>
          <w:p>
            <w:pPr>
              <w:spacing w:after="0"/>
            </w:pPr>
            <w:r/>
            <w:r>
              <w:rPr>
                <w:b w:val="0"/>
                <w:sz w:val="16"/>
              </w:rPr>
              <w:t>Provide sandbox, SDKs, adapter templates, test data, mock services and conformance certification.</w:t>
            </w:r>
          </w:p>
        </w:tc>
      </w:tr>
      <w:tr>
        <w:trPr>
          <w:cantSplit/>
        </w:trPr>
        <w:tc>
          <w:tcPr>
            <w:tcW w:type="dxa" w:w="864"/>
            <w:vAlign w:val="top"/>
          </w:tcPr>
          <w:p>
            <w:pPr>
              <w:spacing w:after="0"/>
            </w:pPr>
            <w:r/>
            <w:r>
              <w:rPr>
                <w:b w:val="0"/>
                <w:sz w:val="16"/>
              </w:rPr>
              <w:t>C10</w:t>
            </w:r>
          </w:p>
        </w:tc>
        <w:tc>
          <w:tcPr>
            <w:tcW w:type="dxa" w:w="3168"/>
            <w:vAlign w:val="top"/>
          </w:tcPr>
          <w:p>
            <w:pPr>
              <w:spacing w:after="0"/>
            </w:pPr>
            <w:r/>
            <w:r>
              <w:rPr>
                <w:b w:val="0"/>
                <w:sz w:val="16"/>
              </w:rPr>
              <w:t>Operations and resilience</w:t>
            </w:r>
          </w:p>
        </w:tc>
        <w:tc>
          <w:tcPr>
            <w:tcW w:type="dxa" w:w="7200"/>
            <w:vAlign w:val="top"/>
          </w:tcPr>
          <w:p>
            <w:pPr>
              <w:spacing w:after="0"/>
            </w:pPr>
            <w:r/>
            <w:r>
              <w:rPr>
                <w:b w:val="0"/>
                <w:sz w:val="16"/>
              </w:rPr>
              <w:t>Support HA, DR, monitoring, incident response, revocation propagation and control-plane outage handling.</w:t>
            </w:r>
          </w:p>
        </w:tc>
      </w:tr>
    </w:tbl>
    <w:p>
      <w:pPr>
        <w:pStyle w:val="Heading1"/>
      </w:pPr>
      <w:r>
        <w:t>11. Functional requirements</w:t>
      </w:r>
    </w:p>
    <w:p>
      <w:pPr>
        <w:pStyle w:val="Heading2"/>
      </w:pPr>
      <w:r>
        <w:t>11.1 Member Registry</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cantSplit/>
          <w:tblHeader/>
        </w:trPr>
        <w:tc>
          <w:tcPr>
            <w:tcW w:type="dxa" w:w="1008"/>
            <w:vAlign w:val="top"/>
            <w:shd w:fill="17365D"/>
          </w:tcPr>
          <w:p>
            <w:pPr>
              <w:spacing w:after="0"/>
            </w:pPr>
            <w:r/>
            <w:r>
              <w:rPr>
                <w:b/>
                <w:color w:val="FFFFFF"/>
                <w:sz w:val="15"/>
              </w:rPr>
              <w:t>ID</w:t>
            </w:r>
          </w:p>
        </w:tc>
        <w:tc>
          <w:tcPr>
            <w:tcW w:type="dxa" w:w="5184"/>
            <w:vAlign w:val="top"/>
            <w:shd w:fill="17365D"/>
          </w:tcPr>
          <w:p>
            <w:pPr>
              <w:spacing w:after="0"/>
            </w:pPr>
            <w:r/>
            <w:r>
              <w:rPr>
                <w:b/>
                <w:color w:val="FFFFFF"/>
                <w:sz w:val="15"/>
              </w:rPr>
              <w:t>Requirement</w:t>
            </w:r>
          </w:p>
        </w:tc>
        <w:tc>
          <w:tcPr>
            <w:tcW w:type="dxa" w:w="1152"/>
            <w:vAlign w:val="top"/>
            <w:shd w:fill="17365D"/>
          </w:tcPr>
          <w:p>
            <w:pPr>
              <w:spacing w:after="0"/>
            </w:pPr>
            <w:r/>
            <w:r>
              <w:rPr>
                <w:b/>
                <w:color w:val="FFFFFF"/>
                <w:sz w:val="15"/>
              </w:rPr>
              <w:t>Priority</w:t>
            </w:r>
          </w:p>
        </w:tc>
        <w:tc>
          <w:tcPr>
            <w:tcW w:type="dxa" w:w="3888"/>
            <w:vAlign w:val="top"/>
            <w:shd w:fill="17365D"/>
          </w:tcPr>
          <w:p>
            <w:pPr>
              <w:spacing w:after="0"/>
            </w:pPr>
            <w:r/>
            <w:r>
              <w:rPr>
                <w:b/>
                <w:color w:val="FFFFFF"/>
                <w:sz w:val="15"/>
              </w:rPr>
              <w:t>Acceptance test</w:t>
            </w:r>
          </w:p>
        </w:tc>
      </w:tr>
      <w:tr>
        <w:trPr>
          <w:cantSplit/>
        </w:trPr>
        <w:tc>
          <w:tcPr>
            <w:tcW w:type="dxa" w:w="1008"/>
            <w:vAlign w:val="top"/>
          </w:tcPr>
          <w:p>
            <w:pPr>
              <w:spacing w:after="0"/>
            </w:pPr>
            <w:r/>
            <w:r>
              <w:rPr>
                <w:b w:val="0"/>
                <w:sz w:val="15"/>
              </w:rPr>
              <w:t>FR-001</w:t>
            </w:r>
          </w:p>
        </w:tc>
        <w:tc>
          <w:tcPr>
            <w:tcW w:type="dxa" w:w="5184"/>
            <w:vAlign w:val="top"/>
          </w:tcPr>
          <w:p>
            <w:pPr>
              <w:spacing w:after="0"/>
            </w:pPr>
            <w:r/>
            <w:r>
              <w:rPr>
                <w:b w:val="0"/>
                <w:sz w:val="15"/>
              </w:rPr>
              <w:t>Register ministries, departments, state agencies, public platforms and approved ecosystem participants as BTX members.</w:t>
            </w:r>
          </w:p>
        </w:tc>
        <w:tc>
          <w:tcPr>
            <w:tcW w:type="dxa" w:w="1152"/>
            <w:vAlign w:val="top"/>
          </w:tcPr>
          <w:p>
            <w:pPr>
              <w:spacing w:after="0"/>
            </w:pPr>
            <w:r/>
            <w:r>
              <w:rPr>
                <w:b w:val="0"/>
                <w:sz w:val="15"/>
              </w:rPr>
              <w:t>Must</w:t>
            </w:r>
          </w:p>
        </w:tc>
        <w:tc>
          <w:tcPr>
            <w:tcW w:type="dxa" w:w="3888"/>
            <w:vAlign w:val="top"/>
          </w:tcPr>
          <w:p>
            <w:pPr>
              <w:spacing w:after="0"/>
            </w:pPr>
            <w:r/>
            <w:r>
              <w:rPr>
                <w:b w:val="0"/>
                <w:sz w:val="15"/>
              </w:rPr>
              <w:t>Member record includes legal identity, member code, owner, role, status, environment and audit history.</w:t>
            </w:r>
          </w:p>
        </w:tc>
      </w:tr>
      <w:tr>
        <w:trPr>
          <w:cantSplit/>
        </w:trPr>
        <w:tc>
          <w:tcPr>
            <w:tcW w:type="dxa" w:w="1008"/>
            <w:vAlign w:val="top"/>
          </w:tcPr>
          <w:p>
            <w:pPr>
              <w:spacing w:after="0"/>
            </w:pPr>
            <w:r/>
            <w:r>
              <w:rPr>
                <w:b w:val="0"/>
                <w:sz w:val="15"/>
              </w:rPr>
              <w:t>FR-002</w:t>
            </w:r>
          </w:p>
        </w:tc>
        <w:tc>
          <w:tcPr>
            <w:tcW w:type="dxa" w:w="5184"/>
            <w:vAlign w:val="top"/>
          </w:tcPr>
          <w:p>
            <w:pPr>
              <w:spacing w:after="0"/>
            </w:pPr>
            <w:r/>
            <w:r>
              <w:rPr>
                <w:b w:val="0"/>
                <w:sz w:val="15"/>
              </w:rPr>
              <w:t>Map each member to one or more BTX Trust Nodes with endpoint, certificate and environment metadata.</w:t>
            </w:r>
          </w:p>
        </w:tc>
        <w:tc>
          <w:tcPr>
            <w:tcW w:type="dxa" w:w="1152"/>
            <w:vAlign w:val="top"/>
          </w:tcPr>
          <w:p>
            <w:pPr>
              <w:spacing w:after="0"/>
            </w:pPr>
            <w:r/>
            <w:r>
              <w:rPr>
                <w:b w:val="0"/>
                <w:sz w:val="15"/>
              </w:rPr>
              <w:t>Must</w:t>
            </w:r>
          </w:p>
        </w:tc>
        <w:tc>
          <w:tcPr>
            <w:tcW w:type="dxa" w:w="3888"/>
            <w:vAlign w:val="top"/>
          </w:tcPr>
          <w:p>
            <w:pPr>
              <w:spacing w:after="0"/>
            </w:pPr>
            <w:r/>
            <w:r>
              <w:rPr>
                <w:b w:val="0"/>
                <w:sz w:val="15"/>
              </w:rPr>
              <w:t>Provider and requester nodes are discoverable and validated before exchange.</w:t>
            </w:r>
          </w:p>
        </w:tc>
      </w:tr>
      <w:tr>
        <w:trPr>
          <w:cantSplit/>
        </w:trPr>
        <w:tc>
          <w:tcPr>
            <w:tcW w:type="dxa" w:w="1008"/>
            <w:vAlign w:val="top"/>
          </w:tcPr>
          <w:p>
            <w:pPr>
              <w:spacing w:after="0"/>
            </w:pPr>
            <w:r/>
            <w:r>
              <w:rPr>
                <w:b w:val="0"/>
                <w:sz w:val="15"/>
              </w:rPr>
              <w:t>FR-003</w:t>
            </w:r>
          </w:p>
        </w:tc>
        <w:tc>
          <w:tcPr>
            <w:tcW w:type="dxa" w:w="5184"/>
            <w:vAlign w:val="top"/>
          </w:tcPr>
          <w:p>
            <w:pPr>
              <w:spacing w:after="0"/>
            </w:pPr>
            <w:r/>
            <w:r>
              <w:rPr>
                <w:b w:val="0"/>
                <w:sz w:val="15"/>
              </w:rPr>
              <w:t>Support member lifecycle: pending, sandbox-active, production-active, suspended, revoked, expired and offboarded.</w:t>
            </w:r>
          </w:p>
        </w:tc>
        <w:tc>
          <w:tcPr>
            <w:tcW w:type="dxa" w:w="1152"/>
            <w:vAlign w:val="top"/>
          </w:tcPr>
          <w:p>
            <w:pPr>
              <w:spacing w:after="0"/>
            </w:pPr>
            <w:r/>
            <w:r>
              <w:rPr>
                <w:b w:val="0"/>
                <w:sz w:val="15"/>
              </w:rPr>
              <w:t>Must</w:t>
            </w:r>
          </w:p>
        </w:tc>
        <w:tc>
          <w:tcPr>
            <w:tcW w:type="dxa" w:w="3888"/>
            <w:vAlign w:val="top"/>
          </w:tcPr>
          <w:p>
            <w:pPr>
              <w:spacing w:after="0"/>
            </w:pPr>
            <w:r/>
            <w:r>
              <w:rPr>
                <w:b w:val="0"/>
                <w:sz w:val="15"/>
              </w:rPr>
              <w:t>Suspended or revoked members cannot initiate or receive production exchanges.</w:t>
            </w:r>
          </w:p>
        </w:tc>
      </w:tr>
      <w:tr>
        <w:trPr>
          <w:cantSplit/>
        </w:trPr>
        <w:tc>
          <w:tcPr>
            <w:tcW w:type="dxa" w:w="1008"/>
            <w:vAlign w:val="top"/>
          </w:tcPr>
          <w:p>
            <w:pPr>
              <w:spacing w:after="0"/>
            </w:pPr>
            <w:r/>
            <w:r>
              <w:rPr>
                <w:b w:val="0"/>
                <w:sz w:val="15"/>
              </w:rPr>
              <w:t>FR-004</w:t>
            </w:r>
          </w:p>
        </w:tc>
        <w:tc>
          <w:tcPr>
            <w:tcW w:type="dxa" w:w="5184"/>
            <w:vAlign w:val="top"/>
          </w:tcPr>
          <w:p>
            <w:pPr>
              <w:spacing w:after="0"/>
            </w:pPr>
            <w:r/>
            <w:r>
              <w:rPr>
                <w:b w:val="0"/>
                <w:sz w:val="15"/>
              </w:rPr>
              <w:t>Support periodic recertification and access-review reminders.</w:t>
            </w:r>
          </w:p>
        </w:tc>
        <w:tc>
          <w:tcPr>
            <w:tcW w:type="dxa" w:w="1152"/>
            <w:vAlign w:val="top"/>
          </w:tcPr>
          <w:p>
            <w:pPr>
              <w:spacing w:after="0"/>
            </w:pPr>
            <w:r/>
            <w:r>
              <w:rPr>
                <w:b w:val="0"/>
                <w:sz w:val="15"/>
              </w:rPr>
              <w:t>Should</w:t>
            </w:r>
          </w:p>
        </w:tc>
        <w:tc>
          <w:tcPr>
            <w:tcW w:type="dxa" w:w="3888"/>
            <w:vAlign w:val="top"/>
          </w:tcPr>
          <w:p>
            <w:pPr>
              <w:spacing w:after="0"/>
            </w:pPr>
            <w:r/>
            <w:r>
              <w:rPr>
                <w:b w:val="0"/>
                <w:sz w:val="15"/>
              </w:rPr>
              <w:t>System flags stale members, expiring certificates and overdue security reviews.</w:t>
            </w:r>
          </w:p>
        </w:tc>
      </w:tr>
      <w:tr>
        <w:trPr>
          <w:cantSplit/>
        </w:trPr>
        <w:tc>
          <w:tcPr>
            <w:tcW w:type="dxa" w:w="1008"/>
            <w:vAlign w:val="top"/>
          </w:tcPr>
          <w:p>
            <w:pPr>
              <w:spacing w:after="0"/>
            </w:pPr>
            <w:r/>
            <w:r>
              <w:rPr>
                <w:b w:val="0"/>
                <w:sz w:val="15"/>
              </w:rPr>
              <w:t>FR-005</w:t>
            </w:r>
          </w:p>
        </w:tc>
        <w:tc>
          <w:tcPr>
            <w:tcW w:type="dxa" w:w="5184"/>
            <w:vAlign w:val="top"/>
          </w:tcPr>
          <w:p>
            <w:pPr>
              <w:spacing w:after="0"/>
            </w:pPr>
            <w:r/>
            <w:r>
              <w:rPr>
                <w:b w:val="0"/>
                <w:sz w:val="15"/>
              </w:rPr>
              <w:t>Maintain data steward, security officer and accountable officer mapping for every member.</w:t>
            </w:r>
          </w:p>
        </w:tc>
        <w:tc>
          <w:tcPr>
            <w:tcW w:type="dxa" w:w="1152"/>
            <w:vAlign w:val="top"/>
          </w:tcPr>
          <w:p>
            <w:pPr>
              <w:spacing w:after="0"/>
            </w:pPr>
            <w:r/>
            <w:r>
              <w:rPr>
                <w:b w:val="0"/>
                <w:sz w:val="15"/>
              </w:rPr>
              <w:t>Must</w:t>
            </w:r>
          </w:p>
        </w:tc>
        <w:tc>
          <w:tcPr>
            <w:tcW w:type="dxa" w:w="3888"/>
            <w:vAlign w:val="top"/>
          </w:tcPr>
          <w:p>
            <w:pPr>
              <w:spacing w:after="0"/>
            </w:pPr>
            <w:r/>
            <w:r>
              <w:rPr>
                <w:b w:val="0"/>
                <w:sz w:val="15"/>
              </w:rPr>
              <w:t>Every production member has at least one active accountable owner.</w:t>
            </w:r>
          </w:p>
        </w:tc>
      </w:tr>
    </w:tbl>
    <w:p>
      <w:pPr>
        <w:pStyle w:val="Heading2"/>
      </w:pPr>
      <w:r>
        <w:t>11.2 Service Catalogue and API Lifecycle</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cantSplit/>
          <w:tblHeader/>
        </w:trPr>
        <w:tc>
          <w:tcPr>
            <w:tcW w:type="dxa" w:w="1008"/>
            <w:vAlign w:val="top"/>
            <w:shd w:fill="17365D"/>
          </w:tcPr>
          <w:p>
            <w:pPr>
              <w:spacing w:after="0"/>
            </w:pPr>
            <w:r/>
            <w:r>
              <w:rPr>
                <w:b/>
                <w:color w:val="FFFFFF"/>
                <w:sz w:val="15"/>
              </w:rPr>
              <w:t>ID</w:t>
            </w:r>
          </w:p>
        </w:tc>
        <w:tc>
          <w:tcPr>
            <w:tcW w:type="dxa" w:w="5184"/>
            <w:vAlign w:val="top"/>
            <w:shd w:fill="17365D"/>
          </w:tcPr>
          <w:p>
            <w:pPr>
              <w:spacing w:after="0"/>
            </w:pPr>
            <w:r/>
            <w:r>
              <w:rPr>
                <w:b/>
                <w:color w:val="FFFFFF"/>
                <w:sz w:val="15"/>
              </w:rPr>
              <w:t>Requirement</w:t>
            </w:r>
          </w:p>
        </w:tc>
        <w:tc>
          <w:tcPr>
            <w:tcW w:type="dxa" w:w="1152"/>
            <w:vAlign w:val="top"/>
            <w:shd w:fill="17365D"/>
          </w:tcPr>
          <w:p>
            <w:pPr>
              <w:spacing w:after="0"/>
            </w:pPr>
            <w:r/>
            <w:r>
              <w:rPr>
                <w:b/>
                <w:color w:val="FFFFFF"/>
                <w:sz w:val="15"/>
              </w:rPr>
              <w:t>Priority</w:t>
            </w:r>
          </w:p>
        </w:tc>
        <w:tc>
          <w:tcPr>
            <w:tcW w:type="dxa" w:w="3888"/>
            <w:vAlign w:val="top"/>
            <w:shd w:fill="17365D"/>
          </w:tcPr>
          <w:p>
            <w:pPr>
              <w:spacing w:after="0"/>
            </w:pPr>
            <w:r/>
            <w:r>
              <w:rPr>
                <w:b/>
                <w:color w:val="FFFFFF"/>
                <w:sz w:val="15"/>
              </w:rPr>
              <w:t>Acceptance test</w:t>
            </w:r>
          </w:p>
        </w:tc>
      </w:tr>
      <w:tr>
        <w:trPr>
          <w:cantSplit/>
        </w:trPr>
        <w:tc>
          <w:tcPr>
            <w:tcW w:type="dxa" w:w="1008"/>
            <w:vAlign w:val="top"/>
          </w:tcPr>
          <w:p>
            <w:pPr>
              <w:spacing w:after="0"/>
            </w:pPr>
            <w:r/>
            <w:r>
              <w:rPr>
                <w:b w:val="0"/>
                <w:sz w:val="15"/>
              </w:rPr>
              <w:t>FR-006</w:t>
            </w:r>
          </w:p>
        </w:tc>
        <w:tc>
          <w:tcPr>
            <w:tcW w:type="dxa" w:w="5184"/>
            <w:vAlign w:val="top"/>
          </w:tcPr>
          <w:p>
            <w:pPr>
              <w:spacing w:after="0"/>
            </w:pPr>
            <w:r/>
            <w:r>
              <w:rPr>
                <w:b w:val="0"/>
                <w:sz w:val="15"/>
              </w:rPr>
              <w:t>Publish service entries with provider, service ID, API contract, version, data class, purpose constraints and SLA.</w:t>
            </w:r>
          </w:p>
        </w:tc>
        <w:tc>
          <w:tcPr>
            <w:tcW w:type="dxa" w:w="1152"/>
            <w:vAlign w:val="top"/>
          </w:tcPr>
          <w:p>
            <w:pPr>
              <w:spacing w:after="0"/>
            </w:pPr>
            <w:r/>
            <w:r>
              <w:rPr>
                <w:b w:val="0"/>
                <w:sz w:val="15"/>
              </w:rPr>
              <w:t>Must</w:t>
            </w:r>
          </w:p>
        </w:tc>
        <w:tc>
          <w:tcPr>
            <w:tcW w:type="dxa" w:w="3888"/>
            <w:vAlign w:val="top"/>
          </w:tcPr>
          <w:p>
            <w:pPr>
              <w:spacing w:after="0"/>
            </w:pPr>
            <w:r/>
            <w:r>
              <w:rPr>
                <w:b w:val="0"/>
                <w:sz w:val="15"/>
              </w:rPr>
              <w:t>Service cannot be made active without mandatory metadata.</w:t>
            </w:r>
          </w:p>
        </w:tc>
      </w:tr>
      <w:tr>
        <w:trPr>
          <w:cantSplit/>
        </w:trPr>
        <w:tc>
          <w:tcPr>
            <w:tcW w:type="dxa" w:w="1008"/>
            <w:vAlign w:val="top"/>
          </w:tcPr>
          <w:p>
            <w:pPr>
              <w:spacing w:after="0"/>
            </w:pPr>
            <w:r/>
            <w:r>
              <w:rPr>
                <w:b w:val="0"/>
                <w:sz w:val="15"/>
              </w:rPr>
              <w:t>FR-007</w:t>
            </w:r>
          </w:p>
        </w:tc>
        <w:tc>
          <w:tcPr>
            <w:tcW w:type="dxa" w:w="5184"/>
            <w:vAlign w:val="top"/>
          </w:tcPr>
          <w:p>
            <w:pPr>
              <w:spacing w:after="0"/>
            </w:pPr>
            <w:r/>
            <w:r>
              <w:rPr>
                <w:b w:val="0"/>
                <w:sz w:val="15"/>
              </w:rPr>
              <w:t>Support REST, legacy SOAP, asynchronous events, document exchange and credential exchange metadata.</w:t>
            </w:r>
          </w:p>
        </w:tc>
        <w:tc>
          <w:tcPr>
            <w:tcW w:type="dxa" w:w="1152"/>
            <w:vAlign w:val="top"/>
          </w:tcPr>
          <w:p>
            <w:pPr>
              <w:spacing w:after="0"/>
            </w:pPr>
            <w:r/>
            <w:r>
              <w:rPr>
                <w:b w:val="0"/>
                <w:sz w:val="15"/>
              </w:rPr>
              <w:t>Must</w:t>
            </w:r>
          </w:p>
        </w:tc>
        <w:tc>
          <w:tcPr>
            <w:tcW w:type="dxa" w:w="3888"/>
            <w:vAlign w:val="top"/>
          </w:tcPr>
          <w:p>
            <w:pPr>
              <w:spacing w:after="0"/>
            </w:pPr>
            <w:r/>
            <w:r>
              <w:rPr>
                <w:b w:val="0"/>
                <w:sz w:val="15"/>
              </w:rPr>
              <w:t>Catalogue distinguishes API, event, document and credential service types.</w:t>
            </w:r>
          </w:p>
        </w:tc>
      </w:tr>
      <w:tr>
        <w:trPr>
          <w:cantSplit/>
        </w:trPr>
        <w:tc>
          <w:tcPr>
            <w:tcW w:type="dxa" w:w="1008"/>
            <w:vAlign w:val="top"/>
          </w:tcPr>
          <w:p>
            <w:pPr>
              <w:spacing w:after="0"/>
            </w:pPr>
            <w:r/>
            <w:r>
              <w:rPr>
                <w:b w:val="0"/>
                <w:sz w:val="15"/>
              </w:rPr>
              <w:t>FR-008</w:t>
            </w:r>
          </w:p>
        </w:tc>
        <w:tc>
          <w:tcPr>
            <w:tcW w:type="dxa" w:w="5184"/>
            <w:vAlign w:val="top"/>
          </w:tcPr>
          <w:p>
            <w:pPr>
              <w:spacing w:after="0"/>
            </w:pPr>
            <w:r/>
            <w:r>
              <w:rPr>
                <w:b w:val="0"/>
                <w:sz w:val="15"/>
              </w:rPr>
              <w:t>Expose discovery and subscription workflows aligned to API Setu or state exchange integration.</w:t>
            </w:r>
          </w:p>
        </w:tc>
        <w:tc>
          <w:tcPr>
            <w:tcW w:type="dxa" w:w="1152"/>
            <w:vAlign w:val="top"/>
          </w:tcPr>
          <w:p>
            <w:pPr>
              <w:spacing w:after="0"/>
            </w:pPr>
            <w:r/>
            <w:r>
              <w:rPr>
                <w:b w:val="0"/>
                <w:sz w:val="15"/>
              </w:rPr>
              <w:t>Should</w:t>
            </w:r>
          </w:p>
        </w:tc>
        <w:tc>
          <w:tcPr>
            <w:tcW w:type="dxa" w:w="3888"/>
            <w:vAlign w:val="top"/>
          </w:tcPr>
          <w:p>
            <w:pPr>
              <w:spacing w:after="0"/>
            </w:pPr>
            <w:r/>
            <w:r>
              <w:rPr>
                <w:b w:val="0"/>
                <w:sz w:val="15"/>
              </w:rPr>
              <w:t>Approved consumers discover services and request access from the catalogue.</w:t>
            </w:r>
          </w:p>
        </w:tc>
      </w:tr>
      <w:tr>
        <w:trPr>
          <w:cantSplit/>
        </w:trPr>
        <w:tc>
          <w:tcPr>
            <w:tcW w:type="dxa" w:w="1008"/>
            <w:vAlign w:val="top"/>
          </w:tcPr>
          <w:p>
            <w:pPr>
              <w:spacing w:after="0"/>
            </w:pPr>
            <w:r/>
            <w:r>
              <w:rPr>
                <w:b w:val="0"/>
                <w:sz w:val="15"/>
              </w:rPr>
              <w:t>FR-009</w:t>
            </w:r>
          </w:p>
        </w:tc>
        <w:tc>
          <w:tcPr>
            <w:tcW w:type="dxa" w:w="5184"/>
            <w:vAlign w:val="top"/>
          </w:tcPr>
          <w:p>
            <w:pPr>
              <w:spacing w:after="0"/>
            </w:pPr>
            <w:r/>
            <w:r>
              <w:rPr>
                <w:b w:val="0"/>
                <w:sz w:val="15"/>
              </w:rPr>
              <w:t>Support service versioning, deprecation, backward compatibility flags and change notifications.</w:t>
            </w:r>
          </w:p>
        </w:tc>
        <w:tc>
          <w:tcPr>
            <w:tcW w:type="dxa" w:w="1152"/>
            <w:vAlign w:val="top"/>
          </w:tcPr>
          <w:p>
            <w:pPr>
              <w:spacing w:after="0"/>
            </w:pPr>
            <w:r/>
            <w:r>
              <w:rPr>
                <w:b w:val="0"/>
                <w:sz w:val="15"/>
              </w:rPr>
              <w:t>Must</w:t>
            </w:r>
          </w:p>
        </w:tc>
        <w:tc>
          <w:tcPr>
            <w:tcW w:type="dxa" w:w="3888"/>
            <w:vAlign w:val="top"/>
          </w:tcPr>
          <w:p>
            <w:pPr>
              <w:spacing w:after="0"/>
            </w:pPr>
            <w:r/>
            <w:r>
              <w:rPr>
                <w:b w:val="0"/>
                <w:sz w:val="15"/>
              </w:rPr>
              <w:t>Consumers are warned before breaking changes and old versions sunset through policy.</w:t>
            </w:r>
          </w:p>
        </w:tc>
      </w:tr>
      <w:tr>
        <w:trPr>
          <w:cantSplit/>
        </w:trPr>
        <w:tc>
          <w:tcPr>
            <w:tcW w:type="dxa" w:w="1008"/>
            <w:vAlign w:val="top"/>
          </w:tcPr>
          <w:p>
            <w:pPr>
              <w:spacing w:after="0"/>
            </w:pPr>
            <w:r/>
            <w:r>
              <w:rPr>
                <w:b w:val="0"/>
                <w:sz w:val="15"/>
              </w:rPr>
              <w:t>FR-010</w:t>
            </w:r>
          </w:p>
        </w:tc>
        <w:tc>
          <w:tcPr>
            <w:tcW w:type="dxa" w:w="5184"/>
            <w:vAlign w:val="top"/>
          </w:tcPr>
          <w:p>
            <w:pPr>
              <w:spacing w:after="0"/>
            </w:pPr>
            <w:r/>
            <w:r>
              <w:rPr>
                <w:b w:val="0"/>
                <w:sz w:val="15"/>
              </w:rPr>
              <w:t>Provide machine-readable OpenAPI/AsyncAPI contract download and validation.</w:t>
            </w:r>
          </w:p>
        </w:tc>
        <w:tc>
          <w:tcPr>
            <w:tcW w:type="dxa" w:w="1152"/>
            <w:vAlign w:val="top"/>
          </w:tcPr>
          <w:p>
            <w:pPr>
              <w:spacing w:after="0"/>
            </w:pPr>
            <w:r/>
            <w:r>
              <w:rPr>
                <w:b w:val="0"/>
                <w:sz w:val="15"/>
              </w:rPr>
              <w:t>Must</w:t>
            </w:r>
          </w:p>
        </w:tc>
        <w:tc>
          <w:tcPr>
            <w:tcW w:type="dxa" w:w="3888"/>
            <w:vAlign w:val="top"/>
          </w:tcPr>
          <w:p>
            <w:pPr>
              <w:spacing w:after="0"/>
            </w:pPr>
            <w:r/>
            <w:r>
              <w:rPr>
                <w:b w:val="0"/>
                <w:sz w:val="15"/>
              </w:rPr>
              <w:t>Contracts pass automated linting before publication.</w:t>
            </w:r>
          </w:p>
        </w:tc>
      </w:tr>
    </w:tbl>
    <w:p>
      <w:pPr>
        <w:pStyle w:val="Heading2"/>
      </w:pPr>
      <w:r>
        <w:t>11.3 Purpose Registry and Policy Decision</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cantSplit/>
          <w:tblHeader/>
        </w:trPr>
        <w:tc>
          <w:tcPr>
            <w:tcW w:type="dxa" w:w="1008"/>
            <w:vAlign w:val="top"/>
            <w:shd w:fill="17365D"/>
          </w:tcPr>
          <w:p>
            <w:pPr>
              <w:spacing w:after="0"/>
            </w:pPr>
            <w:r/>
            <w:r>
              <w:rPr>
                <w:b/>
                <w:color w:val="FFFFFF"/>
                <w:sz w:val="15"/>
              </w:rPr>
              <w:t>ID</w:t>
            </w:r>
          </w:p>
        </w:tc>
        <w:tc>
          <w:tcPr>
            <w:tcW w:type="dxa" w:w="5184"/>
            <w:vAlign w:val="top"/>
            <w:shd w:fill="17365D"/>
          </w:tcPr>
          <w:p>
            <w:pPr>
              <w:spacing w:after="0"/>
            </w:pPr>
            <w:r/>
            <w:r>
              <w:rPr>
                <w:b/>
                <w:color w:val="FFFFFF"/>
                <w:sz w:val="15"/>
              </w:rPr>
              <w:t>Requirement</w:t>
            </w:r>
          </w:p>
        </w:tc>
        <w:tc>
          <w:tcPr>
            <w:tcW w:type="dxa" w:w="1152"/>
            <w:vAlign w:val="top"/>
            <w:shd w:fill="17365D"/>
          </w:tcPr>
          <w:p>
            <w:pPr>
              <w:spacing w:after="0"/>
            </w:pPr>
            <w:r/>
            <w:r>
              <w:rPr>
                <w:b/>
                <w:color w:val="FFFFFF"/>
                <w:sz w:val="15"/>
              </w:rPr>
              <w:t>Priority</w:t>
            </w:r>
          </w:p>
        </w:tc>
        <w:tc>
          <w:tcPr>
            <w:tcW w:type="dxa" w:w="3888"/>
            <w:vAlign w:val="top"/>
            <w:shd w:fill="17365D"/>
          </w:tcPr>
          <w:p>
            <w:pPr>
              <w:spacing w:after="0"/>
            </w:pPr>
            <w:r/>
            <w:r>
              <w:rPr>
                <w:b/>
                <w:color w:val="FFFFFF"/>
                <w:sz w:val="15"/>
              </w:rPr>
              <w:t>Acceptance test</w:t>
            </w:r>
          </w:p>
        </w:tc>
      </w:tr>
      <w:tr>
        <w:trPr>
          <w:cantSplit/>
        </w:trPr>
        <w:tc>
          <w:tcPr>
            <w:tcW w:type="dxa" w:w="1008"/>
            <w:vAlign w:val="top"/>
          </w:tcPr>
          <w:p>
            <w:pPr>
              <w:spacing w:after="0"/>
            </w:pPr>
            <w:r/>
            <w:r>
              <w:rPr>
                <w:b w:val="0"/>
                <w:sz w:val="15"/>
              </w:rPr>
              <w:t>FR-011</w:t>
            </w:r>
          </w:p>
        </w:tc>
        <w:tc>
          <w:tcPr>
            <w:tcW w:type="dxa" w:w="5184"/>
            <w:vAlign w:val="top"/>
          </w:tcPr>
          <w:p>
            <w:pPr>
              <w:spacing w:after="0"/>
            </w:pPr>
            <w:r/>
            <w:r>
              <w:rPr>
                <w:b w:val="0"/>
                <w:sz w:val="15"/>
              </w:rPr>
              <w:t>Maintain approved purpose codes linked to data class, service type, lawful basis and minimisation rules.</w:t>
            </w:r>
          </w:p>
        </w:tc>
        <w:tc>
          <w:tcPr>
            <w:tcW w:type="dxa" w:w="1152"/>
            <w:vAlign w:val="top"/>
          </w:tcPr>
          <w:p>
            <w:pPr>
              <w:spacing w:after="0"/>
            </w:pPr>
            <w:r/>
            <w:r>
              <w:rPr>
                <w:b w:val="0"/>
                <w:sz w:val="15"/>
              </w:rPr>
              <w:t>Must</w:t>
            </w:r>
          </w:p>
        </w:tc>
        <w:tc>
          <w:tcPr>
            <w:tcW w:type="dxa" w:w="3888"/>
            <w:vAlign w:val="top"/>
          </w:tcPr>
          <w:p>
            <w:pPr>
              <w:spacing w:after="0"/>
            </w:pPr>
            <w:r/>
            <w:r>
              <w:rPr>
                <w:b w:val="0"/>
                <w:sz w:val="15"/>
              </w:rPr>
              <w:t>Every production request references a valid purpose code.</w:t>
            </w:r>
          </w:p>
        </w:tc>
      </w:tr>
      <w:tr>
        <w:trPr>
          <w:cantSplit/>
        </w:trPr>
        <w:tc>
          <w:tcPr>
            <w:tcW w:type="dxa" w:w="1008"/>
            <w:vAlign w:val="top"/>
          </w:tcPr>
          <w:p>
            <w:pPr>
              <w:spacing w:after="0"/>
            </w:pPr>
            <w:r/>
            <w:r>
              <w:rPr>
                <w:b w:val="0"/>
                <w:sz w:val="15"/>
              </w:rPr>
              <w:t>FR-012</w:t>
            </w:r>
          </w:p>
        </w:tc>
        <w:tc>
          <w:tcPr>
            <w:tcW w:type="dxa" w:w="5184"/>
            <w:vAlign w:val="top"/>
          </w:tcPr>
          <w:p>
            <w:pPr>
              <w:spacing w:after="0"/>
            </w:pPr>
            <w:r/>
            <w:r>
              <w:rPr>
                <w:b w:val="0"/>
                <w:sz w:val="15"/>
              </w:rPr>
              <w:t>Evaluate requester, provider, member status, role, service ID, purpose, approval, dataset class, environment and risk context.</w:t>
            </w:r>
          </w:p>
        </w:tc>
        <w:tc>
          <w:tcPr>
            <w:tcW w:type="dxa" w:w="1152"/>
            <w:vAlign w:val="top"/>
          </w:tcPr>
          <w:p>
            <w:pPr>
              <w:spacing w:after="0"/>
            </w:pPr>
            <w:r/>
            <w:r>
              <w:rPr>
                <w:b w:val="0"/>
                <w:sz w:val="15"/>
              </w:rPr>
              <w:t>Must</w:t>
            </w:r>
          </w:p>
        </w:tc>
        <w:tc>
          <w:tcPr>
            <w:tcW w:type="dxa" w:w="3888"/>
            <w:vAlign w:val="top"/>
          </w:tcPr>
          <w:p>
            <w:pPr>
              <w:spacing w:after="0"/>
            </w:pPr>
            <w:r/>
            <w:r>
              <w:rPr>
                <w:b w:val="0"/>
                <w:sz w:val="15"/>
              </w:rPr>
              <w:t>Policy returns allow, deny, allow-with-minimisation, allow-with-notice, require-consent or escalate.</w:t>
            </w:r>
          </w:p>
        </w:tc>
      </w:tr>
      <w:tr>
        <w:trPr>
          <w:cantSplit/>
        </w:trPr>
        <w:tc>
          <w:tcPr>
            <w:tcW w:type="dxa" w:w="1008"/>
            <w:vAlign w:val="top"/>
          </w:tcPr>
          <w:p>
            <w:pPr>
              <w:spacing w:after="0"/>
            </w:pPr>
            <w:r/>
            <w:r>
              <w:rPr>
                <w:b w:val="0"/>
                <w:sz w:val="15"/>
              </w:rPr>
              <w:t>FR-013</w:t>
            </w:r>
          </w:p>
        </w:tc>
        <w:tc>
          <w:tcPr>
            <w:tcW w:type="dxa" w:w="5184"/>
            <w:vAlign w:val="top"/>
          </w:tcPr>
          <w:p>
            <w:pPr>
              <w:spacing w:after="0"/>
            </w:pPr>
            <w:r/>
            <w:r>
              <w:rPr>
                <w:b w:val="0"/>
                <w:sz w:val="15"/>
              </w:rPr>
              <w:t>Support policy-as-code with automated tests, reviewer approval and rollback.</w:t>
            </w:r>
          </w:p>
        </w:tc>
        <w:tc>
          <w:tcPr>
            <w:tcW w:type="dxa" w:w="1152"/>
            <w:vAlign w:val="top"/>
          </w:tcPr>
          <w:p>
            <w:pPr>
              <w:spacing w:after="0"/>
            </w:pPr>
            <w:r/>
            <w:r>
              <w:rPr>
                <w:b w:val="0"/>
                <w:sz w:val="15"/>
              </w:rPr>
              <w:t>Must</w:t>
            </w:r>
          </w:p>
        </w:tc>
        <w:tc>
          <w:tcPr>
            <w:tcW w:type="dxa" w:w="3888"/>
            <w:vAlign w:val="top"/>
          </w:tcPr>
          <w:p>
            <w:pPr>
              <w:spacing w:after="0"/>
            </w:pPr>
            <w:r/>
            <w:r>
              <w:rPr>
                <w:b w:val="0"/>
                <w:sz w:val="15"/>
              </w:rPr>
              <w:t>Policies have versioning, test cases, reviewer approval and rollback.</w:t>
            </w:r>
          </w:p>
        </w:tc>
      </w:tr>
      <w:tr>
        <w:trPr>
          <w:cantSplit/>
        </w:trPr>
        <w:tc>
          <w:tcPr>
            <w:tcW w:type="dxa" w:w="1008"/>
            <w:vAlign w:val="top"/>
          </w:tcPr>
          <w:p>
            <w:pPr>
              <w:spacing w:after="0"/>
            </w:pPr>
            <w:r/>
            <w:r>
              <w:rPr>
                <w:b w:val="0"/>
                <w:sz w:val="15"/>
              </w:rPr>
              <w:t>FR-014</w:t>
            </w:r>
          </w:p>
        </w:tc>
        <w:tc>
          <w:tcPr>
            <w:tcW w:type="dxa" w:w="5184"/>
            <w:vAlign w:val="top"/>
          </w:tcPr>
          <w:p>
            <w:pPr>
              <w:spacing w:after="0"/>
            </w:pPr>
            <w:r/>
            <w:r>
              <w:rPr>
                <w:b w:val="0"/>
                <w:sz w:val="15"/>
              </w:rPr>
              <w:t>Support emergency policy override and emergency revocation with strict logging and expiry.</w:t>
            </w:r>
          </w:p>
        </w:tc>
        <w:tc>
          <w:tcPr>
            <w:tcW w:type="dxa" w:w="1152"/>
            <w:vAlign w:val="top"/>
          </w:tcPr>
          <w:p>
            <w:pPr>
              <w:spacing w:after="0"/>
            </w:pPr>
            <w:r/>
            <w:r>
              <w:rPr>
                <w:b w:val="0"/>
                <w:sz w:val="15"/>
              </w:rPr>
              <w:t>Should</w:t>
            </w:r>
          </w:p>
        </w:tc>
        <w:tc>
          <w:tcPr>
            <w:tcW w:type="dxa" w:w="3888"/>
            <w:vAlign w:val="top"/>
          </w:tcPr>
          <w:p>
            <w:pPr>
              <w:spacing w:after="0"/>
            </w:pPr>
            <w:r/>
            <w:r>
              <w:rPr>
                <w:b w:val="0"/>
                <w:sz w:val="15"/>
              </w:rPr>
              <w:t>Emergency actions require authorised role, reason code and post-facto review.</w:t>
            </w:r>
          </w:p>
        </w:tc>
      </w:tr>
      <w:tr>
        <w:trPr>
          <w:cantSplit/>
        </w:trPr>
        <w:tc>
          <w:tcPr>
            <w:tcW w:type="dxa" w:w="1008"/>
            <w:vAlign w:val="top"/>
          </w:tcPr>
          <w:p>
            <w:pPr>
              <w:spacing w:after="0"/>
            </w:pPr>
            <w:r/>
            <w:r>
              <w:rPr>
                <w:b w:val="0"/>
                <w:sz w:val="15"/>
              </w:rPr>
              <w:t>FR-015</w:t>
            </w:r>
          </w:p>
        </w:tc>
        <w:tc>
          <w:tcPr>
            <w:tcW w:type="dxa" w:w="5184"/>
            <w:vAlign w:val="top"/>
          </w:tcPr>
          <w:p>
            <w:pPr>
              <w:spacing w:after="0"/>
            </w:pPr>
            <w:r/>
            <w:r>
              <w:rPr>
                <w:b w:val="0"/>
                <w:sz w:val="15"/>
              </w:rPr>
              <w:t>Support consent, notice and lawful-basis references where applicable.</w:t>
            </w:r>
          </w:p>
        </w:tc>
        <w:tc>
          <w:tcPr>
            <w:tcW w:type="dxa" w:w="1152"/>
            <w:vAlign w:val="top"/>
          </w:tcPr>
          <w:p>
            <w:pPr>
              <w:spacing w:after="0"/>
            </w:pPr>
            <w:r/>
            <w:r>
              <w:rPr>
                <w:b w:val="0"/>
                <w:sz w:val="15"/>
              </w:rPr>
              <w:t>Must</w:t>
            </w:r>
          </w:p>
        </w:tc>
        <w:tc>
          <w:tcPr>
            <w:tcW w:type="dxa" w:w="3888"/>
            <w:vAlign w:val="top"/>
          </w:tcPr>
          <w:p>
            <w:pPr>
              <w:spacing w:after="0"/>
            </w:pPr>
            <w:r/>
            <w:r>
              <w:rPr>
                <w:b w:val="0"/>
                <w:sz w:val="15"/>
              </w:rPr>
              <w:t>Personal-data requests cannot proceed without the configured safeguard for that data class.</w:t>
            </w:r>
          </w:p>
        </w:tc>
      </w:tr>
    </w:tbl>
    <w:p>
      <w:pPr>
        <w:pStyle w:val="Heading2"/>
      </w:pPr>
      <w:r>
        <w:t>11.4 Trust Node Runtime</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cantSplit/>
          <w:tblHeader/>
        </w:trPr>
        <w:tc>
          <w:tcPr>
            <w:tcW w:type="dxa" w:w="1008"/>
            <w:vAlign w:val="top"/>
            <w:shd w:fill="17365D"/>
          </w:tcPr>
          <w:p>
            <w:pPr>
              <w:spacing w:after="0"/>
            </w:pPr>
            <w:r/>
            <w:r>
              <w:rPr>
                <w:b/>
                <w:color w:val="FFFFFF"/>
                <w:sz w:val="15"/>
              </w:rPr>
              <w:t>ID</w:t>
            </w:r>
          </w:p>
        </w:tc>
        <w:tc>
          <w:tcPr>
            <w:tcW w:type="dxa" w:w="5184"/>
            <w:vAlign w:val="top"/>
            <w:shd w:fill="17365D"/>
          </w:tcPr>
          <w:p>
            <w:pPr>
              <w:spacing w:after="0"/>
            </w:pPr>
            <w:r/>
            <w:r>
              <w:rPr>
                <w:b/>
                <w:color w:val="FFFFFF"/>
                <w:sz w:val="15"/>
              </w:rPr>
              <w:t>Requirement</w:t>
            </w:r>
          </w:p>
        </w:tc>
        <w:tc>
          <w:tcPr>
            <w:tcW w:type="dxa" w:w="1152"/>
            <w:vAlign w:val="top"/>
            <w:shd w:fill="17365D"/>
          </w:tcPr>
          <w:p>
            <w:pPr>
              <w:spacing w:after="0"/>
            </w:pPr>
            <w:r/>
            <w:r>
              <w:rPr>
                <w:b/>
                <w:color w:val="FFFFFF"/>
                <w:sz w:val="15"/>
              </w:rPr>
              <w:t>Priority</w:t>
            </w:r>
          </w:p>
        </w:tc>
        <w:tc>
          <w:tcPr>
            <w:tcW w:type="dxa" w:w="3888"/>
            <w:vAlign w:val="top"/>
            <w:shd w:fill="17365D"/>
          </w:tcPr>
          <w:p>
            <w:pPr>
              <w:spacing w:after="0"/>
            </w:pPr>
            <w:r/>
            <w:r>
              <w:rPr>
                <w:b/>
                <w:color w:val="FFFFFF"/>
                <w:sz w:val="15"/>
              </w:rPr>
              <w:t>Acceptance test</w:t>
            </w:r>
          </w:p>
        </w:tc>
      </w:tr>
      <w:tr>
        <w:trPr>
          <w:cantSplit/>
        </w:trPr>
        <w:tc>
          <w:tcPr>
            <w:tcW w:type="dxa" w:w="1008"/>
            <w:vAlign w:val="top"/>
          </w:tcPr>
          <w:p>
            <w:pPr>
              <w:spacing w:after="0"/>
            </w:pPr>
            <w:r/>
            <w:r>
              <w:rPr>
                <w:b w:val="0"/>
                <w:sz w:val="15"/>
              </w:rPr>
              <w:t>FR-016</w:t>
            </w:r>
          </w:p>
        </w:tc>
        <w:tc>
          <w:tcPr>
            <w:tcW w:type="dxa" w:w="5184"/>
            <w:vAlign w:val="top"/>
          </w:tcPr>
          <w:p>
            <w:pPr>
              <w:spacing w:after="0"/>
            </w:pPr>
            <w:r/>
            <w:r>
              <w:rPr>
                <w:b w:val="0"/>
                <w:sz w:val="15"/>
              </w:rPr>
              <w:t>Provide deployable BTX Trust Node runtime for department, state, managed tenant and hybrid deployments.</w:t>
            </w:r>
          </w:p>
        </w:tc>
        <w:tc>
          <w:tcPr>
            <w:tcW w:type="dxa" w:w="1152"/>
            <w:vAlign w:val="top"/>
          </w:tcPr>
          <w:p>
            <w:pPr>
              <w:spacing w:after="0"/>
            </w:pPr>
            <w:r/>
            <w:r>
              <w:rPr>
                <w:b w:val="0"/>
                <w:sz w:val="15"/>
              </w:rPr>
              <w:t>Must</w:t>
            </w:r>
          </w:p>
        </w:tc>
        <w:tc>
          <w:tcPr>
            <w:tcW w:type="dxa" w:w="3888"/>
            <w:vAlign w:val="top"/>
          </w:tcPr>
          <w:p>
            <w:pPr>
              <w:spacing w:after="0"/>
            </w:pPr>
            <w:r/>
            <w:r>
              <w:rPr>
                <w:b w:val="0"/>
                <w:sz w:val="15"/>
              </w:rPr>
              <w:t>Node runs as containerised workload on certified Kubernetes/OpenShift environments.</w:t>
            </w:r>
          </w:p>
        </w:tc>
      </w:tr>
      <w:tr>
        <w:trPr>
          <w:cantSplit/>
        </w:trPr>
        <w:tc>
          <w:tcPr>
            <w:tcW w:type="dxa" w:w="1008"/>
            <w:vAlign w:val="top"/>
          </w:tcPr>
          <w:p>
            <w:pPr>
              <w:spacing w:after="0"/>
            </w:pPr>
            <w:r/>
            <w:r>
              <w:rPr>
                <w:b w:val="0"/>
                <w:sz w:val="15"/>
              </w:rPr>
              <w:t>FR-017</w:t>
            </w:r>
          </w:p>
        </w:tc>
        <w:tc>
          <w:tcPr>
            <w:tcW w:type="dxa" w:w="5184"/>
            <w:vAlign w:val="top"/>
          </w:tcPr>
          <w:p>
            <w:pPr>
              <w:spacing w:after="0"/>
            </w:pPr>
            <w:r/>
            <w:r>
              <w:rPr>
                <w:b w:val="0"/>
                <w:sz w:val="15"/>
              </w:rPr>
              <w:t>Enforce mTLS, request signing, response signing, timestamping, nonce and replay protection.</w:t>
            </w:r>
          </w:p>
        </w:tc>
        <w:tc>
          <w:tcPr>
            <w:tcW w:type="dxa" w:w="1152"/>
            <w:vAlign w:val="top"/>
          </w:tcPr>
          <w:p>
            <w:pPr>
              <w:spacing w:after="0"/>
            </w:pPr>
            <w:r/>
            <w:r>
              <w:rPr>
                <w:b w:val="0"/>
                <w:sz w:val="15"/>
              </w:rPr>
              <w:t>Must</w:t>
            </w:r>
          </w:p>
        </w:tc>
        <w:tc>
          <w:tcPr>
            <w:tcW w:type="dxa" w:w="3888"/>
            <w:vAlign w:val="top"/>
          </w:tcPr>
          <w:p>
            <w:pPr>
              <w:spacing w:after="0"/>
            </w:pPr>
            <w:r/>
            <w:r>
              <w:rPr>
                <w:b w:val="0"/>
                <w:sz w:val="15"/>
              </w:rPr>
              <w:t>Unsigned, stale or replayed requests are rejected and logged.</w:t>
            </w:r>
          </w:p>
        </w:tc>
      </w:tr>
      <w:tr>
        <w:trPr>
          <w:cantSplit/>
        </w:trPr>
        <w:tc>
          <w:tcPr>
            <w:tcW w:type="dxa" w:w="1008"/>
            <w:vAlign w:val="top"/>
          </w:tcPr>
          <w:p>
            <w:pPr>
              <w:spacing w:after="0"/>
            </w:pPr>
            <w:r/>
            <w:r>
              <w:rPr>
                <w:b w:val="0"/>
                <w:sz w:val="15"/>
              </w:rPr>
              <w:t>FR-018</w:t>
            </w:r>
          </w:p>
        </w:tc>
        <w:tc>
          <w:tcPr>
            <w:tcW w:type="dxa" w:w="5184"/>
            <w:vAlign w:val="top"/>
          </w:tcPr>
          <w:p>
            <w:pPr>
              <w:spacing w:after="0"/>
            </w:pPr>
            <w:r/>
            <w:r>
              <w:rPr>
                <w:b w:val="0"/>
                <w:sz w:val="15"/>
              </w:rPr>
              <w:t>Pull and validate signed configuration from BTX control plane.</w:t>
            </w:r>
          </w:p>
        </w:tc>
        <w:tc>
          <w:tcPr>
            <w:tcW w:type="dxa" w:w="1152"/>
            <w:vAlign w:val="top"/>
          </w:tcPr>
          <w:p>
            <w:pPr>
              <w:spacing w:after="0"/>
            </w:pPr>
            <w:r/>
            <w:r>
              <w:rPr>
                <w:b w:val="0"/>
                <w:sz w:val="15"/>
              </w:rPr>
              <w:t>Must</w:t>
            </w:r>
          </w:p>
        </w:tc>
        <w:tc>
          <w:tcPr>
            <w:tcW w:type="dxa" w:w="3888"/>
            <w:vAlign w:val="top"/>
          </w:tcPr>
          <w:p>
            <w:pPr>
              <w:spacing w:after="0"/>
            </w:pPr>
            <w:r/>
            <w:r>
              <w:rPr>
                <w:b w:val="0"/>
                <w:sz w:val="15"/>
              </w:rPr>
              <w:t>Node refuses untrusted, revoked or expired configuration.</w:t>
            </w:r>
          </w:p>
        </w:tc>
      </w:tr>
      <w:tr>
        <w:trPr>
          <w:cantSplit/>
        </w:trPr>
        <w:tc>
          <w:tcPr>
            <w:tcW w:type="dxa" w:w="1008"/>
            <w:vAlign w:val="top"/>
          </w:tcPr>
          <w:p>
            <w:pPr>
              <w:spacing w:after="0"/>
            </w:pPr>
            <w:r/>
            <w:r>
              <w:rPr>
                <w:b w:val="0"/>
                <w:sz w:val="15"/>
              </w:rPr>
              <w:t>FR-019</w:t>
            </w:r>
          </w:p>
        </w:tc>
        <w:tc>
          <w:tcPr>
            <w:tcW w:type="dxa" w:w="5184"/>
            <w:vAlign w:val="top"/>
          </w:tcPr>
          <w:p>
            <w:pPr>
              <w:spacing w:after="0"/>
            </w:pPr>
            <w:r/>
            <w:r>
              <w:rPr>
                <w:b w:val="0"/>
                <w:sz w:val="15"/>
              </w:rPr>
              <w:t>Cache approved configuration for bounded continuity during control-plane outages.</w:t>
            </w:r>
          </w:p>
        </w:tc>
        <w:tc>
          <w:tcPr>
            <w:tcW w:type="dxa" w:w="1152"/>
            <w:vAlign w:val="top"/>
          </w:tcPr>
          <w:p>
            <w:pPr>
              <w:spacing w:after="0"/>
            </w:pPr>
            <w:r/>
            <w:r>
              <w:rPr>
                <w:b w:val="0"/>
                <w:sz w:val="15"/>
              </w:rPr>
              <w:t>Must</w:t>
            </w:r>
          </w:p>
        </w:tc>
        <w:tc>
          <w:tcPr>
            <w:tcW w:type="dxa" w:w="3888"/>
            <w:vAlign w:val="top"/>
          </w:tcPr>
          <w:p>
            <w:pPr>
              <w:spacing w:after="0"/>
            </w:pPr>
            <w:r/>
            <w:r>
              <w:rPr>
                <w:b w:val="0"/>
                <w:sz w:val="15"/>
              </w:rPr>
              <w:t>Existing approved traffic continues for TTL; new approvals pause.</w:t>
            </w:r>
          </w:p>
        </w:tc>
      </w:tr>
      <w:tr>
        <w:trPr>
          <w:cantSplit/>
        </w:trPr>
        <w:tc>
          <w:tcPr>
            <w:tcW w:type="dxa" w:w="1008"/>
            <w:vAlign w:val="top"/>
          </w:tcPr>
          <w:p>
            <w:pPr>
              <w:spacing w:after="0"/>
            </w:pPr>
            <w:r/>
            <w:r>
              <w:rPr>
                <w:b w:val="0"/>
                <w:sz w:val="15"/>
              </w:rPr>
              <w:t>FR-020</w:t>
            </w:r>
          </w:p>
        </w:tc>
        <w:tc>
          <w:tcPr>
            <w:tcW w:type="dxa" w:w="5184"/>
            <w:vAlign w:val="top"/>
          </w:tcPr>
          <w:p>
            <w:pPr>
              <w:spacing w:after="0"/>
            </w:pPr>
            <w:r/>
            <w:r>
              <w:rPr>
                <w:b w:val="0"/>
                <w:sz w:val="15"/>
              </w:rPr>
              <w:t>Connect securely to backend adapters and legacy systems without exposing source databases directly.</w:t>
            </w:r>
          </w:p>
        </w:tc>
        <w:tc>
          <w:tcPr>
            <w:tcW w:type="dxa" w:w="1152"/>
            <w:vAlign w:val="top"/>
          </w:tcPr>
          <w:p>
            <w:pPr>
              <w:spacing w:after="0"/>
            </w:pPr>
            <w:r/>
            <w:r>
              <w:rPr>
                <w:b w:val="0"/>
                <w:sz w:val="15"/>
              </w:rPr>
              <w:t>Must</w:t>
            </w:r>
          </w:p>
        </w:tc>
        <w:tc>
          <w:tcPr>
            <w:tcW w:type="dxa" w:w="3888"/>
            <w:vAlign w:val="top"/>
          </w:tcPr>
          <w:p>
            <w:pPr>
              <w:spacing w:after="0"/>
            </w:pPr>
            <w:r/>
            <w:r>
              <w:rPr>
                <w:b w:val="0"/>
                <w:sz w:val="15"/>
              </w:rPr>
              <w:t>Provider data flows only through approved adapters.</w:t>
            </w:r>
          </w:p>
        </w:tc>
      </w:tr>
    </w:tbl>
    <w:p>
      <w:pPr>
        <w:pStyle w:val="Heading2"/>
      </w:pPr>
      <w:r>
        <w:t>11.5 Data Minimisation and Response Shaping</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cantSplit/>
          <w:tblHeader/>
        </w:trPr>
        <w:tc>
          <w:tcPr>
            <w:tcW w:type="dxa" w:w="1008"/>
            <w:vAlign w:val="top"/>
            <w:shd w:fill="17365D"/>
          </w:tcPr>
          <w:p>
            <w:pPr>
              <w:spacing w:after="0"/>
            </w:pPr>
            <w:r/>
            <w:r>
              <w:rPr>
                <w:b/>
                <w:color w:val="FFFFFF"/>
                <w:sz w:val="15"/>
              </w:rPr>
              <w:t>ID</w:t>
            </w:r>
          </w:p>
        </w:tc>
        <w:tc>
          <w:tcPr>
            <w:tcW w:type="dxa" w:w="5184"/>
            <w:vAlign w:val="top"/>
            <w:shd w:fill="17365D"/>
          </w:tcPr>
          <w:p>
            <w:pPr>
              <w:spacing w:after="0"/>
            </w:pPr>
            <w:r/>
            <w:r>
              <w:rPr>
                <w:b/>
                <w:color w:val="FFFFFF"/>
                <w:sz w:val="15"/>
              </w:rPr>
              <w:t>Requirement</w:t>
            </w:r>
          </w:p>
        </w:tc>
        <w:tc>
          <w:tcPr>
            <w:tcW w:type="dxa" w:w="1152"/>
            <w:vAlign w:val="top"/>
            <w:shd w:fill="17365D"/>
          </w:tcPr>
          <w:p>
            <w:pPr>
              <w:spacing w:after="0"/>
            </w:pPr>
            <w:r/>
            <w:r>
              <w:rPr>
                <w:b/>
                <w:color w:val="FFFFFF"/>
                <w:sz w:val="15"/>
              </w:rPr>
              <w:t>Priority</w:t>
            </w:r>
          </w:p>
        </w:tc>
        <w:tc>
          <w:tcPr>
            <w:tcW w:type="dxa" w:w="3888"/>
            <w:vAlign w:val="top"/>
            <w:shd w:fill="17365D"/>
          </w:tcPr>
          <w:p>
            <w:pPr>
              <w:spacing w:after="0"/>
            </w:pPr>
            <w:r/>
            <w:r>
              <w:rPr>
                <w:b/>
                <w:color w:val="FFFFFF"/>
                <w:sz w:val="15"/>
              </w:rPr>
              <w:t>Acceptance test</w:t>
            </w:r>
          </w:p>
        </w:tc>
      </w:tr>
      <w:tr>
        <w:trPr>
          <w:cantSplit/>
        </w:trPr>
        <w:tc>
          <w:tcPr>
            <w:tcW w:type="dxa" w:w="1008"/>
            <w:vAlign w:val="top"/>
          </w:tcPr>
          <w:p>
            <w:pPr>
              <w:spacing w:after="0"/>
            </w:pPr>
            <w:r/>
            <w:r>
              <w:rPr>
                <w:b w:val="0"/>
                <w:sz w:val="15"/>
              </w:rPr>
              <w:t>FR-021</w:t>
            </w:r>
          </w:p>
        </w:tc>
        <w:tc>
          <w:tcPr>
            <w:tcW w:type="dxa" w:w="5184"/>
            <w:vAlign w:val="top"/>
          </w:tcPr>
          <w:p>
            <w:pPr>
              <w:spacing w:after="0"/>
            </w:pPr>
            <w:r/>
            <w:r>
              <w:rPr>
                <w:b w:val="0"/>
                <w:sz w:val="15"/>
              </w:rPr>
              <w:t>Support field masking, tokenisation, redaction and purpose-specific response schemas.</w:t>
            </w:r>
          </w:p>
        </w:tc>
        <w:tc>
          <w:tcPr>
            <w:tcW w:type="dxa" w:w="1152"/>
            <w:vAlign w:val="top"/>
          </w:tcPr>
          <w:p>
            <w:pPr>
              <w:spacing w:after="0"/>
            </w:pPr>
            <w:r/>
            <w:r>
              <w:rPr>
                <w:b w:val="0"/>
                <w:sz w:val="15"/>
              </w:rPr>
              <w:t>Must</w:t>
            </w:r>
          </w:p>
        </w:tc>
        <w:tc>
          <w:tcPr>
            <w:tcW w:type="dxa" w:w="3888"/>
            <w:vAlign w:val="top"/>
          </w:tcPr>
          <w:p>
            <w:pPr>
              <w:spacing w:after="0"/>
            </w:pPr>
            <w:r/>
            <w:r>
              <w:rPr>
                <w:b w:val="0"/>
                <w:sz w:val="15"/>
              </w:rPr>
              <w:t>Provider enforces different response shapes for different purposes.</w:t>
            </w:r>
          </w:p>
        </w:tc>
      </w:tr>
      <w:tr>
        <w:trPr>
          <w:cantSplit/>
        </w:trPr>
        <w:tc>
          <w:tcPr>
            <w:tcW w:type="dxa" w:w="1008"/>
            <w:vAlign w:val="top"/>
          </w:tcPr>
          <w:p>
            <w:pPr>
              <w:spacing w:after="0"/>
            </w:pPr>
            <w:r/>
            <w:r>
              <w:rPr>
                <w:b w:val="0"/>
                <w:sz w:val="15"/>
              </w:rPr>
              <w:t>FR-022</w:t>
            </w:r>
          </w:p>
        </w:tc>
        <w:tc>
          <w:tcPr>
            <w:tcW w:type="dxa" w:w="5184"/>
            <w:vAlign w:val="top"/>
          </w:tcPr>
          <w:p>
            <w:pPr>
              <w:spacing w:after="0"/>
            </w:pPr>
            <w:r/>
            <w:r>
              <w:rPr>
                <w:b w:val="0"/>
                <w:sz w:val="15"/>
              </w:rPr>
              <w:t>Support yes/no verification and signed assertions as alternatives to raw-record sharing.</w:t>
            </w:r>
          </w:p>
        </w:tc>
        <w:tc>
          <w:tcPr>
            <w:tcW w:type="dxa" w:w="1152"/>
            <w:vAlign w:val="top"/>
          </w:tcPr>
          <w:p>
            <w:pPr>
              <w:spacing w:after="0"/>
            </w:pPr>
            <w:r/>
            <w:r>
              <w:rPr>
                <w:b w:val="0"/>
                <w:sz w:val="15"/>
              </w:rPr>
              <w:t>Must</w:t>
            </w:r>
          </w:p>
        </w:tc>
        <w:tc>
          <w:tcPr>
            <w:tcW w:type="dxa" w:w="3888"/>
            <w:vAlign w:val="top"/>
          </w:tcPr>
          <w:p>
            <w:pPr>
              <w:spacing w:after="0"/>
            </w:pPr>
            <w:r/>
            <w:r>
              <w:rPr>
                <w:b w:val="0"/>
                <w:sz w:val="15"/>
              </w:rPr>
              <w:t>Eligibility/status checks can return minimal answers.</w:t>
            </w:r>
          </w:p>
        </w:tc>
      </w:tr>
      <w:tr>
        <w:trPr>
          <w:cantSplit/>
        </w:trPr>
        <w:tc>
          <w:tcPr>
            <w:tcW w:type="dxa" w:w="1008"/>
            <w:vAlign w:val="top"/>
          </w:tcPr>
          <w:p>
            <w:pPr>
              <w:spacing w:after="0"/>
            </w:pPr>
            <w:r/>
            <w:r>
              <w:rPr>
                <w:b w:val="0"/>
                <w:sz w:val="15"/>
              </w:rPr>
              <w:t>FR-023</w:t>
            </w:r>
          </w:p>
        </w:tc>
        <w:tc>
          <w:tcPr>
            <w:tcW w:type="dxa" w:w="5184"/>
            <w:vAlign w:val="top"/>
          </w:tcPr>
          <w:p>
            <w:pPr>
              <w:spacing w:after="0"/>
            </w:pPr>
            <w:r/>
            <w:r>
              <w:rPr>
                <w:b w:val="0"/>
                <w:sz w:val="15"/>
              </w:rPr>
              <w:t>Support configurable retention and cache rules per service and purpose.</w:t>
            </w:r>
          </w:p>
        </w:tc>
        <w:tc>
          <w:tcPr>
            <w:tcW w:type="dxa" w:w="1152"/>
            <w:vAlign w:val="top"/>
          </w:tcPr>
          <w:p>
            <w:pPr>
              <w:spacing w:after="0"/>
            </w:pPr>
            <w:r/>
            <w:r>
              <w:rPr>
                <w:b w:val="0"/>
                <w:sz w:val="15"/>
              </w:rPr>
              <w:t>Must</w:t>
            </w:r>
          </w:p>
        </w:tc>
        <w:tc>
          <w:tcPr>
            <w:tcW w:type="dxa" w:w="3888"/>
            <w:vAlign w:val="top"/>
          </w:tcPr>
          <w:p>
            <w:pPr>
              <w:spacing w:after="0"/>
            </w:pPr>
            <w:r/>
            <w:r>
              <w:rPr>
                <w:b w:val="0"/>
                <w:sz w:val="15"/>
              </w:rPr>
              <w:t>Responses carry retention and reuse metadata.</w:t>
            </w:r>
          </w:p>
        </w:tc>
      </w:tr>
      <w:tr>
        <w:trPr>
          <w:cantSplit/>
        </w:trPr>
        <w:tc>
          <w:tcPr>
            <w:tcW w:type="dxa" w:w="1008"/>
            <w:vAlign w:val="top"/>
          </w:tcPr>
          <w:p>
            <w:pPr>
              <w:spacing w:after="0"/>
            </w:pPr>
            <w:r/>
            <w:r>
              <w:rPr>
                <w:b w:val="0"/>
                <w:sz w:val="15"/>
              </w:rPr>
              <w:t>FR-024</w:t>
            </w:r>
          </w:p>
        </w:tc>
        <w:tc>
          <w:tcPr>
            <w:tcW w:type="dxa" w:w="5184"/>
            <w:vAlign w:val="top"/>
          </w:tcPr>
          <w:p>
            <w:pPr>
              <w:spacing w:after="0"/>
            </w:pPr>
            <w:r/>
            <w:r>
              <w:rPr>
                <w:b w:val="0"/>
                <w:sz w:val="15"/>
              </w:rPr>
              <w:t>Block unauthorised bulk extraction unless explicitly approved through high-assurance workflow.</w:t>
            </w:r>
          </w:p>
        </w:tc>
        <w:tc>
          <w:tcPr>
            <w:tcW w:type="dxa" w:w="1152"/>
            <w:vAlign w:val="top"/>
          </w:tcPr>
          <w:p>
            <w:pPr>
              <w:spacing w:after="0"/>
            </w:pPr>
            <w:r/>
            <w:r>
              <w:rPr>
                <w:b w:val="0"/>
                <w:sz w:val="15"/>
              </w:rPr>
              <w:t>Must</w:t>
            </w:r>
          </w:p>
        </w:tc>
        <w:tc>
          <w:tcPr>
            <w:tcW w:type="dxa" w:w="3888"/>
            <w:vAlign w:val="top"/>
          </w:tcPr>
          <w:p>
            <w:pPr>
              <w:spacing w:after="0"/>
            </w:pPr>
            <w:r/>
            <w:r>
              <w:rPr>
                <w:b w:val="0"/>
                <w:sz w:val="15"/>
              </w:rPr>
              <w:t>Bulk requests require separate approval, rate limits and audit treatment.</w:t>
            </w:r>
          </w:p>
        </w:tc>
      </w:tr>
      <w:tr>
        <w:trPr>
          <w:cantSplit/>
        </w:trPr>
        <w:tc>
          <w:tcPr>
            <w:tcW w:type="dxa" w:w="1008"/>
            <w:vAlign w:val="top"/>
          </w:tcPr>
          <w:p>
            <w:pPr>
              <w:spacing w:after="0"/>
            </w:pPr>
            <w:r/>
            <w:r>
              <w:rPr>
                <w:b w:val="0"/>
                <w:sz w:val="15"/>
              </w:rPr>
              <w:t>FR-025</w:t>
            </w:r>
          </w:p>
        </w:tc>
        <w:tc>
          <w:tcPr>
            <w:tcW w:type="dxa" w:w="5184"/>
            <w:vAlign w:val="top"/>
          </w:tcPr>
          <w:p>
            <w:pPr>
              <w:spacing w:after="0"/>
            </w:pPr>
            <w:r/>
            <w:r>
              <w:rPr>
                <w:b w:val="0"/>
                <w:sz w:val="15"/>
              </w:rPr>
              <w:t>Support selective disclosure patterns for wallet/credential integrations where feasible.</w:t>
            </w:r>
          </w:p>
        </w:tc>
        <w:tc>
          <w:tcPr>
            <w:tcW w:type="dxa" w:w="1152"/>
            <w:vAlign w:val="top"/>
          </w:tcPr>
          <w:p>
            <w:pPr>
              <w:spacing w:after="0"/>
            </w:pPr>
            <w:r/>
            <w:r>
              <w:rPr>
                <w:b w:val="0"/>
                <w:sz w:val="15"/>
              </w:rPr>
              <w:t>Should</w:t>
            </w:r>
          </w:p>
        </w:tc>
        <w:tc>
          <w:tcPr>
            <w:tcW w:type="dxa" w:w="3888"/>
            <w:vAlign w:val="top"/>
          </w:tcPr>
          <w:p>
            <w:pPr>
              <w:spacing w:after="0"/>
            </w:pPr>
            <w:r/>
            <w:r>
              <w:rPr>
                <w:b w:val="0"/>
                <w:sz w:val="15"/>
              </w:rPr>
              <w:t>Citizen-linked credential flows reveal only required claims.</w:t>
            </w:r>
          </w:p>
        </w:tc>
      </w:tr>
    </w:tbl>
    <w:p>
      <w:pPr>
        <w:pStyle w:val="Heading2"/>
      </w:pPr>
      <w:r>
        <w:t>11.6 Audit, SLA and Grievance</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cantSplit/>
          <w:tblHeader/>
        </w:trPr>
        <w:tc>
          <w:tcPr>
            <w:tcW w:type="dxa" w:w="1008"/>
            <w:vAlign w:val="top"/>
            <w:shd w:fill="17365D"/>
          </w:tcPr>
          <w:p>
            <w:pPr>
              <w:spacing w:after="0"/>
            </w:pPr>
            <w:r/>
            <w:r>
              <w:rPr>
                <w:b/>
                <w:color w:val="FFFFFF"/>
                <w:sz w:val="15"/>
              </w:rPr>
              <w:t>ID</w:t>
            </w:r>
          </w:p>
        </w:tc>
        <w:tc>
          <w:tcPr>
            <w:tcW w:type="dxa" w:w="5184"/>
            <w:vAlign w:val="top"/>
            <w:shd w:fill="17365D"/>
          </w:tcPr>
          <w:p>
            <w:pPr>
              <w:spacing w:after="0"/>
            </w:pPr>
            <w:r/>
            <w:r>
              <w:rPr>
                <w:b/>
                <w:color w:val="FFFFFF"/>
                <w:sz w:val="15"/>
              </w:rPr>
              <w:t>Requirement</w:t>
            </w:r>
          </w:p>
        </w:tc>
        <w:tc>
          <w:tcPr>
            <w:tcW w:type="dxa" w:w="1152"/>
            <w:vAlign w:val="top"/>
            <w:shd w:fill="17365D"/>
          </w:tcPr>
          <w:p>
            <w:pPr>
              <w:spacing w:after="0"/>
            </w:pPr>
            <w:r/>
            <w:r>
              <w:rPr>
                <w:b/>
                <w:color w:val="FFFFFF"/>
                <w:sz w:val="15"/>
              </w:rPr>
              <w:t>Priority</w:t>
            </w:r>
          </w:p>
        </w:tc>
        <w:tc>
          <w:tcPr>
            <w:tcW w:type="dxa" w:w="3888"/>
            <w:vAlign w:val="top"/>
            <w:shd w:fill="17365D"/>
          </w:tcPr>
          <w:p>
            <w:pPr>
              <w:spacing w:after="0"/>
            </w:pPr>
            <w:r/>
            <w:r>
              <w:rPr>
                <w:b/>
                <w:color w:val="FFFFFF"/>
                <w:sz w:val="15"/>
              </w:rPr>
              <w:t>Acceptance test</w:t>
            </w:r>
          </w:p>
        </w:tc>
      </w:tr>
      <w:tr>
        <w:trPr>
          <w:cantSplit/>
        </w:trPr>
        <w:tc>
          <w:tcPr>
            <w:tcW w:type="dxa" w:w="1008"/>
            <w:vAlign w:val="top"/>
          </w:tcPr>
          <w:p>
            <w:pPr>
              <w:spacing w:after="0"/>
            </w:pPr>
            <w:r/>
            <w:r>
              <w:rPr>
                <w:b w:val="0"/>
                <w:sz w:val="15"/>
              </w:rPr>
              <w:t>FR-026</w:t>
            </w:r>
          </w:p>
        </w:tc>
        <w:tc>
          <w:tcPr>
            <w:tcW w:type="dxa" w:w="5184"/>
            <w:vAlign w:val="top"/>
          </w:tcPr>
          <w:p>
            <w:pPr>
              <w:spacing w:after="0"/>
            </w:pPr>
            <w:r/>
            <w:r>
              <w:rPr>
                <w:b w:val="0"/>
                <w:sz w:val="15"/>
              </w:rPr>
              <w:t>Log every exchange at requester node, provider node and central audit layer using canonical event schema.</w:t>
            </w:r>
          </w:p>
        </w:tc>
        <w:tc>
          <w:tcPr>
            <w:tcW w:type="dxa" w:w="1152"/>
            <w:vAlign w:val="top"/>
          </w:tcPr>
          <w:p>
            <w:pPr>
              <w:spacing w:after="0"/>
            </w:pPr>
            <w:r/>
            <w:r>
              <w:rPr>
                <w:b w:val="0"/>
                <w:sz w:val="15"/>
              </w:rPr>
              <w:t>Must</w:t>
            </w:r>
          </w:p>
        </w:tc>
        <w:tc>
          <w:tcPr>
            <w:tcW w:type="dxa" w:w="3888"/>
            <w:vAlign w:val="top"/>
          </w:tcPr>
          <w:p>
            <w:pPr>
              <w:spacing w:after="0"/>
            </w:pPr>
            <w:r/>
            <w:r>
              <w:rPr>
                <w:b w:val="0"/>
                <w:sz w:val="15"/>
              </w:rPr>
              <w:t>Logs contain transaction ID, requester, provider, service, purpose, status and policy decision.</w:t>
            </w:r>
          </w:p>
        </w:tc>
      </w:tr>
      <w:tr>
        <w:trPr>
          <w:cantSplit/>
        </w:trPr>
        <w:tc>
          <w:tcPr>
            <w:tcW w:type="dxa" w:w="1008"/>
            <w:vAlign w:val="top"/>
          </w:tcPr>
          <w:p>
            <w:pPr>
              <w:spacing w:after="0"/>
            </w:pPr>
            <w:r/>
            <w:r>
              <w:rPr>
                <w:b w:val="0"/>
                <w:sz w:val="15"/>
              </w:rPr>
              <w:t>FR-027</w:t>
            </w:r>
          </w:p>
        </w:tc>
        <w:tc>
          <w:tcPr>
            <w:tcW w:type="dxa" w:w="5184"/>
            <w:vAlign w:val="top"/>
          </w:tcPr>
          <w:p>
            <w:pPr>
              <w:spacing w:after="0"/>
            </w:pPr>
            <w:r/>
            <w:r>
              <w:rPr>
                <w:b w:val="0"/>
                <w:sz w:val="15"/>
              </w:rPr>
              <w:t>Provide tamper-evident audit using immutable storage, hashing and timestamping.</w:t>
            </w:r>
          </w:p>
        </w:tc>
        <w:tc>
          <w:tcPr>
            <w:tcW w:type="dxa" w:w="1152"/>
            <w:vAlign w:val="top"/>
          </w:tcPr>
          <w:p>
            <w:pPr>
              <w:spacing w:after="0"/>
            </w:pPr>
            <w:r/>
            <w:r>
              <w:rPr>
                <w:b w:val="0"/>
                <w:sz w:val="15"/>
              </w:rPr>
              <w:t>Must</w:t>
            </w:r>
          </w:p>
        </w:tc>
        <w:tc>
          <w:tcPr>
            <w:tcW w:type="dxa" w:w="3888"/>
            <w:vAlign w:val="top"/>
          </w:tcPr>
          <w:p>
            <w:pPr>
              <w:spacing w:after="0"/>
            </w:pPr>
            <w:r/>
            <w:r>
              <w:rPr>
                <w:b w:val="0"/>
                <w:sz w:val="15"/>
              </w:rPr>
              <w:t>Audit records are detectable if altered or removed.</w:t>
            </w:r>
          </w:p>
        </w:tc>
      </w:tr>
      <w:tr>
        <w:trPr>
          <w:cantSplit/>
        </w:trPr>
        <w:tc>
          <w:tcPr>
            <w:tcW w:type="dxa" w:w="1008"/>
            <w:vAlign w:val="top"/>
          </w:tcPr>
          <w:p>
            <w:pPr>
              <w:spacing w:after="0"/>
            </w:pPr>
            <w:r/>
            <w:r>
              <w:rPr>
                <w:b w:val="0"/>
                <w:sz w:val="15"/>
              </w:rPr>
              <w:t>FR-028</w:t>
            </w:r>
          </w:p>
        </w:tc>
        <w:tc>
          <w:tcPr>
            <w:tcW w:type="dxa" w:w="5184"/>
            <w:vAlign w:val="top"/>
          </w:tcPr>
          <w:p>
            <w:pPr>
              <w:spacing w:after="0"/>
            </w:pPr>
            <w:r/>
            <w:r>
              <w:rPr>
                <w:b w:val="0"/>
                <w:sz w:val="15"/>
              </w:rPr>
              <w:t>Provide dashboards for usage, SLA, failures, denied requests, anomalies and service health.</w:t>
            </w:r>
          </w:p>
        </w:tc>
        <w:tc>
          <w:tcPr>
            <w:tcW w:type="dxa" w:w="1152"/>
            <w:vAlign w:val="top"/>
          </w:tcPr>
          <w:p>
            <w:pPr>
              <w:spacing w:after="0"/>
            </w:pPr>
            <w:r/>
            <w:r>
              <w:rPr>
                <w:b w:val="0"/>
                <w:sz w:val="15"/>
              </w:rPr>
              <w:t>Must</w:t>
            </w:r>
          </w:p>
        </w:tc>
        <w:tc>
          <w:tcPr>
            <w:tcW w:type="dxa" w:w="3888"/>
            <w:vAlign w:val="top"/>
          </w:tcPr>
          <w:p>
            <w:pPr>
              <w:spacing w:after="0"/>
            </w:pPr>
            <w:r/>
            <w:r>
              <w:rPr>
                <w:b w:val="0"/>
                <w:sz w:val="15"/>
              </w:rPr>
              <w:t>Dashboards support department, state, national and auditor views.</w:t>
            </w:r>
          </w:p>
        </w:tc>
      </w:tr>
      <w:tr>
        <w:trPr>
          <w:cantSplit/>
        </w:trPr>
        <w:tc>
          <w:tcPr>
            <w:tcW w:type="dxa" w:w="1008"/>
            <w:vAlign w:val="top"/>
          </w:tcPr>
          <w:p>
            <w:pPr>
              <w:spacing w:after="0"/>
            </w:pPr>
            <w:r/>
            <w:r>
              <w:rPr>
                <w:b w:val="0"/>
                <w:sz w:val="15"/>
              </w:rPr>
              <w:t>FR-029</w:t>
            </w:r>
          </w:p>
        </w:tc>
        <w:tc>
          <w:tcPr>
            <w:tcW w:type="dxa" w:w="5184"/>
            <w:vAlign w:val="top"/>
          </w:tcPr>
          <w:p>
            <w:pPr>
              <w:spacing w:after="0"/>
            </w:pPr>
            <w:r/>
            <w:r>
              <w:rPr>
                <w:b w:val="0"/>
                <w:sz w:val="15"/>
              </w:rPr>
              <w:t>Support citizen-visible sharing history for citizen-linked records where applicable.</w:t>
            </w:r>
          </w:p>
        </w:tc>
        <w:tc>
          <w:tcPr>
            <w:tcW w:type="dxa" w:w="1152"/>
            <w:vAlign w:val="top"/>
          </w:tcPr>
          <w:p>
            <w:pPr>
              <w:spacing w:after="0"/>
            </w:pPr>
            <w:r/>
            <w:r>
              <w:rPr>
                <w:b w:val="0"/>
                <w:sz w:val="15"/>
              </w:rPr>
              <w:t>Should</w:t>
            </w:r>
          </w:p>
        </w:tc>
        <w:tc>
          <w:tcPr>
            <w:tcW w:type="dxa" w:w="3888"/>
            <w:vAlign w:val="top"/>
          </w:tcPr>
          <w:p>
            <w:pPr>
              <w:spacing w:after="0"/>
            </w:pPr>
            <w:r/>
            <w:r>
              <w:rPr>
                <w:b w:val="0"/>
                <w:sz w:val="15"/>
              </w:rPr>
              <w:t>Citizen can see what was requested, by whom, when and for what purpose.</w:t>
            </w:r>
          </w:p>
        </w:tc>
      </w:tr>
      <w:tr>
        <w:trPr>
          <w:cantSplit/>
        </w:trPr>
        <w:tc>
          <w:tcPr>
            <w:tcW w:type="dxa" w:w="1008"/>
            <w:vAlign w:val="top"/>
          </w:tcPr>
          <w:p>
            <w:pPr>
              <w:spacing w:after="0"/>
            </w:pPr>
            <w:r/>
            <w:r>
              <w:rPr>
                <w:b w:val="0"/>
                <w:sz w:val="15"/>
              </w:rPr>
              <w:t>FR-030</w:t>
            </w:r>
          </w:p>
        </w:tc>
        <w:tc>
          <w:tcPr>
            <w:tcW w:type="dxa" w:w="5184"/>
            <w:vAlign w:val="top"/>
          </w:tcPr>
          <w:p>
            <w:pPr>
              <w:spacing w:after="0"/>
            </w:pPr>
            <w:r/>
            <w:r>
              <w:rPr>
                <w:b w:val="0"/>
                <w:sz w:val="15"/>
              </w:rPr>
              <w:t>Support grievance, correction, escalation and investigation workflow integration.</w:t>
            </w:r>
          </w:p>
        </w:tc>
        <w:tc>
          <w:tcPr>
            <w:tcW w:type="dxa" w:w="1152"/>
            <w:vAlign w:val="top"/>
          </w:tcPr>
          <w:p>
            <w:pPr>
              <w:spacing w:after="0"/>
            </w:pPr>
            <w:r/>
            <w:r>
              <w:rPr>
                <w:b w:val="0"/>
                <w:sz w:val="15"/>
              </w:rPr>
              <w:t>Should</w:t>
            </w:r>
          </w:p>
        </w:tc>
        <w:tc>
          <w:tcPr>
            <w:tcW w:type="dxa" w:w="3888"/>
            <w:vAlign w:val="top"/>
          </w:tcPr>
          <w:p>
            <w:pPr>
              <w:spacing w:after="0"/>
            </w:pPr>
            <w:r/>
            <w:r>
              <w:rPr>
                <w:b w:val="0"/>
                <w:sz w:val="15"/>
              </w:rPr>
              <w:t>Audit trail links to ticket/case workflows.</w:t>
            </w:r>
          </w:p>
        </w:tc>
      </w:tr>
    </w:tbl>
    <w:p>
      <w:pPr>
        <w:pStyle w:val="Heading2"/>
      </w:pPr>
      <w:r>
        <w:t>11.7 SchemaHub and Standards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cantSplit/>
          <w:tblHeader/>
        </w:trPr>
        <w:tc>
          <w:tcPr>
            <w:tcW w:type="dxa" w:w="1008"/>
            <w:vAlign w:val="top"/>
            <w:shd w:fill="17365D"/>
          </w:tcPr>
          <w:p>
            <w:pPr>
              <w:spacing w:after="0"/>
            </w:pPr>
            <w:r/>
            <w:r>
              <w:rPr>
                <w:b/>
                <w:color w:val="FFFFFF"/>
                <w:sz w:val="15"/>
              </w:rPr>
              <w:t>ID</w:t>
            </w:r>
          </w:p>
        </w:tc>
        <w:tc>
          <w:tcPr>
            <w:tcW w:type="dxa" w:w="5184"/>
            <w:vAlign w:val="top"/>
            <w:shd w:fill="17365D"/>
          </w:tcPr>
          <w:p>
            <w:pPr>
              <w:spacing w:after="0"/>
            </w:pPr>
            <w:r/>
            <w:r>
              <w:rPr>
                <w:b/>
                <w:color w:val="FFFFFF"/>
                <w:sz w:val="15"/>
              </w:rPr>
              <w:t>Requirement</w:t>
            </w:r>
          </w:p>
        </w:tc>
        <w:tc>
          <w:tcPr>
            <w:tcW w:type="dxa" w:w="1152"/>
            <w:vAlign w:val="top"/>
            <w:shd w:fill="17365D"/>
          </w:tcPr>
          <w:p>
            <w:pPr>
              <w:spacing w:after="0"/>
            </w:pPr>
            <w:r/>
            <w:r>
              <w:rPr>
                <w:b/>
                <w:color w:val="FFFFFF"/>
                <w:sz w:val="15"/>
              </w:rPr>
              <w:t>Priority</w:t>
            </w:r>
          </w:p>
        </w:tc>
        <w:tc>
          <w:tcPr>
            <w:tcW w:type="dxa" w:w="3888"/>
            <w:vAlign w:val="top"/>
            <w:shd w:fill="17365D"/>
          </w:tcPr>
          <w:p>
            <w:pPr>
              <w:spacing w:after="0"/>
            </w:pPr>
            <w:r/>
            <w:r>
              <w:rPr>
                <w:b/>
                <w:color w:val="FFFFFF"/>
                <w:sz w:val="15"/>
              </w:rPr>
              <w:t>Acceptance test</w:t>
            </w:r>
          </w:p>
        </w:tc>
      </w:tr>
      <w:tr>
        <w:trPr>
          <w:cantSplit/>
        </w:trPr>
        <w:tc>
          <w:tcPr>
            <w:tcW w:type="dxa" w:w="1008"/>
            <w:vAlign w:val="top"/>
          </w:tcPr>
          <w:p>
            <w:pPr>
              <w:spacing w:after="0"/>
            </w:pPr>
            <w:r/>
            <w:r>
              <w:rPr>
                <w:b w:val="0"/>
                <w:sz w:val="15"/>
              </w:rPr>
              <w:t>FR-031</w:t>
            </w:r>
          </w:p>
        </w:tc>
        <w:tc>
          <w:tcPr>
            <w:tcW w:type="dxa" w:w="5184"/>
            <w:vAlign w:val="top"/>
          </w:tcPr>
          <w:p>
            <w:pPr>
              <w:spacing w:after="0"/>
            </w:pPr>
            <w:r/>
            <w:r>
              <w:rPr>
                <w:b w:val="0"/>
                <w:sz w:val="15"/>
              </w:rPr>
              <w:t>Maintain canonical schemas, metadata, code sets, validation rules and schema versions.</w:t>
            </w:r>
          </w:p>
        </w:tc>
        <w:tc>
          <w:tcPr>
            <w:tcW w:type="dxa" w:w="1152"/>
            <w:vAlign w:val="top"/>
          </w:tcPr>
          <w:p>
            <w:pPr>
              <w:spacing w:after="0"/>
            </w:pPr>
            <w:r/>
            <w:r>
              <w:rPr>
                <w:b w:val="0"/>
                <w:sz w:val="15"/>
              </w:rPr>
              <w:t>Must</w:t>
            </w:r>
          </w:p>
        </w:tc>
        <w:tc>
          <w:tcPr>
            <w:tcW w:type="dxa" w:w="3888"/>
            <w:vAlign w:val="top"/>
          </w:tcPr>
          <w:p>
            <w:pPr>
              <w:spacing w:after="0"/>
            </w:pPr>
            <w:r/>
            <w:r>
              <w:rPr>
                <w:b w:val="0"/>
                <w:sz w:val="15"/>
              </w:rPr>
              <w:t>Services link to approved schema versions.</w:t>
            </w:r>
          </w:p>
        </w:tc>
      </w:tr>
      <w:tr>
        <w:trPr>
          <w:cantSplit/>
        </w:trPr>
        <w:tc>
          <w:tcPr>
            <w:tcW w:type="dxa" w:w="1008"/>
            <w:vAlign w:val="top"/>
          </w:tcPr>
          <w:p>
            <w:pPr>
              <w:spacing w:after="0"/>
            </w:pPr>
            <w:r/>
            <w:r>
              <w:rPr>
                <w:b w:val="0"/>
                <w:sz w:val="15"/>
              </w:rPr>
              <w:t>FR-032</w:t>
            </w:r>
          </w:p>
        </w:tc>
        <w:tc>
          <w:tcPr>
            <w:tcW w:type="dxa" w:w="5184"/>
            <w:vAlign w:val="top"/>
          </w:tcPr>
          <w:p>
            <w:pPr>
              <w:spacing w:after="0"/>
            </w:pPr>
            <w:r/>
            <w:r>
              <w:rPr>
                <w:b w:val="0"/>
                <w:sz w:val="15"/>
              </w:rPr>
              <w:t>Support legacy mapping and adapter templates for source systems that do not follow canonical schema.</w:t>
            </w:r>
          </w:p>
        </w:tc>
        <w:tc>
          <w:tcPr>
            <w:tcW w:type="dxa" w:w="1152"/>
            <w:vAlign w:val="top"/>
          </w:tcPr>
          <w:p>
            <w:pPr>
              <w:spacing w:after="0"/>
            </w:pPr>
            <w:r/>
            <w:r>
              <w:rPr>
                <w:b w:val="0"/>
                <w:sz w:val="15"/>
              </w:rPr>
              <w:t>Must</w:t>
            </w:r>
          </w:p>
        </w:tc>
        <w:tc>
          <w:tcPr>
            <w:tcW w:type="dxa" w:w="3888"/>
            <w:vAlign w:val="top"/>
          </w:tcPr>
          <w:p>
            <w:pPr>
              <w:spacing w:after="0"/>
            </w:pPr>
            <w:r/>
            <w:r>
              <w:rPr>
                <w:b w:val="0"/>
                <w:sz w:val="15"/>
              </w:rPr>
              <w:t>Legacy integration does not require source-system rewrite.</w:t>
            </w:r>
          </w:p>
        </w:tc>
      </w:tr>
      <w:tr>
        <w:trPr>
          <w:cantSplit/>
        </w:trPr>
        <w:tc>
          <w:tcPr>
            <w:tcW w:type="dxa" w:w="1008"/>
            <w:vAlign w:val="top"/>
          </w:tcPr>
          <w:p>
            <w:pPr>
              <w:spacing w:after="0"/>
            </w:pPr>
            <w:r/>
            <w:r>
              <w:rPr>
                <w:b w:val="0"/>
                <w:sz w:val="15"/>
              </w:rPr>
              <w:t>FR-033</w:t>
            </w:r>
          </w:p>
        </w:tc>
        <w:tc>
          <w:tcPr>
            <w:tcW w:type="dxa" w:w="5184"/>
            <w:vAlign w:val="top"/>
          </w:tcPr>
          <w:p>
            <w:pPr>
              <w:spacing w:after="0"/>
            </w:pPr>
            <w:r/>
            <w:r>
              <w:rPr>
                <w:b w:val="0"/>
                <w:sz w:val="15"/>
              </w:rPr>
              <w:t>Support certificate, document and credential format metadata.</w:t>
            </w:r>
          </w:p>
        </w:tc>
        <w:tc>
          <w:tcPr>
            <w:tcW w:type="dxa" w:w="1152"/>
            <w:vAlign w:val="top"/>
          </w:tcPr>
          <w:p>
            <w:pPr>
              <w:spacing w:after="0"/>
            </w:pPr>
            <w:r/>
            <w:r>
              <w:rPr>
                <w:b w:val="0"/>
                <w:sz w:val="15"/>
              </w:rPr>
              <w:t>Should</w:t>
            </w:r>
          </w:p>
        </w:tc>
        <w:tc>
          <w:tcPr>
            <w:tcW w:type="dxa" w:w="3888"/>
            <w:vAlign w:val="top"/>
          </w:tcPr>
          <w:p>
            <w:pPr>
              <w:spacing w:after="0"/>
            </w:pPr>
            <w:r/>
            <w:r>
              <w:rPr>
                <w:b w:val="0"/>
                <w:sz w:val="15"/>
              </w:rPr>
              <w:t>Credential issuers publish schema, issuer status and verification metadata.</w:t>
            </w:r>
          </w:p>
        </w:tc>
      </w:tr>
      <w:tr>
        <w:trPr>
          <w:cantSplit/>
        </w:trPr>
        <w:tc>
          <w:tcPr>
            <w:tcW w:type="dxa" w:w="1008"/>
            <w:vAlign w:val="top"/>
          </w:tcPr>
          <w:p>
            <w:pPr>
              <w:spacing w:after="0"/>
            </w:pPr>
            <w:r/>
            <w:r>
              <w:rPr>
                <w:b w:val="0"/>
                <w:sz w:val="15"/>
              </w:rPr>
              <w:t>FR-034</w:t>
            </w:r>
          </w:p>
        </w:tc>
        <w:tc>
          <w:tcPr>
            <w:tcW w:type="dxa" w:w="5184"/>
            <w:vAlign w:val="top"/>
          </w:tcPr>
          <w:p>
            <w:pPr>
              <w:spacing w:after="0"/>
            </w:pPr>
            <w:r/>
            <w:r>
              <w:rPr>
                <w:b w:val="0"/>
                <w:sz w:val="15"/>
              </w:rPr>
              <w:t>Provide automated schema validation in CI/CD and service onboarding.</w:t>
            </w:r>
          </w:p>
        </w:tc>
        <w:tc>
          <w:tcPr>
            <w:tcW w:type="dxa" w:w="1152"/>
            <w:vAlign w:val="top"/>
          </w:tcPr>
          <w:p>
            <w:pPr>
              <w:spacing w:after="0"/>
            </w:pPr>
            <w:r/>
            <w:r>
              <w:rPr>
                <w:b w:val="0"/>
                <w:sz w:val="15"/>
              </w:rPr>
              <w:t>Should</w:t>
            </w:r>
          </w:p>
        </w:tc>
        <w:tc>
          <w:tcPr>
            <w:tcW w:type="dxa" w:w="3888"/>
            <w:vAlign w:val="top"/>
          </w:tcPr>
          <w:p>
            <w:pPr>
              <w:spacing w:after="0"/>
            </w:pPr>
            <w:r/>
            <w:r>
              <w:rPr>
                <w:b w:val="0"/>
                <w:sz w:val="15"/>
              </w:rPr>
              <w:t>Service publication fails if schema validation fails.</w:t>
            </w:r>
          </w:p>
        </w:tc>
      </w:tr>
      <w:tr>
        <w:trPr>
          <w:cantSplit/>
        </w:trPr>
        <w:tc>
          <w:tcPr>
            <w:tcW w:type="dxa" w:w="1008"/>
            <w:vAlign w:val="top"/>
          </w:tcPr>
          <w:p>
            <w:pPr>
              <w:spacing w:after="0"/>
            </w:pPr>
            <w:r/>
            <w:r>
              <w:rPr>
                <w:b w:val="0"/>
                <w:sz w:val="15"/>
              </w:rPr>
              <w:t>FR-035</w:t>
            </w:r>
          </w:p>
        </w:tc>
        <w:tc>
          <w:tcPr>
            <w:tcW w:type="dxa" w:w="5184"/>
            <w:vAlign w:val="top"/>
          </w:tcPr>
          <w:p>
            <w:pPr>
              <w:spacing w:after="0"/>
            </w:pPr>
            <w:r/>
            <w:r>
              <w:rPr>
                <w:b w:val="0"/>
                <w:sz w:val="15"/>
              </w:rPr>
              <w:t>Support multilingual metadata labels and plain-language service descriptions.</w:t>
            </w:r>
          </w:p>
        </w:tc>
        <w:tc>
          <w:tcPr>
            <w:tcW w:type="dxa" w:w="1152"/>
            <w:vAlign w:val="top"/>
          </w:tcPr>
          <w:p>
            <w:pPr>
              <w:spacing w:after="0"/>
            </w:pPr>
            <w:r/>
            <w:r>
              <w:rPr>
                <w:b w:val="0"/>
                <w:sz w:val="15"/>
              </w:rPr>
              <w:t>Should</w:t>
            </w:r>
          </w:p>
        </w:tc>
        <w:tc>
          <w:tcPr>
            <w:tcW w:type="dxa" w:w="3888"/>
            <w:vAlign w:val="top"/>
          </w:tcPr>
          <w:p>
            <w:pPr>
              <w:spacing w:after="0"/>
            </w:pPr>
            <w:r/>
            <w:r>
              <w:rPr>
                <w:b w:val="0"/>
                <w:sz w:val="15"/>
              </w:rPr>
              <w:t>Catalogue is usable by technical and governance users.</w:t>
            </w:r>
          </w:p>
        </w:tc>
      </w:tr>
    </w:tbl>
    <w:p>
      <w:pPr>
        <w:pStyle w:val="Heading2"/>
      </w:pPr>
      <w:r>
        <w:t>11.8 Integrations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cantSplit/>
          <w:tblHeader/>
        </w:trPr>
        <w:tc>
          <w:tcPr>
            <w:tcW w:type="dxa" w:w="1008"/>
            <w:vAlign w:val="top"/>
            <w:shd w:fill="17365D"/>
          </w:tcPr>
          <w:p>
            <w:pPr>
              <w:spacing w:after="0"/>
            </w:pPr>
            <w:r/>
            <w:r>
              <w:rPr>
                <w:b/>
                <w:color w:val="FFFFFF"/>
                <w:sz w:val="15"/>
              </w:rPr>
              <w:t>ID</w:t>
            </w:r>
          </w:p>
        </w:tc>
        <w:tc>
          <w:tcPr>
            <w:tcW w:type="dxa" w:w="5184"/>
            <w:vAlign w:val="top"/>
            <w:shd w:fill="17365D"/>
          </w:tcPr>
          <w:p>
            <w:pPr>
              <w:spacing w:after="0"/>
            </w:pPr>
            <w:r/>
            <w:r>
              <w:rPr>
                <w:b/>
                <w:color w:val="FFFFFF"/>
                <w:sz w:val="15"/>
              </w:rPr>
              <w:t>Requirement</w:t>
            </w:r>
          </w:p>
        </w:tc>
        <w:tc>
          <w:tcPr>
            <w:tcW w:type="dxa" w:w="1152"/>
            <w:vAlign w:val="top"/>
            <w:shd w:fill="17365D"/>
          </w:tcPr>
          <w:p>
            <w:pPr>
              <w:spacing w:after="0"/>
            </w:pPr>
            <w:r/>
            <w:r>
              <w:rPr>
                <w:b/>
                <w:color w:val="FFFFFF"/>
                <w:sz w:val="15"/>
              </w:rPr>
              <w:t>Priority</w:t>
            </w:r>
          </w:p>
        </w:tc>
        <w:tc>
          <w:tcPr>
            <w:tcW w:type="dxa" w:w="3888"/>
            <w:vAlign w:val="top"/>
            <w:shd w:fill="17365D"/>
          </w:tcPr>
          <w:p>
            <w:pPr>
              <w:spacing w:after="0"/>
            </w:pPr>
            <w:r/>
            <w:r>
              <w:rPr>
                <w:b/>
                <w:color w:val="FFFFFF"/>
                <w:sz w:val="15"/>
              </w:rPr>
              <w:t>Acceptance test</w:t>
            </w:r>
          </w:p>
        </w:tc>
      </w:tr>
      <w:tr>
        <w:trPr>
          <w:cantSplit/>
        </w:trPr>
        <w:tc>
          <w:tcPr>
            <w:tcW w:type="dxa" w:w="1008"/>
            <w:vAlign w:val="top"/>
          </w:tcPr>
          <w:p>
            <w:pPr>
              <w:spacing w:after="0"/>
            </w:pPr>
            <w:r/>
            <w:r>
              <w:rPr>
                <w:b w:val="0"/>
                <w:sz w:val="15"/>
              </w:rPr>
              <w:t>FR-036</w:t>
            </w:r>
          </w:p>
        </w:tc>
        <w:tc>
          <w:tcPr>
            <w:tcW w:type="dxa" w:w="5184"/>
            <w:vAlign w:val="top"/>
          </w:tcPr>
          <w:p>
            <w:pPr>
              <w:spacing w:after="0"/>
            </w:pPr>
            <w:r/>
            <w:r>
              <w:rPr>
                <w:b w:val="0"/>
                <w:sz w:val="15"/>
              </w:rPr>
              <w:t>Integrate with API Setu or state API exchange for discovery, lifecycle and subscription alignment.</w:t>
            </w:r>
          </w:p>
        </w:tc>
        <w:tc>
          <w:tcPr>
            <w:tcW w:type="dxa" w:w="1152"/>
            <w:vAlign w:val="top"/>
          </w:tcPr>
          <w:p>
            <w:pPr>
              <w:spacing w:after="0"/>
            </w:pPr>
            <w:r/>
            <w:r>
              <w:rPr>
                <w:b w:val="0"/>
                <w:sz w:val="15"/>
              </w:rPr>
              <w:t>Must</w:t>
            </w:r>
          </w:p>
        </w:tc>
        <w:tc>
          <w:tcPr>
            <w:tcW w:type="dxa" w:w="3888"/>
            <w:vAlign w:val="top"/>
          </w:tcPr>
          <w:p>
            <w:pPr>
              <w:spacing w:after="0"/>
            </w:pPr>
            <w:r/>
            <w:r>
              <w:rPr>
                <w:b w:val="0"/>
                <w:sz w:val="15"/>
              </w:rPr>
              <w:t>BTX services are discoverable through existing API rails where appropriate.</w:t>
            </w:r>
          </w:p>
        </w:tc>
      </w:tr>
      <w:tr>
        <w:trPr>
          <w:cantSplit/>
        </w:trPr>
        <w:tc>
          <w:tcPr>
            <w:tcW w:type="dxa" w:w="1008"/>
            <w:vAlign w:val="top"/>
          </w:tcPr>
          <w:p>
            <w:pPr>
              <w:spacing w:after="0"/>
            </w:pPr>
            <w:r/>
            <w:r>
              <w:rPr>
                <w:b w:val="0"/>
                <w:sz w:val="15"/>
              </w:rPr>
              <w:t>FR-037</w:t>
            </w:r>
          </w:p>
        </w:tc>
        <w:tc>
          <w:tcPr>
            <w:tcW w:type="dxa" w:w="5184"/>
            <w:vAlign w:val="top"/>
          </w:tcPr>
          <w:p>
            <w:pPr>
              <w:spacing w:after="0"/>
            </w:pPr>
            <w:r/>
            <w:r>
              <w:rPr>
                <w:b w:val="0"/>
                <w:sz w:val="15"/>
              </w:rPr>
              <w:t>Integrate with DigiLocker, Entity Locker or approved wallets for citizen-portable records.</w:t>
            </w:r>
          </w:p>
        </w:tc>
        <w:tc>
          <w:tcPr>
            <w:tcW w:type="dxa" w:w="1152"/>
            <w:vAlign w:val="top"/>
          </w:tcPr>
          <w:p>
            <w:pPr>
              <w:spacing w:after="0"/>
            </w:pPr>
            <w:r/>
            <w:r>
              <w:rPr>
                <w:b w:val="0"/>
                <w:sz w:val="15"/>
              </w:rPr>
              <w:t>Must</w:t>
            </w:r>
          </w:p>
        </w:tc>
        <w:tc>
          <w:tcPr>
            <w:tcW w:type="dxa" w:w="3888"/>
            <w:vAlign w:val="top"/>
          </w:tcPr>
          <w:p>
            <w:pPr>
              <w:spacing w:after="0"/>
            </w:pPr>
            <w:r/>
            <w:r>
              <w:rPr>
                <w:b w:val="0"/>
                <w:sz w:val="15"/>
              </w:rPr>
              <w:t>Citizen-linked documents and credentials can use wallet patterns.</w:t>
            </w:r>
          </w:p>
        </w:tc>
      </w:tr>
      <w:tr>
        <w:trPr>
          <w:cantSplit/>
        </w:trPr>
        <w:tc>
          <w:tcPr>
            <w:tcW w:type="dxa" w:w="1008"/>
            <w:vAlign w:val="top"/>
          </w:tcPr>
          <w:p>
            <w:pPr>
              <w:spacing w:after="0"/>
            </w:pPr>
            <w:r/>
            <w:r>
              <w:rPr>
                <w:b w:val="0"/>
                <w:sz w:val="15"/>
              </w:rPr>
              <w:t>FR-038</w:t>
            </w:r>
          </w:p>
        </w:tc>
        <w:tc>
          <w:tcPr>
            <w:tcW w:type="dxa" w:w="5184"/>
            <w:vAlign w:val="top"/>
          </w:tcPr>
          <w:p>
            <w:pPr>
              <w:spacing w:after="0"/>
            </w:pPr>
            <w:r/>
            <w:r>
              <w:rPr>
                <w:b w:val="0"/>
                <w:sz w:val="15"/>
              </w:rPr>
              <w:t>Integrate with PKI, government CA, HSM/KMS and certificate revocation sources.</w:t>
            </w:r>
          </w:p>
        </w:tc>
        <w:tc>
          <w:tcPr>
            <w:tcW w:type="dxa" w:w="1152"/>
            <w:vAlign w:val="top"/>
          </w:tcPr>
          <w:p>
            <w:pPr>
              <w:spacing w:after="0"/>
            </w:pPr>
            <w:r/>
            <w:r>
              <w:rPr>
                <w:b w:val="0"/>
                <w:sz w:val="15"/>
              </w:rPr>
              <w:t>Must</w:t>
            </w:r>
          </w:p>
        </w:tc>
        <w:tc>
          <w:tcPr>
            <w:tcW w:type="dxa" w:w="3888"/>
            <w:vAlign w:val="top"/>
          </w:tcPr>
          <w:p>
            <w:pPr>
              <w:spacing w:after="0"/>
            </w:pPr>
            <w:r/>
            <w:r>
              <w:rPr>
                <w:b w:val="0"/>
                <w:sz w:val="15"/>
              </w:rPr>
              <w:t>Trust Nodes validate certificate chains and revocation status.</w:t>
            </w:r>
          </w:p>
        </w:tc>
      </w:tr>
      <w:tr>
        <w:trPr>
          <w:cantSplit/>
        </w:trPr>
        <w:tc>
          <w:tcPr>
            <w:tcW w:type="dxa" w:w="1008"/>
            <w:vAlign w:val="top"/>
          </w:tcPr>
          <w:p>
            <w:pPr>
              <w:spacing w:after="0"/>
            </w:pPr>
            <w:r/>
            <w:r>
              <w:rPr>
                <w:b w:val="0"/>
                <w:sz w:val="15"/>
              </w:rPr>
              <w:t>FR-039</w:t>
            </w:r>
          </w:p>
        </w:tc>
        <w:tc>
          <w:tcPr>
            <w:tcW w:type="dxa" w:w="5184"/>
            <w:vAlign w:val="top"/>
          </w:tcPr>
          <w:p>
            <w:pPr>
              <w:spacing w:after="0"/>
            </w:pPr>
            <w:r/>
            <w:r>
              <w:rPr>
                <w:b w:val="0"/>
                <w:sz w:val="15"/>
              </w:rPr>
              <w:t>Integrate with SIEM/SOC tools through standard log export and alerting.</w:t>
            </w:r>
          </w:p>
        </w:tc>
        <w:tc>
          <w:tcPr>
            <w:tcW w:type="dxa" w:w="1152"/>
            <w:vAlign w:val="top"/>
          </w:tcPr>
          <w:p>
            <w:pPr>
              <w:spacing w:after="0"/>
            </w:pPr>
            <w:r/>
            <w:r>
              <w:rPr>
                <w:b w:val="0"/>
                <w:sz w:val="15"/>
              </w:rPr>
              <w:t>Must</w:t>
            </w:r>
          </w:p>
        </w:tc>
        <w:tc>
          <w:tcPr>
            <w:tcW w:type="dxa" w:w="3888"/>
            <w:vAlign w:val="top"/>
          </w:tcPr>
          <w:p>
            <w:pPr>
              <w:spacing w:after="0"/>
            </w:pPr>
            <w:r/>
            <w:r>
              <w:rPr>
                <w:b w:val="0"/>
                <w:sz w:val="15"/>
              </w:rPr>
              <w:t>Security teams consume BTX alerts and audit data.</w:t>
            </w:r>
          </w:p>
        </w:tc>
      </w:tr>
      <w:tr>
        <w:trPr>
          <w:cantSplit/>
        </w:trPr>
        <w:tc>
          <w:tcPr>
            <w:tcW w:type="dxa" w:w="1008"/>
            <w:vAlign w:val="top"/>
          </w:tcPr>
          <w:p>
            <w:pPr>
              <w:spacing w:after="0"/>
            </w:pPr>
            <w:r/>
            <w:r>
              <w:rPr>
                <w:b w:val="0"/>
                <w:sz w:val="15"/>
              </w:rPr>
              <w:t>FR-040</w:t>
            </w:r>
          </w:p>
        </w:tc>
        <w:tc>
          <w:tcPr>
            <w:tcW w:type="dxa" w:w="5184"/>
            <w:vAlign w:val="top"/>
          </w:tcPr>
          <w:p>
            <w:pPr>
              <w:spacing w:after="0"/>
            </w:pPr>
            <w:r/>
            <w:r>
              <w:rPr>
                <w:b w:val="0"/>
                <w:sz w:val="15"/>
              </w:rPr>
              <w:t>Provide adapter SDKs for legacy databases, REST APIs, SOAP services, queues and file-based systems.</w:t>
            </w:r>
          </w:p>
        </w:tc>
        <w:tc>
          <w:tcPr>
            <w:tcW w:type="dxa" w:w="1152"/>
            <w:vAlign w:val="top"/>
          </w:tcPr>
          <w:p>
            <w:pPr>
              <w:spacing w:after="0"/>
            </w:pPr>
            <w:r/>
            <w:r>
              <w:rPr>
                <w:b w:val="0"/>
                <w:sz w:val="15"/>
              </w:rPr>
              <w:t>Should</w:t>
            </w:r>
          </w:p>
        </w:tc>
        <w:tc>
          <w:tcPr>
            <w:tcW w:type="dxa" w:w="3888"/>
            <w:vAlign w:val="top"/>
          </w:tcPr>
          <w:p>
            <w:pPr>
              <w:spacing w:after="0"/>
            </w:pPr>
            <w:r/>
            <w:r>
              <w:rPr>
                <w:b w:val="0"/>
                <w:sz w:val="15"/>
              </w:rPr>
              <w:t>Departments onboard legacy systems without bespoke integration from scratch.</w:t>
            </w:r>
          </w:p>
        </w:tc>
      </w:tr>
    </w:tbl>
    <w:p>
      <w:pPr>
        <w:pStyle w:val="Heading1"/>
      </w:pPr>
      <w:r>
        <w:t>12. Non-functional requirements</w:t>
      </w:r>
    </w:p>
    <w:p>
      <w:pPr>
        <w:pStyle w:val="Heading2"/>
      </w:pPr>
      <w:r>
        <w:t>12.1 Security, privacy and compliance</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cantSplit/>
          <w:tblHeader/>
        </w:trPr>
        <w:tc>
          <w:tcPr>
            <w:tcW w:type="dxa" w:w="1152"/>
            <w:vAlign w:val="top"/>
            <w:shd w:fill="17365D"/>
          </w:tcPr>
          <w:p>
            <w:pPr>
              <w:spacing w:after="0"/>
            </w:pPr>
            <w:r/>
            <w:r>
              <w:rPr>
                <w:b/>
                <w:color w:val="FFFFFF"/>
                <w:sz w:val="15"/>
              </w:rPr>
              <w:t>ID</w:t>
            </w:r>
          </w:p>
        </w:tc>
        <w:tc>
          <w:tcPr>
            <w:tcW w:type="dxa" w:w="5184"/>
            <w:vAlign w:val="top"/>
            <w:shd w:fill="17365D"/>
          </w:tcPr>
          <w:p>
            <w:pPr>
              <w:spacing w:after="0"/>
            </w:pPr>
            <w:r/>
            <w:r>
              <w:rPr>
                <w:b/>
                <w:color w:val="FFFFFF"/>
                <w:sz w:val="15"/>
              </w:rPr>
              <w:t>Requirement</w:t>
            </w:r>
          </w:p>
        </w:tc>
        <w:tc>
          <w:tcPr>
            <w:tcW w:type="dxa" w:w="1152"/>
            <w:vAlign w:val="top"/>
            <w:shd w:fill="17365D"/>
          </w:tcPr>
          <w:p>
            <w:pPr>
              <w:spacing w:after="0"/>
            </w:pPr>
            <w:r/>
            <w:r>
              <w:rPr>
                <w:b/>
                <w:color w:val="FFFFFF"/>
                <w:sz w:val="15"/>
              </w:rPr>
              <w:t>Priority</w:t>
            </w:r>
          </w:p>
        </w:tc>
        <w:tc>
          <w:tcPr>
            <w:tcW w:type="dxa" w:w="3744"/>
            <w:vAlign w:val="top"/>
            <w:shd w:fill="17365D"/>
          </w:tcPr>
          <w:p>
            <w:pPr>
              <w:spacing w:after="0"/>
            </w:pPr>
            <w:r/>
            <w:r>
              <w:rPr>
                <w:b/>
                <w:color w:val="FFFFFF"/>
                <w:sz w:val="15"/>
              </w:rPr>
              <w:t>Acceptance test</w:t>
            </w:r>
          </w:p>
        </w:tc>
      </w:tr>
      <w:tr>
        <w:trPr>
          <w:cantSplit/>
        </w:trPr>
        <w:tc>
          <w:tcPr>
            <w:tcW w:type="dxa" w:w="1152"/>
            <w:vAlign w:val="top"/>
          </w:tcPr>
          <w:p>
            <w:pPr>
              <w:spacing w:after="0"/>
            </w:pPr>
            <w:r/>
            <w:r>
              <w:rPr>
                <w:b w:val="0"/>
                <w:sz w:val="15"/>
              </w:rPr>
              <w:t>NFR-001</w:t>
            </w:r>
          </w:p>
        </w:tc>
        <w:tc>
          <w:tcPr>
            <w:tcW w:type="dxa" w:w="5184"/>
            <w:vAlign w:val="top"/>
          </w:tcPr>
          <w:p>
            <w:pPr>
              <w:spacing w:after="0"/>
            </w:pPr>
            <w:r/>
            <w:r>
              <w:rPr>
                <w:b w:val="0"/>
                <w:sz w:val="15"/>
              </w:rPr>
              <w:t>Zero-trust posture: no implicit trust based on network location, cloud account, department or IP range.</w:t>
            </w:r>
          </w:p>
        </w:tc>
        <w:tc>
          <w:tcPr>
            <w:tcW w:type="dxa" w:w="1152"/>
            <w:vAlign w:val="top"/>
          </w:tcPr>
          <w:p>
            <w:pPr>
              <w:spacing w:after="0"/>
            </w:pPr>
            <w:r/>
            <w:r>
              <w:rPr>
                <w:b w:val="0"/>
                <w:sz w:val="15"/>
              </w:rPr>
              <w:t>Must</w:t>
            </w:r>
          </w:p>
        </w:tc>
        <w:tc>
          <w:tcPr>
            <w:tcW w:type="dxa" w:w="3744"/>
            <w:vAlign w:val="top"/>
          </w:tcPr>
          <w:p>
            <w:pPr>
              <w:spacing w:after="0"/>
            </w:pPr>
            <w:r/>
            <w:r>
              <w:rPr>
                <w:b w:val="0"/>
                <w:sz w:val="15"/>
              </w:rPr>
              <w:t>Every request is authenticated, authorised, purpose-checked and logged.</w:t>
            </w:r>
          </w:p>
        </w:tc>
      </w:tr>
      <w:tr>
        <w:trPr>
          <w:cantSplit/>
        </w:trPr>
        <w:tc>
          <w:tcPr>
            <w:tcW w:type="dxa" w:w="1152"/>
            <w:vAlign w:val="top"/>
          </w:tcPr>
          <w:p>
            <w:pPr>
              <w:spacing w:after="0"/>
            </w:pPr>
            <w:r/>
            <w:r>
              <w:rPr>
                <w:b w:val="0"/>
                <w:sz w:val="15"/>
              </w:rPr>
              <w:t>NFR-002</w:t>
            </w:r>
          </w:p>
        </w:tc>
        <w:tc>
          <w:tcPr>
            <w:tcW w:type="dxa" w:w="5184"/>
            <w:vAlign w:val="top"/>
          </w:tcPr>
          <w:p>
            <w:pPr>
              <w:spacing w:after="0"/>
            </w:pPr>
            <w:r/>
            <w:r>
              <w:rPr>
                <w:b w:val="0"/>
                <w:sz w:val="15"/>
              </w:rPr>
              <w:t>Encryption in transit and at rest across all components and logs.</w:t>
            </w:r>
          </w:p>
        </w:tc>
        <w:tc>
          <w:tcPr>
            <w:tcW w:type="dxa" w:w="1152"/>
            <w:vAlign w:val="top"/>
          </w:tcPr>
          <w:p>
            <w:pPr>
              <w:spacing w:after="0"/>
            </w:pPr>
            <w:r/>
            <w:r>
              <w:rPr>
                <w:b w:val="0"/>
                <w:sz w:val="15"/>
              </w:rPr>
              <w:t>Must</w:t>
            </w:r>
          </w:p>
        </w:tc>
        <w:tc>
          <w:tcPr>
            <w:tcW w:type="dxa" w:w="3744"/>
            <w:vAlign w:val="top"/>
          </w:tcPr>
          <w:p>
            <w:pPr>
              <w:spacing w:after="0"/>
            </w:pPr>
            <w:r/>
            <w:r>
              <w:rPr>
                <w:b w:val="0"/>
                <w:sz w:val="15"/>
              </w:rPr>
              <w:t>TLS/mTLS and key-managed storage are enabled by default.</w:t>
            </w:r>
          </w:p>
        </w:tc>
      </w:tr>
      <w:tr>
        <w:trPr>
          <w:cantSplit/>
        </w:trPr>
        <w:tc>
          <w:tcPr>
            <w:tcW w:type="dxa" w:w="1152"/>
            <w:vAlign w:val="top"/>
          </w:tcPr>
          <w:p>
            <w:pPr>
              <w:spacing w:after="0"/>
            </w:pPr>
            <w:r/>
            <w:r>
              <w:rPr>
                <w:b w:val="0"/>
                <w:sz w:val="15"/>
              </w:rPr>
              <w:t>NFR-003</w:t>
            </w:r>
          </w:p>
        </w:tc>
        <w:tc>
          <w:tcPr>
            <w:tcW w:type="dxa" w:w="5184"/>
            <w:vAlign w:val="top"/>
          </w:tcPr>
          <w:p>
            <w:pPr>
              <w:spacing w:after="0"/>
            </w:pPr>
            <w:r/>
            <w:r>
              <w:rPr>
                <w:b w:val="0"/>
                <w:sz w:val="15"/>
              </w:rPr>
              <w:t>Per-member key and certificate boundaries.</w:t>
            </w:r>
          </w:p>
        </w:tc>
        <w:tc>
          <w:tcPr>
            <w:tcW w:type="dxa" w:w="1152"/>
            <w:vAlign w:val="top"/>
          </w:tcPr>
          <w:p>
            <w:pPr>
              <w:spacing w:after="0"/>
            </w:pPr>
            <w:r/>
            <w:r>
              <w:rPr>
                <w:b w:val="0"/>
                <w:sz w:val="15"/>
              </w:rPr>
              <w:t>Must</w:t>
            </w:r>
          </w:p>
        </w:tc>
        <w:tc>
          <w:tcPr>
            <w:tcW w:type="dxa" w:w="3744"/>
            <w:vAlign w:val="top"/>
          </w:tcPr>
          <w:p>
            <w:pPr>
              <w:spacing w:after="0"/>
            </w:pPr>
            <w:r/>
            <w:r>
              <w:rPr>
                <w:b w:val="0"/>
                <w:sz w:val="15"/>
              </w:rPr>
              <w:t>No shared signing identity across members.</w:t>
            </w:r>
          </w:p>
        </w:tc>
      </w:tr>
      <w:tr>
        <w:trPr>
          <w:cantSplit/>
        </w:trPr>
        <w:tc>
          <w:tcPr>
            <w:tcW w:type="dxa" w:w="1152"/>
            <w:vAlign w:val="top"/>
          </w:tcPr>
          <w:p>
            <w:pPr>
              <w:spacing w:after="0"/>
            </w:pPr>
            <w:r/>
            <w:r>
              <w:rPr>
                <w:b w:val="0"/>
                <w:sz w:val="15"/>
              </w:rPr>
              <w:t>NFR-004</w:t>
            </w:r>
          </w:p>
        </w:tc>
        <w:tc>
          <w:tcPr>
            <w:tcW w:type="dxa" w:w="5184"/>
            <w:vAlign w:val="top"/>
          </w:tcPr>
          <w:p>
            <w:pPr>
              <w:spacing w:after="0"/>
            </w:pPr>
            <w:r/>
            <w:r>
              <w:rPr>
                <w:b w:val="0"/>
                <w:sz w:val="15"/>
              </w:rPr>
              <w:t>Role-based and attribute-based access control for human and workload identities.</w:t>
            </w:r>
          </w:p>
        </w:tc>
        <w:tc>
          <w:tcPr>
            <w:tcW w:type="dxa" w:w="1152"/>
            <w:vAlign w:val="top"/>
          </w:tcPr>
          <w:p>
            <w:pPr>
              <w:spacing w:after="0"/>
            </w:pPr>
            <w:r/>
            <w:r>
              <w:rPr>
                <w:b w:val="0"/>
                <w:sz w:val="15"/>
              </w:rPr>
              <w:t>Must</w:t>
            </w:r>
          </w:p>
        </w:tc>
        <w:tc>
          <w:tcPr>
            <w:tcW w:type="dxa" w:w="3744"/>
            <w:vAlign w:val="top"/>
          </w:tcPr>
          <w:p>
            <w:pPr>
              <w:spacing w:after="0"/>
            </w:pPr>
            <w:r/>
            <w:r>
              <w:rPr>
                <w:b w:val="0"/>
                <w:sz w:val="15"/>
              </w:rPr>
              <w:t>Access policies are least-privilege and periodically reviewed.</w:t>
            </w:r>
          </w:p>
        </w:tc>
      </w:tr>
      <w:tr>
        <w:trPr>
          <w:cantSplit/>
        </w:trPr>
        <w:tc>
          <w:tcPr>
            <w:tcW w:type="dxa" w:w="1152"/>
            <w:vAlign w:val="top"/>
          </w:tcPr>
          <w:p>
            <w:pPr>
              <w:spacing w:after="0"/>
            </w:pPr>
            <w:r/>
            <w:r>
              <w:rPr>
                <w:b w:val="0"/>
                <w:sz w:val="15"/>
              </w:rPr>
              <w:t>NFR-005</w:t>
            </w:r>
          </w:p>
        </w:tc>
        <w:tc>
          <w:tcPr>
            <w:tcW w:type="dxa" w:w="5184"/>
            <w:vAlign w:val="top"/>
          </w:tcPr>
          <w:p>
            <w:pPr>
              <w:spacing w:after="0"/>
            </w:pPr>
            <w:r/>
            <w:r>
              <w:rPr>
                <w:b w:val="0"/>
                <w:sz w:val="15"/>
              </w:rPr>
              <w:t>Privacy-by-design controls for purpose, minimisation, notice, consent/lawful basis, retention and grievance.</w:t>
            </w:r>
          </w:p>
        </w:tc>
        <w:tc>
          <w:tcPr>
            <w:tcW w:type="dxa" w:w="1152"/>
            <w:vAlign w:val="top"/>
          </w:tcPr>
          <w:p>
            <w:pPr>
              <w:spacing w:after="0"/>
            </w:pPr>
            <w:r/>
            <w:r>
              <w:rPr>
                <w:b w:val="0"/>
                <w:sz w:val="15"/>
              </w:rPr>
              <w:t>Must</w:t>
            </w:r>
          </w:p>
        </w:tc>
        <w:tc>
          <w:tcPr>
            <w:tcW w:type="dxa" w:w="3744"/>
            <w:vAlign w:val="top"/>
          </w:tcPr>
          <w:p>
            <w:pPr>
              <w:spacing w:after="0"/>
            </w:pPr>
            <w:r/>
            <w:r>
              <w:rPr>
                <w:b w:val="0"/>
                <w:sz w:val="15"/>
              </w:rPr>
              <w:t>Personal-data flows cannot bypass configured safeguards.</w:t>
            </w:r>
          </w:p>
        </w:tc>
      </w:tr>
    </w:tbl>
    <w:p>
      <w:pPr>
        <w:pStyle w:val="Heading2"/>
      </w:pPr>
      <w:r>
        <w:t>12.2 Portability and cloud neutrality</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cantSplit/>
          <w:tblHeader/>
        </w:trPr>
        <w:tc>
          <w:tcPr>
            <w:tcW w:type="dxa" w:w="1152"/>
            <w:vAlign w:val="top"/>
            <w:shd w:fill="17365D"/>
          </w:tcPr>
          <w:p>
            <w:pPr>
              <w:spacing w:after="0"/>
            </w:pPr>
            <w:r/>
            <w:r>
              <w:rPr>
                <w:b/>
                <w:color w:val="FFFFFF"/>
                <w:sz w:val="15"/>
              </w:rPr>
              <w:t>ID</w:t>
            </w:r>
          </w:p>
        </w:tc>
        <w:tc>
          <w:tcPr>
            <w:tcW w:type="dxa" w:w="5184"/>
            <w:vAlign w:val="top"/>
            <w:shd w:fill="17365D"/>
          </w:tcPr>
          <w:p>
            <w:pPr>
              <w:spacing w:after="0"/>
            </w:pPr>
            <w:r/>
            <w:r>
              <w:rPr>
                <w:b/>
                <w:color w:val="FFFFFF"/>
                <w:sz w:val="15"/>
              </w:rPr>
              <w:t>Requirement</w:t>
            </w:r>
          </w:p>
        </w:tc>
        <w:tc>
          <w:tcPr>
            <w:tcW w:type="dxa" w:w="1152"/>
            <w:vAlign w:val="top"/>
            <w:shd w:fill="17365D"/>
          </w:tcPr>
          <w:p>
            <w:pPr>
              <w:spacing w:after="0"/>
            </w:pPr>
            <w:r/>
            <w:r>
              <w:rPr>
                <w:b/>
                <w:color w:val="FFFFFF"/>
                <w:sz w:val="15"/>
              </w:rPr>
              <w:t>Priority</w:t>
            </w:r>
          </w:p>
        </w:tc>
        <w:tc>
          <w:tcPr>
            <w:tcW w:type="dxa" w:w="3744"/>
            <w:vAlign w:val="top"/>
            <w:shd w:fill="17365D"/>
          </w:tcPr>
          <w:p>
            <w:pPr>
              <w:spacing w:after="0"/>
            </w:pPr>
            <w:r/>
            <w:r>
              <w:rPr>
                <w:b/>
                <w:color w:val="FFFFFF"/>
                <w:sz w:val="15"/>
              </w:rPr>
              <w:t>Acceptance test</w:t>
            </w:r>
          </w:p>
        </w:tc>
      </w:tr>
      <w:tr>
        <w:trPr>
          <w:cantSplit/>
        </w:trPr>
        <w:tc>
          <w:tcPr>
            <w:tcW w:type="dxa" w:w="1152"/>
            <w:vAlign w:val="top"/>
          </w:tcPr>
          <w:p>
            <w:pPr>
              <w:spacing w:after="0"/>
            </w:pPr>
            <w:r/>
            <w:r>
              <w:rPr>
                <w:b w:val="0"/>
                <w:sz w:val="15"/>
              </w:rPr>
              <w:t>NFR-006</w:t>
            </w:r>
          </w:p>
        </w:tc>
        <w:tc>
          <w:tcPr>
            <w:tcW w:type="dxa" w:w="5184"/>
            <w:vAlign w:val="top"/>
          </w:tcPr>
          <w:p>
            <w:pPr>
              <w:spacing w:after="0"/>
            </w:pPr>
            <w:r/>
            <w:r>
              <w:rPr>
                <w:b w:val="0"/>
                <w:sz w:val="15"/>
              </w:rPr>
              <w:t>Product core runs on Kubernetes/OpenShift or equivalent certified container platform.</w:t>
            </w:r>
          </w:p>
        </w:tc>
        <w:tc>
          <w:tcPr>
            <w:tcW w:type="dxa" w:w="1152"/>
            <w:vAlign w:val="top"/>
          </w:tcPr>
          <w:p>
            <w:pPr>
              <w:spacing w:after="0"/>
            </w:pPr>
            <w:r/>
            <w:r>
              <w:rPr>
                <w:b w:val="0"/>
                <w:sz w:val="15"/>
              </w:rPr>
              <w:t>Must</w:t>
            </w:r>
          </w:p>
        </w:tc>
        <w:tc>
          <w:tcPr>
            <w:tcW w:type="dxa" w:w="3744"/>
            <w:vAlign w:val="top"/>
          </w:tcPr>
          <w:p>
            <w:pPr>
              <w:spacing w:after="0"/>
            </w:pPr>
            <w:r/>
            <w:r>
              <w:rPr>
                <w:b w:val="0"/>
                <w:sz w:val="15"/>
              </w:rPr>
              <w:t>BTX deploys without code change across at least two certified environments.</w:t>
            </w:r>
          </w:p>
        </w:tc>
      </w:tr>
      <w:tr>
        <w:trPr>
          <w:cantSplit/>
        </w:trPr>
        <w:tc>
          <w:tcPr>
            <w:tcW w:type="dxa" w:w="1152"/>
            <w:vAlign w:val="top"/>
          </w:tcPr>
          <w:p>
            <w:pPr>
              <w:spacing w:after="0"/>
            </w:pPr>
            <w:r/>
            <w:r>
              <w:rPr>
                <w:b w:val="0"/>
                <w:sz w:val="15"/>
              </w:rPr>
              <w:t>NFR-007</w:t>
            </w:r>
          </w:p>
        </w:tc>
        <w:tc>
          <w:tcPr>
            <w:tcW w:type="dxa" w:w="5184"/>
            <w:vAlign w:val="top"/>
          </w:tcPr>
          <w:p>
            <w:pPr>
              <w:spacing w:after="0"/>
            </w:pPr>
            <w:r/>
            <w:r>
              <w:rPr>
                <w:b w:val="0"/>
                <w:sz w:val="15"/>
              </w:rPr>
              <w:t>Use open standards for API, event, identity, logging and observability contracts.</w:t>
            </w:r>
          </w:p>
        </w:tc>
        <w:tc>
          <w:tcPr>
            <w:tcW w:type="dxa" w:w="1152"/>
            <w:vAlign w:val="top"/>
          </w:tcPr>
          <w:p>
            <w:pPr>
              <w:spacing w:after="0"/>
            </w:pPr>
            <w:r/>
            <w:r>
              <w:rPr>
                <w:b w:val="0"/>
                <w:sz w:val="15"/>
              </w:rPr>
              <w:t>Must</w:t>
            </w:r>
          </w:p>
        </w:tc>
        <w:tc>
          <w:tcPr>
            <w:tcW w:type="dxa" w:w="3744"/>
            <w:vAlign w:val="top"/>
          </w:tcPr>
          <w:p>
            <w:pPr>
              <w:spacing w:after="0"/>
            </w:pPr>
            <w:r/>
            <w:r>
              <w:rPr>
                <w:b w:val="0"/>
                <w:sz w:val="15"/>
              </w:rPr>
              <w:t>Provider-specific dependencies are isolated in adapter modules.</w:t>
            </w:r>
          </w:p>
        </w:tc>
      </w:tr>
      <w:tr>
        <w:trPr>
          <w:cantSplit/>
        </w:trPr>
        <w:tc>
          <w:tcPr>
            <w:tcW w:type="dxa" w:w="1152"/>
            <w:vAlign w:val="top"/>
          </w:tcPr>
          <w:p>
            <w:pPr>
              <w:spacing w:after="0"/>
            </w:pPr>
            <w:r/>
            <w:r>
              <w:rPr>
                <w:b w:val="0"/>
                <w:sz w:val="15"/>
              </w:rPr>
              <w:t>NFR-008</w:t>
            </w:r>
          </w:p>
        </w:tc>
        <w:tc>
          <w:tcPr>
            <w:tcW w:type="dxa" w:w="5184"/>
            <w:vAlign w:val="top"/>
          </w:tcPr>
          <w:p>
            <w:pPr>
              <w:spacing w:after="0"/>
            </w:pPr>
            <w:r/>
            <w:r>
              <w:rPr>
                <w:b w:val="0"/>
                <w:sz w:val="15"/>
              </w:rPr>
              <w:t>Infrastructure is provisioned through reusable Terraform/OpenTofu and Helm/Kustomize/GitOps packages.</w:t>
            </w:r>
          </w:p>
        </w:tc>
        <w:tc>
          <w:tcPr>
            <w:tcW w:type="dxa" w:w="1152"/>
            <w:vAlign w:val="top"/>
          </w:tcPr>
          <w:p>
            <w:pPr>
              <w:spacing w:after="0"/>
            </w:pPr>
            <w:r/>
            <w:r>
              <w:rPr>
                <w:b w:val="0"/>
                <w:sz w:val="15"/>
              </w:rPr>
              <w:t>Should</w:t>
            </w:r>
          </w:p>
        </w:tc>
        <w:tc>
          <w:tcPr>
            <w:tcW w:type="dxa" w:w="3744"/>
            <w:vAlign w:val="top"/>
          </w:tcPr>
          <w:p>
            <w:pPr>
              <w:spacing w:after="0"/>
            </w:pPr>
            <w:r/>
            <w:r>
              <w:rPr>
                <w:b w:val="0"/>
                <w:sz w:val="15"/>
              </w:rPr>
              <w:t>Cloud modules are independently maintained and certified.</w:t>
            </w:r>
          </w:p>
        </w:tc>
      </w:tr>
      <w:tr>
        <w:trPr>
          <w:cantSplit/>
        </w:trPr>
        <w:tc>
          <w:tcPr>
            <w:tcW w:type="dxa" w:w="1152"/>
            <w:vAlign w:val="top"/>
          </w:tcPr>
          <w:p>
            <w:pPr>
              <w:spacing w:after="0"/>
            </w:pPr>
            <w:r/>
            <w:r>
              <w:rPr>
                <w:b w:val="0"/>
                <w:sz w:val="15"/>
              </w:rPr>
              <w:t>NFR-009</w:t>
            </w:r>
          </w:p>
        </w:tc>
        <w:tc>
          <w:tcPr>
            <w:tcW w:type="dxa" w:w="5184"/>
            <w:vAlign w:val="top"/>
          </w:tcPr>
          <w:p>
            <w:pPr>
              <w:spacing w:after="0"/>
            </w:pPr>
            <w:r/>
            <w:r>
              <w:rPr>
                <w:b w:val="0"/>
                <w:sz w:val="15"/>
              </w:rPr>
              <w:t>No hard dependency on AWS/Azure/GCP/NIC-only services in business logic.</w:t>
            </w:r>
          </w:p>
        </w:tc>
        <w:tc>
          <w:tcPr>
            <w:tcW w:type="dxa" w:w="1152"/>
            <w:vAlign w:val="top"/>
          </w:tcPr>
          <w:p>
            <w:pPr>
              <w:spacing w:after="0"/>
            </w:pPr>
            <w:r/>
            <w:r>
              <w:rPr>
                <w:b w:val="0"/>
                <w:sz w:val="15"/>
              </w:rPr>
              <w:t>Must</w:t>
            </w:r>
          </w:p>
        </w:tc>
        <w:tc>
          <w:tcPr>
            <w:tcW w:type="dxa" w:w="3744"/>
            <w:vAlign w:val="top"/>
          </w:tcPr>
          <w:p>
            <w:pPr>
              <w:spacing w:after="0"/>
            </w:pPr>
            <w:r/>
            <w:r>
              <w:rPr>
                <w:b w:val="0"/>
                <w:sz w:val="15"/>
              </w:rPr>
              <w:t>Equivalent provider adapter exists or portable fallback is defined.</w:t>
            </w:r>
          </w:p>
        </w:tc>
      </w:tr>
      <w:tr>
        <w:trPr>
          <w:cantSplit/>
        </w:trPr>
        <w:tc>
          <w:tcPr>
            <w:tcW w:type="dxa" w:w="1152"/>
            <w:vAlign w:val="top"/>
          </w:tcPr>
          <w:p>
            <w:pPr>
              <w:spacing w:after="0"/>
            </w:pPr>
            <w:r/>
            <w:r>
              <w:rPr>
                <w:b w:val="0"/>
                <w:sz w:val="15"/>
              </w:rPr>
              <w:t>NFR-010</w:t>
            </w:r>
          </w:p>
        </w:tc>
        <w:tc>
          <w:tcPr>
            <w:tcW w:type="dxa" w:w="5184"/>
            <w:vAlign w:val="top"/>
          </w:tcPr>
          <w:p>
            <w:pPr>
              <w:spacing w:after="0"/>
            </w:pPr>
            <w:r/>
            <w:r>
              <w:rPr>
                <w:b w:val="0"/>
                <w:sz w:val="15"/>
              </w:rPr>
              <w:t>Deployment conformance pack validates runtime, security, logging, networking and DR posture.</w:t>
            </w:r>
          </w:p>
        </w:tc>
        <w:tc>
          <w:tcPr>
            <w:tcW w:type="dxa" w:w="1152"/>
            <w:vAlign w:val="top"/>
          </w:tcPr>
          <w:p>
            <w:pPr>
              <w:spacing w:after="0"/>
            </w:pPr>
            <w:r/>
            <w:r>
              <w:rPr>
                <w:b w:val="0"/>
                <w:sz w:val="15"/>
              </w:rPr>
              <w:t>Must</w:t>
            </w:r>
          </w:p>
        </w:tc>
        <w:tc>
          <w:tcPr>
            <w:tcW w:type="dxa" w:w="3744"/>
            <w:vAlign w:val="top"/>
          </w:tcPr>
          <w:p>
            <w:pPr>
              <w:spacing w:after="0"/>
            </w:pPr>
            <w:r/>
            <w:r>
              <w:rPr>
                <w:b w:val="0"/>
                <w:sz w:val="15"/>
              </w:rPr>
              <w:t>No environment is certified without passing conformance checks.</w:t>
            </w:r>
          </w:p>
        </w:tc>
      </w:tr>
    </w:tbl>
    <w:p>
      <w:pPr>
        <w:pStyle w:val="Heading2"/>
      </w:pPr>
      <w:r>
        <w:t>12.3 Reliability, scalability and operations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cantSplit/>
          <w:tblHeader/>
        </w:trPr>
        <w:tc>
          <w:tcPr>
            <w:tcW w:type="dxa" w:w="1152"/>
            <w:vAlign w:val="top"/>
            <w:shd w:fill="17365D"/>
          </w:tcPr>
          <w:p>
            <w:pPr>
              <w:spacing w:after="0"/>
            </w:pPr>
            <w:r/>
            <w:r>
              <w:rPr>
                <w:b/>
                <w:color w:val="FFFFFF"/>
                <w:sz w:val="15"/>
              </w:rPr>
              <w:t>ID</w:t>
            </w:r>
          </w:p>
        </w:tc>
        <w:tc>
          <w:tcPr>
            <w:tcW w:type="dxa" w:w="5184"/>
            <w:vAlign w:val="top"/>
            <w:shd w:fill="17365D"/>
          </w:tcPr>
          <w:p>
            <w:pPr>
              <w:spacing w:after="0"/>
            </w:pPr>
            <w:r/>
            <w:r>
              <w:rPr>
                <w:b/>
                <w:color w:val="FFFFFF"/>
                <w:sz w:val="15"/>
              </w:rPr>
              <w:t>Requirement</w:t>
            </w:r>
          </w:p>
        </w:tc>
        <w:tc>
          <w:tcPr>
            <w:tcW w:type="dxa" w:w="1152"/>
            <w:vAlign w:val="top"/>
            <w:shd w:fill="17365D"/>
          </w:tcPr>
          <w:p>
            <w:pPr>
              <w:spacing w:after="0"/>
            </w:pPr>
            <w:r/>
            <w:r>
              <w:rPr>
                <w:b/>
                <w:color w:val="FFFFFF"/>
                <w:sz w:val="15"/>
              </w:rPr>
              <w:t>Priority</w:t>
            </w:r>
          </w:p>
        </w:tc>
        <w:tc>
          <w:tcPr>
            <w:tcW w:type="dxa" w:w="3744"/>
            <w:vAlign w:val="top"/>
            <w:shd w:fill="17365D"/>
          </w:tcPr>
          <w:p>
            <w:pPr>
              <w:spacing w:after="0"/>
            </w:pPr>
            <w:r/>
            <w:r>
              <w:rPr>
                <w:b/>
                <w:color w:val="FFFFFF"/>
                <w:sz w:val="15"/>
              </w:rPr>
              <w:t>Acceptance test</w:t>
            </w:r>
          </w:p>
        </w:tc>
      </w:tr>
      <w:tr>
        <w:trPr>
          <w:cantSplit/>
        </w:trPr>
        <w:tc>
          <w:tcPr>
            <w:tcW w:type="dxa" w:w="1152"/>
            <w:vAlign w:val="top"/>
          </w:tcPr>
          <w:p>
            <w:pPr>
              <w:spacing w:after="0"/>
            </w:pPr>
            <w:r/>
            <w:r>
              <w:rPr>
                <w:b w:val="0"/>
                <w:sz w:val="15"/>
              </w:rPr>
              <w:t>NFR-011</w:t>
            </w:r>
          </w:p>
        </w:tc>
        <w:tc>
          <w:tcPr>
            <w:tcW w:type="dxa" w:w="5184"/>
            <w:vAlign w:val="top"/>
          </w:tcPr>
          <w:p>
            <w:pPr>
              <w:spacing w:after="0"/>
            </w:pPr>
            <w:r/>
            <w:r>
              <w:rPr>
                <w:b w:val="0"/>
                <w:sz w:val="15"/>
              </w:rPr>
              <w:t>Control plane supports high availability and disaster recovery.</w:t>
            </w:r>
          </w:p>
        </w:tc>
        <w:tc>
          <w:tcPr>
            <w:tcW w:type="dxa" w:w="1152"/>
            <w:vAlign w:val="top"/>
          </w:tcPr>
          <w:p>
            <w:pPr>
              <w:spacing w:after="0"/>
            </w:pPr>
            <w:r/>
            <w:r>
              <w:rPr>
                <w:b w:val="0"/>
                <w:sz w:val="15"/>
              </w:rPr>
              <w:t>Must</w:t>
            </w:r>
          </w:p>
        </w:tc>
        <w:tc>
          <w:tcPr>
            <w:tcW w:type="dxa" w:w="3744"/>
            <w:vAlign w:val="top"/>
          </w:tcPr>
          <w:p>
            <w:pPr>
              <w:spacing w:after="0"/>
            </w:pPr>
            <w:r/>
            <w:r>
              <w:rPr>
                <w:b w:val="0"/>
                <w:sz w:val="15"/>
              </w:rPr>
              <w:t>RTO/RPO targets are defined for registry, policy and signed config.</w:t>
            </w:r>
          </w:p>
        </w:tc>
      </w:tr>
      <w:tr>
        <w:trPr>
          <w:cantSplit/>
        </w:trPr>
        <w:tc>
          <w:tcPr>
            <w:tcW w:type="dxa" w:w="1152"/>
            <w:vAlign w:val="top"/>
          </w:tcPr>
          <w:p>
            <w:pPr>
              <w:spacing w:after="0"/>
            </w:pPr>
            <w:r/>
            <w:r>
              <w:rPr>
                <w:b w:val="0"/>
                <w:sz w:val="15"/>
              </w:rPr>
              <w:t>NFR-012</w:t>
            </w:r>
          </w:p>
        </w:tc>
        <w:tc>
          <w:tcPr>
            <w:tcW w:type="dxa" w:w="5184"/>
            <w:vAlign w:val="top"/>
          </w:tcPr>
          <w:p>
            <w:pPr>
              <w:spacing w:after="0"/>
            </w:pPr>
            <w:r/>
            <w:r>
              <w:rPr>
                <w:b w:val="0"/>
                <w:sz w:val="15"/>
              </w:rPr>
              <w:t>Trust Nodes continue existing approved exchange during bounded control-plane outage.</w:t>
            </w:r>
          </w:p>
        </w:tc>
        <w:tc>
          <w:tcPr>
            <w:tcW w:type="dxa" w:w="1152"/>
            <w:vAlign w:val="top"/>
          </w:tcPr>
          <w:p>
            <w:pPr>
              <w:spacing w:after="0"/>
            </w:pPr>
            <w:r/>
            <w:r>
              <w:rPr>
                <w:b w:val="0"/>
                <w:sz w:val="15"/>
              </w:rPr>
              <w:t>Must</w:t>
            </w:r>
          </w:p>
        </w:tc>
        <w:tc>
          <w:tcPr>
            <w:tcW w:type="dxa" w:w="3744"/>
            <w:vAlign w:val="top"/>
          </w:tcPr>
          <w:p>
            <w:pPr>
              <w:spacing w:after="0"/>
            </w:pPr>
            <w:r/>
            <w:r>
              <w:rPr>
                <w:b w:val="0"/>
                <w:sz w:val="15"/>
              </w:rPr>
              <w:t>Signed config cache TTL and revocation handling are tested.</w:t>
            </w:r>
          </w:p>
        </w:tc>
      </w:tr>
      <w:tr>
        <w:trPr>
          <w:cantSplit/>
        </w:trPr>
        <w:tc>
          <w:tcPr>
            <w:tcW w:type="dxa" w:w="1152"/>
            <w:vAlign w:val="top"/>
          </w:tcPr>
          <w:p>
            <w:pPr>
              <w:spacing w:after="0"/>
            </w:pPr>
            <w:r/>
            <w:r>
              <w:rPr>
                <w:b w:val="0"/>
                <w:sz w:val="15"/>
              </w:rPr>
              <w:t>NFR-013</w:t>
            </w:r>
          </w:p>
        </w:tc>
        <w:tc>
          <w:tcPr>
            <w:tcW w:type="dxa" w:w="5184"/>
            <w:vAlign w:val="top"/>
          </w:tcPr>
          <w:p>
            <w:pPr>
              <w:spacing w:after="0"/>
            </w:pPr>
            <w:r/>
            <w:r>
              <w:rPr>
                <w:b w:val="0"/>
                <w:sz w:val="15"/>
              </w:rPr>
              <w:t>Horizontal scale for Trust Nodes and control-plane services.</w:t>
            </w:r>
          </w:p>
        </w:tc>
        <w:tc>
          <w:tcPr>
            <w:tcW w:type="dxa" w:w="1152"/>
            <w:vAlign w:val="top"/>
          </w:tcPr>
          <w:p>
            <w:pPr>
              <w:spacing w:after="0"/>
            </w:pPr>
            <w:r/>
            <w:r>
              <w:rPr>
                <w:b w:val="0"/>
                <w:sz w:val="15"/>
              </w:rPr>
              <w:t>Must</w:t>
            </w:r>
          </w:p>
        </w:tc>
        <w:tc>
          <w:tcPr>
            <w:tcW w:type="dxa" w:w="3744"/>
            <w:vAlign w:val="top"/>
          </w:tcPr>
          <w:p>
            <w:pPr>
              <w:spacing w:after="0"/>
            </w:pPr>
            <w:r/>
            <w:r>
              <w:rPr>
                <w:b w:val="0"/>
                <w:sz w:val="15"/>
              </w:rPr>
              <w:t>Autoscaling or equivalent capacity pattern exists for high-volume services.</w:t>
            </w:r>
          </w:p>
        </w:tc>
      </w:tr>
      <w:tr>
        <w:trPr>
          <w:cantSplit/>
        </w:trPr>
        <w:tc>
          <w:tcPr>
            <w:tcW w:type="dxa" w:w="1152"/>
            <w:vAlign w:val="top"/>
          </w:tcPr>
          <w:p>
            <w:pPr>
              <w:spacing w:after="0"/>
            </w:pPr>
            <w:r/>
            <w:r>
              <w:rPr>
                <w:b w:val="0"/>
                <w:sz w:val="15"/>
              </w:rPr>
              <w:t>NFR-014</w:t>
            </w:r>
          </w:p>
        </w:tc>
        <w:tc>
          <w:tcPr>
            <w:tcW w:type="dxa" w:w="5184"/>
            <w:vAlign w:val="top"/>
          </w:tcPr>
          <w:p>
            <w:pPr>
              <w:spacing w:after="0"/>
            </w:pPr>
            <w:r/>
            <w:r>
              <w:rPr>
                <w:b w:val="0"/>
                <w:sz w:val="15"/>
              </w:rPr>
              <w:t>End-to-end observability through metrics, logs, traces and business events.</w:t>
            </w:r>
          </w:p>
        </w:tc>
        <w:tc>
          <w:tcPr>
            <w:tcW w:type="dxa" w:w="1152"/>
            <w:vAlign w:val="top"/>
          </w:tcPr>
          <w:p>
            <w:pPr>
              <w:spacing w:after="0"/>
            </w:pPr>
            <w:r/>
            <w:r>
              <w:rPr>
                <w:b w:val="0"/>
                <w:sz w:val="15"/>
              </w:rPr>
              <w:t>Must</w:t>
            </w:r>
          </w:p>
        </w:tc>
        <w:tc>
          <w:tcPr>
            <w:tcW w:type="dxa" w:w="3744"/>
            <w:vAlign w:val="top"/>
          </w:tcPr>
          <w:p>
            <w:pPr>
              <w:spacing w:after="0"/>
            </w:pPr>
            <w:r/>
            <w:r>
              <w:rPr>
                <w:b w:val="0"/>
                <w:sz w:val="15"/>
              </w:rPr>
              <w:t>Each transaction is traceable across requester, provider and policy service.</w:t>
            </w:r>
          </w:p>
        </w:tc>
      </w:tr>
      <w:tr>
        <w:trPr>
          <w:cantSplit/>
        </w:trPr>
        <w:tc>
          <w:tcPr>
            <w:tcW w:type="dxa" w:w="1152"/>
            <w:vAlign w:val="top"/>
          </w:tcPr>
          <w:p>
            <w:pPr>
              <w:spacing w:after="0"/>
            </w:pPr>
            <w:r/>
            <w:r>
              <w:rPr>
                <w:b w:val="0"/>
                <w:sz w:val="15"/>
              </w:rPr>
              <w:t>NFR-015</w:t>
            </w:r>
          </w:p>
        </w:tc>
        <w:tc>
          <w:tcPr>
            <w:tcW w:type="dxa" w:w="5184"/>
            <w:vAlign w:val="top"/>
          </w:tcPr>
          <w:p>
            <w:pPr>
              <w:spacing w:after="0"/>
            </w:pPr>
            <w:r/>
            <w:r>
              <w:rPr>
                <w:b w:val="0"/>
                <w:sz w:val="15"/>
              </w:rPr>
              <w:t>Performance targets defined per service class.</w:t>
            </w:r>
          </w:p>
        </w:tc>
        <w:tc>
          <w:tcPr>
            <w:tcW w:type="dxa" w:w="1152"/>
            <w:vAlign w:val="top"/>
          </w:tcPr>
          <w:p>
            <w:pPr>
              <w:spacing w:after="0"/>
            </w:pPr>
            <w:r/>
            <w:r>
              <w:rPr>
                <w:b w:val="0"/>
                <w:sz w:val="15"/>
              </w:rPr>
              <w:t>Should</w:t>
            </w:r>
          </w:p>
        </w:tc>
        <w:tc>
          <w:tcPr>
            <w:tcW w:type="dxa" w:w="3744"/>
            <w:vAlign w:val="top"/>
          </w:tcPr>
          <w:p>
            <w:pPr>
              <w:spacing w:after="0"/>
            </w:pPr>
            <w:r/>
            <w:r>
              <w:rPr>
                <w:b w:val="0"/>
                <w:sz w:val="15"/>
              </w:rPr>
              <w:t>Verification, API, bulk and async lanes have separate SLOs.</w:t>
            </w:r>
          </w:p>
        </w:tc>
      </w:tr>
    </w:tbl>
    <w:p>
      <w:pPr>
        <w:pStyle w:val="Heading2"/>
      </w:pPr>
      <w:r>
        <w:t>12.4 Accessibility and usability</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cantSplit/>
          <w:tblHeader/>
        </w:trPr>
        <w:tc>
          <w:tcPr>
            <w:tcW w:type="dxa" w:w="1152"/>
            <w:vAlign w:val="top"/>
            <w:shd w:fill="17365D"/>
          </w:tcPr>
          <w:p>
            <w:pPr>
              <w:spacing w:after="0"/>
            </w:pPr>
            <w:r/>
            <w:r>
              <w:rPr>
                <w:b/>
                <w:color w:val="FFFFFF"/>
                <w:sz w:val="15"/>
              </w:rPr>
              <w:t>ID</w:t>
            </w:r>
          </w:p>
        </w:tc>
        <w:tc>
          <w:tcPr>
            <w:tcW w:type="dxa" w:w="5184"/>
            <w:vAlign w:val="top"/>
            <w:shd w:fill="17365D"/>
          </w:tcPr>
          <w:p>
            <w:pPr>
              <w:spacing w:after="0"/>
            </w:pPr>
            <w:r/>
            <w:r>
              <w:rPr>
                <w:b/>
                <w:color w:val="FFFFFF"/>
                <w:sz w:val="15"/>
              </w:rPr>
              <w:t>Requirement</w:t>
            </w:r>
          </w:p>
        </w:tc>
        <w:tc>
          <w:tcPr>
            <w:tcW w:type="dxa" w:w="1152"/>
            <w:vAlign w:val="top"/>
            <w:shd w:fill="17365D"/>
          </w:tcPr>
          <w:p>
            <w:pPr>
              <w:spacing w:after="0"/>
            </w:pPr>
            <w:r/>
            <w:r>
              <w:rPr>
                <w:b/>
                <w:color w:val="FFFFFF"/>
                <w:sz w:val="15"/>
              </w:rPr>
              <w:t>Priority</w:t>
            </w:r>
          </w:p>
        </w:tc>
        <w:tc>
          <w:tcPr>
            <w:tcW w:type="dxa" w:w="3744"/>
            <w:vAlign w:val="top"/>
            <w:shd w:fill="17365D"/>
          </w:tcPr>
          <w:p>
            <w:pPr>
              <w:spacing w:after="0"/>
            </w:pPr>
            <w:r/>
            <w:r>
              <w:rPr>
                <w:b/>
                <w:color w:val="FFFFFF"/>
                <w:sz w:val="15"/>
              </w:rPr>
              <w:t>Acceptance test</w:t>
            </w:r>
          </w:p>
        </w:tc>
      </w:tr>
      <w:tr>
        <w:trPr>
          <w:cantSplit/>
        </w:trPr>
        <w:tc>
          <w:tcPr>
            <w:tcW w:type="dxa" w:w="1152"/>
            <w:vAlign w:val="top"/>
          </w:tcPr>
          <w:p>
            <w:pPr>
              <w:spacing w:after="0"/>
            </w:pPr>
            <w:r/>
            <w:r>
              <w:rPr>
                <w:b w:val="0"/>
                <w:sz w:val="15"/>
              </w:rPr>
              <w:t>NFR-016</w:t>
            </w:r>
          </w:p>
        </w:tc>
        <w:tc>
          <w:tcPr>
            <w:tcW w:type="dxa" w:w="5184"/>
            <w:vAlign w:val="top"/>
          </w:tcPr>
          <w:p>
            <w:pPr>
              <w:spacing w:after="0"/>
            </w:pPr>
            <w:r/>
            <w:r>
              <w:rPr>
                <w:b w:val="0"/>
                <w:sz w:val="15"/>
              </w:rPr>
              <w:t>Governance portal follows GIGW/WCAG-aligned accessibility expectations.</w:t>
            </w:r>
          </w:p>
        </w:tc>
        <w:tc>
          <w:tcPr>
            <w:tcW w:type="dxa" w:w="1152"/>
            <w:vAlign w:val="top"/>
          </w:tcPr>
          <w:p>
            <w:pPr>
              <w:spacing w:after="0"/>
            </w:pPr>
            <w:r/>
            <w:r>
              <w:rPr>
                <w:b w:val="0"/>
                <w:sz w:val="15"/>
              </w:rPr>
              <w:t>Must</w:t>
            </w:r>
          </w:p>
        </w:tc>
        <w:tc>
          <w:tcPr>
            <w:tcW w:type="dxa" w:w="3744"/>
            <w:vAlign w:val="top"/>
          </w:tcPr>
          <w:p>
            <w:pPr>
              <w:spacing w:after="0"/>
            </w:pPr>
            <w:r/>
            <w:r>
              <w:rPr>
                <w:b w:val="0"/>
                <w:sz w:val="15"/>
              </w:rPr>
              <w:t>Keyboard, screen-reader, contrast, focus, language and error handling are tested.</w:t>
            </w:r>
          </w:p>
        </w:tc>
      </w:tr>
      <w:tr>
        <w:trPr>
          <w:cantSplit/>
        </w:trPr>
        <w:tc>
          <w:tcPr>
            <w:tcW w:type="dxa" w:w="1152"/>
            <w:vAlign w:val="top"/>
          </w:tcPr>
          <w:p>
            <w:pPr>
              <w:spacing w:after="0"/>
            </w:pPr>
            <w:r/>
            <w:r>
              <w:rPr>
                <w:b w:val="0"/>
                <w:sz w:val="15"/>
              </w:rPr>
              <w:t>NFR-017</w:t>
            </w:r>
          </w:p>
        </w:tc>
        <w:tc>
          <w:tcPr>
            <w:tcW w:type="dxa" w:w="5184"/>
            <w:vAlign w:val="top"/>
          </w:tcPr>
          <w:p>
            <w:pPr>
              <w:spacing w:after="0"/>
            </w:pPr>
            <w:r/>
            <w:r>
              <w:rPr>
                <w:b w:val="0"/>
                <w:sz w:val="15"/>
              </w:rPr>
              <w:t>Plain-language notices and purpose descriptions are available for citizen-facing flows.</w:t>
            </w:r>
          </w:p>
        </w:tc>
        <w:tc>
          <w:tcPr>
            <w:tcW w:type="dxa" w:w="1152"/>
            <w:vAlign w:val="top"/>
          </w:tcPr>
          <w:p>
            <w:pPr>
              <w:spacing w:after="0"/>
            </w:pPr>
            <w:r/>
            <w:r>
              <w:rPr>
                <w:b w:val="0"/>
                <w:sz w:val="15"/>
              </w:rPr>
              <w:t>Must</w:t>
            </w:r>
          </w:p>
        </w:tc>
        <w:tc>
          <w:tcPr>
            <w:tcW w:type="dxa" w:w="3744"/>
            <w:vAlign w:val="top"/>
          </w:tcPr>
          <w:p>
            <w:pPr>
              <w:spacing w:after="0"/>
            </w:pPr>
            <w:r/>
            <w:r>
              <w:rPr>
                <w:b w:val="0"/>
                <w:sz w:val="15"/>
              </w:rPr>
              <w:t>Purpose text is understandable to non-technical users.</w:t>
            </w:r>
          </w:p>
        </w:tc>
      </w:tr>
      <w:tr>
        <w:trPr>
          <w:cantSplit/>
        </w:trPr>
        <w:tc>
          <w:tcPr>
            <w:tcW w:type="dxa" w:w="1152"/>
            <w:vAlign w:val="top"/>
          </w:tcPr>
          <w:p>
            <w:pPr>
              <w:spacing w:after="0"/>
            </w:pPr>
            <w:r/>
            <w:r>
              <w:rPr>
                <w:b w:val="0"/>
                <w:sz w:val="15"/>
              </w:rPr>
              <w:t>NFR-018</w:t>
            </w:r>
          </w:p>
        </w:tc>
        <w:tc>
          <w:tcPr>
            <w:tcW w:type="dxa" w:w="5184"/>
            <w:vAlign w:val="top"/>
          </w:tcPr>
          <w:p>
            <w:pPr>
              <w:spacing w:after="0"/>
            </w:pPr>
            <w:r/>
            <w:r>
              <w:rPr>
                <w:b w:val="0"/>
                <w:sz w:val="15"/>
              </w:rPr>
              <w:t>Support multilingual metadata and assisted-channel workflows where applicable.</w:t>
            </w:r>
          </w:p>
        </w:tc>
        <w:tc>
          <w:tcPr>
            <w:tcW w:type="dxa" w:w="1152"/>
            <w:vAlign w:val="top"/>
          </w:tcPr>
          <w:p>
            <w:pPr>
              <w:spacing w:after="0"/>
            </w:pPr>
            <w:r/>
            <w:r>
              <w:rPr>
                <w:b w:val="0"/>
                <w:sz w:val="15"/>
              </w:rPr>
              <w:t>Should</w:t>
            </w:r>
          </w:p>
        </w:tc>
        <w:tc>
          <w:tcPr>
            <w:tcW w:type="dxa" w:w="3744"/>
            <w:vAlign w:val="top"/>
          </w:tcPr>
          <w:p>
            <w:pPr>
              <w:spacing w:after="0"/>
            </w:pPr>
            <w:r/>
            <w:r>
              <w:rPr>
                <w:b w:val="0"/>
                <w:sz w:val="15"/>
              </w:rPr>
              <w:t>States can provide local-language labels and notices.</w:t>
            </w:r>
          </w:p>
        </w:tc>
      </w:tr>
      <w:tr>
        <w:trPr>
          <w:cantSplit/>
        </w:trPr>
        <w:tc>
          <w:tcPr>
            <w:tcW w:type="dxa" w:w="1152"/>
            <w:vAlign w:val="top"/>
          </w:tcPr>
          <w:p>
            <w:pPr>
              <w:spacing w:after="0"/>
            </w:pPr>
            <w:r/>
            <w:r>
              <w:rPr>
                <w:b w:val="0"/>
                <w:sz w:val="15"/>
              </w:rPr>
              <w:t>NFR-019</w:t>
            </w:r>
          </w:p>
        </w:tc>
        <w:tc>
          <w:tcPr>
            <w:tcW w:type="dxa" w:w="5184"/>
            <w:vAlign w:val="top"/>
          </w:tcPr>
          <w:p>
            <w:pPr>
              <w:spacing w:after="0"/>
            </w:pPr>
            <w:r/>
            <w:r>
              <w:rPr>
                <w:b w:val="0"/>
                <w:sz w:val="15"/>
              </w:rPr>
              <w:t>Low-bandwidth and resilient admin flows for state/district users.</w:t>
            </w:r>
          </w:p>
        </w:tc>
        <w:tc>
          <w:tcPr>
            <w:tcW w:type="dxa" w:w="1152"/>
            <w:vAlign w:val="top"/>
          </w:tcPr>
          <w:p>
            <w:pPr>
              <w:spacing w:after="0"/>
            </w:pPr>
            <w:r/>
            <w:r>
              <w:rPr>
                <w:b w:val="0"/>
                <w:sz w:val="15"/>
              </w:rPr>
              <w:t>Should</w:t>
            </w:r>
          </w:p>
        </w:tc>
        <w:tc>
          <w:tcPr>
            <w:tcW w:type="dxa" w:w="3744"/>
            <w:vAlign w:val="top"/>
          </w:tcPr>
          <w:p>
            <w:pPr>
              <w:spacing w:after="0"/>
            </w:pPr>
            <w:r/>
            <w:r>
              <w:rPr>
                <w:b w:val="0"/>
                <w:sz w:val="15"/>
              </w:rPr>
              <w:t>Critical actions work reliably on constrained networks.</w:t>
            </w:r>
          </w:p>
        </w:tc>
      </w:tr>
      <w:tr>
        <w:trPr>
          <w:cantSplit/>
        </w:trPr>
        <w:tc>
          <w:tcPr>
            <w:tcW w:type="dxa" w:w="1152"/>
            <w:vAlign w:val="top"/>
          </w:tcPr>
          <w:p>
            <w:pPr>
              <w:spacing w:after="0"/>
            </w:pPr>
            <w:r/>
            <w:r>
              <w:rPr>
                <w:b w:val="0"/>
                <w:sz w:val="15"/>
              </w:rPr>
              <w:t>NFR-020</w:t>
            </w:r>
          </w:p>
        </w:tc>
        <w:tc>
          <w:tcPr>
            <w:tcW w:type="dxa" w:w="5184"/>
            <w:vAlign w:val="top"/>
          </w:tcPr>
          <w:p>
            <w:pPr>
              <w:spacing w:after="0"/>
            </w:pPr>
            <w:r/>
            <w:r>
              <w:rPr>
                <w:b w:val="0"/>
                <w:sz w:val="15"/>
              </w:rPr>
              <w:t>Training, help and decision support for data stewards.</w:t>
            </w:r>
          </w:p>
        </w:tc>
        <w:tc>
          <w:tcPr>
            <w:tcW w:type="dxa" w:w="1152"/>
            <w:vAlign w:val="top"/>
          </w:tcPr>
          <w:p>
            <w:pPr>
              <w:spacing w:after="0"/>
            </w:pPr>
            <w:r/>
            <w:r>
              <w:rPr>
                <w:b w:val="0"/>
                <w:sz w:val="15"/>
              </w:rPr>
              <w:t>Should</w:t>
            </w:r>
          </w:p>
        </w:tc>
        <w:tc>
          <w:tcPr>
            <w:tcW w:type="dxa" w:w="3744"/>
            <w:vAlign w:val="top"/>
          </w:tcPr>
          <w:p>
            <w:pPr>
              <w:spacing w:after="0"/>
            </w:pPr>
            <w:r/>
            <w:r>
              <w:rPr>
                <w:b w:val="0"/>
                <w:sz w:val="15"/>
              </w:rPr>
              <w:t>Governance users understand consequences of approvals and revocations.</w:t>
            </w:r>
          </w:p>
        </w:tc>
      </w:tr>
    </w:tbl>
    <w:p>
      <w:pPr>
        <w:pStyle w:val="Heading1"/>
      </w:pPr>
      <w:r>
        <w:t>13. Data governance and privacy model</w:t>
      </w:r>
    </w:p>
    <w:p>
      <w:pPr>
        <w:pStyle w:val="Heading2"/>
      </w:pPr>
      <w:r>
        <w:t>13.1 Dataset classification</w:t>
      </w:r>
    </w:p>
    <w:p>
      <w:pPr>
        <w:spacing w:after="100"/>
      </w:pPr>
      <w:r>
        <w:t>Every dataset or service is tagged as open/public, operational, citizen-portable, restricted/high-risk or non-shareable. Classification determines sharing mode, approval path, minimisation requirement, retention rule, audit review and citizen-facing safeguard.</w:t>
      </w:r>
    </w:p>
    <w:p>
      <w:pPr>
        <w:pStyle w:val="Heading2"/>
      </w:pPr>
      <w:r>
        <w:t>13.2 Purpose and lawful-use controls</w:t>
      </w:r>
    </w:p>
    <w:p>
      <w:pPr>
        <w:pStyle w:val="ListBullet"/>
        <w:spacing w:after="40"/>
      </w:pPr>
      <w:r>
        <w:t>Every request must include purpose code, service ID, requester member, provider member, environment and transaction context.</w:t>
      </w:r>
    </w:p>
    <w:p>
      <w:pPr>
        <w:pStyle w:val="ListBullet"/>
        <w:spacing w:after="40"/>
      </w:pPr>
      <w:r>
        <w:t>Personal-data requests must carry configured consent, notice or lawful-basis reference.</w:t>
      </w:r>
    </w:p>
    <w:p>
      <w:pPr>
        <w:pStyle w:val="ListBullet"/>
        <w:spacing w:after="40"/>
      </w:pPr>
      <w:r>
        <w:t>Purpose changes require re-approval; data approved for one purpose cannot be reused for another without policy review.</w:t>
      </w:r>
    </w:p>
    <w:p>
      <w:pPr>
        <w:pStyle w:val="ListBullet"/>
        <w:spacing w:after="40"/>
      </w:pPr>
      <w:r>
        <w:t>Provider-side policy has final enforcement authority for data minimisation and response shaping.</w:t>
      </w:r>
    </w:p>
    <w:p>
      <w:pPr>
        <w:pStyle w:val="ListBullet"/>
        <w:spacing w:after="40"/>
      </w:pPr>
      <w:r>
        <w:t>Retention, cache and onward-sharing rules must be attached to responses where applicable.</w:t>
      </w:r>
    </w:p>
    <w:p>
      <w:pPr>
        <w:pStyle w:val="Heading2"/>
      </w:pPr>
      <w:r>
        <w:t>13.3 Citizen-centric safeguards</w:t>
      </w:r>
    </w:p>
    <w:p>
      <w:pPr>
        <w:pStyle w:val="ListBullet"/>
        <w:spacing w:after="40"/>
      </w:pPr>
      <w:r>
        <w:t>Citizen-linked records should be reusable through wallet or service flows instead of scans and screenshots.</w:t>
      </w:r>
    </w:p>
    <w:p>
      <w:pPr>
        <w:pStyle w:val="ListBullet"/>
        <w:spacing w:after="40"/>
      </w:pPr>
      <w:r>
        <w:t>Citizen should see who requested data, what was requested, when and for what purpose where applicable.</w:t>
      </w:r>
    </w:p>
    <w:p>
      <w:pPr>
        <w:pStyle w:val="ListBullet"/>
        <w:spacing w:after="40"/>
      </w:pPr>
      <w:r>
        <w:t>Correction, grievance and escalation paths must be linked to exchange records.</w:t>
      </w:r>
    </w:p>
    <w:p>
      <w:pPr>
        <w:pStyle w:val="ListBullet"/>
        <w:spacing w:after="40"/>
      </w:pPr>
      <w:r>
        <w:t>Consent is not the only governance mechanism; notice, lawful basis, minimisation and accountability are mandatory for all flows.</w:t>
      </w:r>
    </w:p>
    <w:p>
      <w:pPr>
        <w:pStyle w:val="Heading1"/>
      </w:pPr>
      <w:r>
        <w:t>14. Security architecture</w:t>
      </w:r>
    </w:p>
    <w:p>
      <w:pPr>
        <w:pStyle w:val="Heading2"/>
      </w:pPr>
      <w:r>
        <w:t>14.1 Trust model</w:t>
      </w:r>
    </w:p>
    <w:p>
      <w:pPr>
        <w:spacing w:after="100"/>
      </w:pPr>
      <w:r>
        <w:t>BTX trust is based on member identity, Trust Node identity, certificate identity, policy approval and auditable transaction context. Trust is continuously evaluated; it is not permanent after onboarding.</w:t>
      </w:r>
    </w:p>
    <w:p>
      <w:pPr>
        <w:pStyle w:val="Heading2"/>
      </w:pPr>
      <w:r>
        <w:t>14.2 Cryptographic controls</w:t>
      </w:r>
    </w:p>
    <w:p>
      <w:pPr>
        <w:pStyle w:val="ListBullet"/>
        <w:spacing w:after="40"/>
      </w:pPr>
      <w:r>
        <w:t>Mutual TLS for node-to-node communication.</w:t>
      </w:r>
    </w:p>
    <w:p>
      <w:pPr>
        <w:pStyle w:val="ListBullet"/>
        <w:spacing w:after="40"/>
      </w:pPr>
      <w:r>
        <w:t>Request and response signing for integrity and non-repudiation.</w:t>
      </w:r>
    </w:p>
    <w:p>
      <w:pPr>
        <w:pStyle w:val="ListBullet"/>
        <w:spacing w:after="40"/>
      </w:pPr>
      <w:r>
        <w:t>Timestamping authority integration for tamper-evident timing.</w:t>
      </w:r>
    </w:p>
    <w:p>
      <w:pPr>
        <w:pStyle w:val="ListBullet"/>
        <w:spacing w:after="40"/>
      </w:pPr>
      <w:r>
        <w:t>HSM or high-assurance KMS for root and high-value signing keys.</w:t>
      </w:r>
    </w:p>
    <w:p>
      <w:pPr>
        <w:pStyle w:val="ListBullet"/>
        <w:spacing w:after="40"/>
      </w:pPr>
      <w:r>
        <w:t>Certificate revocation, expiry, rotation and compromise handling built into node runtime.</w:t>
      </w:r>
    </w:p>
    <w:p>
      <w:pPr>
        <w:pStyle w:val="ListBullet"/>
        <w:spacing w:after="40"/>
      </w:pPr>
      <w:r>
        <w:t>Per-member keys and certificates; no shared signing identity across members.</w:t>
      </w:r>
    </w:p>
    <w:p>
      <w:pPr>
        <w:pStyle w:val="Heading2"/>
      </w:pPr>
      <w:r>
        <w:t>14.3 AuditLedger</w:t>
      </w:r>
    </w:p>
    <w:p>
      <w:pPr>
        <w:pStyle w:val="ListBullet"/>
        <w:spacing w:after="40"/>
      </w:pPr>
      <w:r>
        <w:t>Requester-side logs, provider-side logs and central audit hashes are reconciled.</w:t>
      </w:r>
    </w:p>
    <w:p>
      <w:pPr>
        <w:pStyle w:val="ListBullet"/>
        <w:spacing w:after="40"/>
      </w:pPr>
      <w:r>
        <w:t>Logs are written to immutable storage with retention policies.</w:t>
      </w:r>
    </w:p>
    <w:p>
      <w:pPr>
        <w:pStyle w:val="ListBullet"/>
        <w:spacing w:after="40"/>
      </w:pPr>
      <w:r>
        <w:t>Audit hash chain or ledger-style digesting detects tampering.</w:t>
      </w:r>
    </w:p>
    <w:p>
      <w:pPr>
        <w:pStyle w:val="ListBullet"/>
        <w:spacing w:after="40"/>
      </w:pPr>
      <w:r>
        <w:t>Security teams receive alerts for anomalous access, failed verification, excessive denial, expired certificate and unusual data-volume patterns.</w:t>
      </w:r>
    </w:p>
    <w:p>
      <w:pPr>
        <w:pStyle w:val="Heading1"/>
      </w:pPr>
      <w:r>
        <w:t>15. Interoperability and integration</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cantSplit/>
          <w:tblHeader/>
        </w:trPr>
        <w:tc>
          <w:tcPr>
            <w:tcW w:type="dxa" w:w="2592"/>
            <w:vAlign w:val="top"/>
            <w:shd w:fill="17365D"/>
          </w:tcPr>
          <w:p>
            <w:pPr>
              <w:spacing w:after="0"/>
            </w:pPr>
            <w:r/>
            <w:r>
              <w:rPr>
                <w:b/>
                <w:color w:val="FFFFFF"/>
                <w:sz w:val="17"/>
              </w:rPr>
              <w:t>Area</w:t>
            </w:r>
          </w:p>
        </w:tc>
        <w:tc>
          <w:tcPr>
            <w:tcW w:type="dxa" w:w="8640"/>
            <w:vAlign w:val="top"/>
            <w:shd w:fill="17365D"/>
          </w:tcPr>
          <w:p>
            <w:pPr>
              <w:spacing w:after="0"/>
            </w:pPr>
            <w:r/>
            <w:r>
              <w:rPr>
                <w:b/>
                <w:color w:val="FFFFFF"/>
                <w:sz w:val="17"/>
              </w:rPr>
              <w:t>Standard / integration position</w:t>
            </w:r>
          </w:p>
        </w:tc>
      </w:tr>
      <w:tr>
        <w:trPr>
          <w:cantSplit/>
        </w:trPr>
        <w:tc>
          <w:tcPr>
            <w:tcW w:type="dxa" w:w="2592"/>
            <w:vAlign w:val="top"/>
          </w:tcPr>
          <w:p>
            <w:pPr>
              <w:spacing w:after="0"/>
            </w:pPr>
            <w:r/>
            <w:r>
              <w:rPr>
                <w:b w:val="0"/>
                <w:sz w:val="17"/>
              </w:rPr>
              <w:t>API contracts</w:t>
            </w:r>
          </w:p>
        </w:tc>
        <w:tc>
          <w:tcPr>
            <w:tcW w:type="dxa" w:w="8640"/>
            <w:vAlign w:val="top"/>
          </w:tcPr>
          <w:p>
            <w:pPr>
              <w:spacing w:after="0"/>
            </w:pPr>
            <w:r/>
            <w:r>
              <w:rPr>
                <w:b w:val="0"/>
                <w:sz w:val="17"/>
              </w:rPr>
              <w:t>OpenAPI for REST, WSDL compatibility for legacy SOAP where needed, AsyncAPI for event contracts.</w:t>
            </w:r>
          </w:p>
        </w:tc>
      </w:tr>
      <w:tr>
        <w:trPr>
          <w:cantSplit/>
        </w:trPr>
        <w:tc>
          <w:tcPr>
            <w:tcW w:type="dxa" w:w="2592"/>
            <w:vAlign w:val="top"/>
          </w:tcPr>
          <w:p>
            <w:pPr>
              <w:spacing w:after="0"/>
            </w:pPr>
            <w:r/>
            <w:r>
              <w:rPr>
                <w:b w:val="0"/>
                <w:sz w:val="17"/>
              </w:rPr>
              <w:t>Identity</w:t>
            </w:r>
          </w:p>
        </w:tc>
        <w:tc>
          <w:tcPr>
            <w:tcW w:type="dxa" w:w="8640"/>
            <w:vAlign w:val="top"/>
          </w:tcPr>
          <w:p>
            <w:pPr>
              <w:spacing w:after="0"/>
            </w:pPr>
            <w:r/>
            <w:r>
              <w:rPr>
                <w:b w:val="0"/>
                <w:sz w:val="17"/>
              </w:rPr>
              <w:t>OIDC/SAML for human federation, workload identity abstraction and certificate-bound Trust Node identity.</w:t>
            </w:r>
          </w:p>
        </w:tc>
      </w:tr>
      <w:tr>
        <w:trPr>
          <w:cantSplit/>
        </w:trPr>
        <w:tc>
          <w:tcPr>
            <w:tcW w:type="dxa" w:w="2592"/>
            <w:vAlign w:val="top"/>
          </w:tcPr>
          <w:p>
            <w:pPr>
              <w:spacing w:after="0"/>
            </w:pPr>
            <w:r/>
            <w:r>
              <w:rPr>
                <w:b w:val="0"/>
                <w:sz w:val="17"/>
              </w:rPr>
              <w:t>Policy</w:t>
            </w:r>
          </w:p>
        </w:tc>
        <w:tc>
          <w:tcPr>
            <w:tcW w:type="dxa" w:w="8640"/>
            <w:vAlign w:val="top"/>
          </w:tcPr>
          <w:p>
            <w:pPr>
              <w:spacing w:after="0"/>
            </w:pPr>
            <w:r/>
            <w:r>
              <w:rPr>
                <w:b w:val="0"/>
                <w:sz w:val="17"/>
              </w:rPr>
              <w:t>OPA/Rego-style or equivalent policy-as-code, with adapter for ABAC/XACML-aligned models if required.</w:t>
            </w:r>
          </w:p>
        </w:tc>
      </w:tr>
      <w:tr>
        <w:trPr>
          <w:cantSplit/>
        </w:trPr>
        <w:tc>
          <w:tcPr>
            <w:tcW w:type="dxa" w:w="2592"/>
            <w:vAlign w:val="top"/>
          </w:tcPr>
          <w:p>
            <w:pPr>
              <w:spacing w:after="0"/>
            </w:pPr>
            <w:r/>
            <w:r>
              <w:rPr>
                <w:b w:val="0"/>
                <w:sz w:val="17"/>
              </w:rPr>
              <w:t>Observability</w:t>
            </w:r>
          </w:p>
        </w:tc>
        <w:tc>
          <w:tcPr>
            <w:tcW w:type="dxa" w:w="8640"/>
            <w:vAlign w:val="top"/>
          </w:tcPr>
          <w:p>
            <w:pPr>
              <w:spacing w:after="0"/>
            </w:pPr>
            <w:r/>
            <w:r>
              <w:rPr>
                <w:b w:val="0"/>
                <w:sz w:val="17"/>
              </w:rPr>
              <w:t>OpenTelemetry traces/metrics, canonical audit event schema and SIEM export.</w:t>
            </w:r>
          </w:p>
        </w:tc>
      </w:tr>
      <w:tr>
        <w:trPr>
          <w:cantSplit/>
        </w:trPr>
        <w:tc>
          <w:tcPr>
            <w:tcW w:type="dxa" w:w="2592"/>
            <w:vAlign w:val="top"/>
          </w:tcPr>
          <w:p>
            <w:pPr>
              <w:spacing w:after="0"/>
            </w:pPr>
            <w:r/>
            <w:r>
              <w:rPr>
                <w:b w:val="0"/>
                <w:sz w:val="17"/>
              </w:rPr>
              <w:t>Credential flows</w:t>
            </w:r>
          </w:p>
        </w:tc>
        <w:tc>
          <w:tcPr>
            <w:tcW w:type="dxa" w:w="8640"/>
            <w:vAlign w:val="top"/>
          </w:tcPr>
          <w:p>
            <w:pPr>
              <w:spacing w:after="0"/>
            </w:pPr>
            <w:r/>
            <w:r>
              <w:rPr>
                <w:b w:val="0"/>
                <w:sz w:val="17"/>
              </w:rPr>
              <w:t>DigiLocker/wallet integration and verifiable credential metadata where applicable.</w:t>
            </w:r>
          </w:p>
        </w:tc>
      </w:tr>
      <w:tr>
        <w:trPr>
          <w:cantSplit/>
        </w:trPr>
        <w:tc>
          <w:tcPr>
            <w:tcW w:type="dxa" w:w="2592"/>
            <w:vAlign w:val="top"/>
          </w:tcPr>
          <w:p>
            <w:pPr>
              <w:spacing w:after="0"/>
            </w:pPr>
            <w:r/>
            <w:r>
              <w:rPr>
                <w:b w:val="0"/>
                <w:sz w:val="17"/>
              </w:rPr>
              <w:t>Data schemas</w:t>
            </w:r>
          </w:p>
        </w:tc>
        <w:tc>
          <w:tcPr>
            <w:tcW w:type="dxa" w:w="8640"/>
            <w:vAlign w:val="top"/>
          </w:tcPr>
          <w:p>
            <w:pPr>
              <w:spacing w:after="0"/>
            </w:pPr>
            <w:r/>
            <w:r>
              <w:rPr>
                <w:b w:val="0"/>
                <w:sz w:val="17"/>
              </w:rPr>
              <w:t>MDDS-aligned metadata, canonical schemas, code sets and backward-compatible versioning.</w:t>
            </w:r>
          </w:p>
        </w:tc>
      </w:tr>
      <w:tr>
        <w:trPr>
          <w:cantSplit/>
        </w:trPr>
        <w:tc>
          <w:tcPr>
            <w:tcW w:type="dxa" w:w="2592"/>
            <w:vAlign w:val="top"/>
          </w:tcPr>
          <w:p>
            <w:pPr>
              <w:spacing w:after="0"/>
            </w:pPr>
            <w:r/>
            <w:r>
              <w:rPr>
                <w:b w:val="0"/>
                <w:sz w:val="17"/>
              </w:rPr>
              <w:t>Cloud deployment</w:t>
            </w:r>
          </w:p>
        </w:tc>
        <w:tc>
          <w:tcPr>
            <w:tcW w:type="dxa" w:w="8640"/>
            <w:vAlign w:val="top"/>
          </w:tcPr>
          <w:p>
            <w:pPr>
              <w:spacing w:after="0"/>
            </w:pPr>
            <w:r/>
            <w:r>
              <w:rPr>
                <w:b w:val="0"/>
                <w:sz w:val="17"/>
              </w:rPr>
              <w:t>Terraform/OpenTofu, Helm/Kustomize/GitOps, conformance tests and provider adapter packages.</w:t>
            </w:r>
          </w:p>
        </w:tc>
      </w:tr>
    </w:tbl>
    <w:p>
      <w:pPr>
        <w:pStyle w:val="Heading1"/>
      </w:pPr>
      <w:r>
        <w:t>16. Operational workflows</w:t>
      </w:r>
    </w:p>
    <w:p>
      <w:pPr>
        <w:pStyle w:val="Heading2"/>
      </w:pPr>
      <w:r>
        <w:t>16.1 Member onboarding workflow</w:t>
      </w:r>
    </w:p>
    <w:p>
      <w:pPr>
        <w:spacing w:after="40"/>
        <w:ind w:left="259" w:hanging="259"/>
      </w:pPr>
      <w:r>
        <w:rPr>
          <w:b/>
        </w:rPr>
        <w:t xml:space="preserve">1. </w:t>
      </w:r>
      <w:r>
        <w:t>Organisation applies for BTX membership with legal identity, department owner and data steward.</w:t>
      </w:r>
    </w:p>
    <w:p>
      <w:pPr>
        <w:spacing w:after="40"/>
        <w:ind w:left="259" w:hanging="259"/>
      </w:pPr>
      <w:r>
        <w:rPr>
          <w:b/>
        </w:rPr>
        <w:t xml:space="preserve">2. </w:t>
      </w:r>
      <w:r>
        <w:t>Governance authority validates eligibility, role and environment requirement.</w:t>
      </w:r>
    </w:p>
    <w:p>
      <w:pPr>
        <w:spacing w:after="40"/>
        <w:ind w:left="259" w:hanging="259"/>
      </w:pPr>
      <w:r>
        <w:rPr>
          <w:b/>
        </w:rPr>
        <w:t xml:space="preserve">3. </w:t>
      </w:r>
      <w:r>
        <w:t>Security team provisions or approves Trust Node deployment pattern.</w:t>
      </w:r>
    </w:p>
    <w:p>
      <w:pPr>
        <w:spacing w:after="40"/>
        <w:ind w:left="259" w:hanging="259"/>
      </w:pPr>
      <w:r>
        <w:rPr>
          <w:b/>
        </w:rPr>
        <w:t xml:space="preserve">4. </w:t>
      </w:r>
      <w:r>
        <w:t>PKI and key material are issued or mapped through approved CA/HSM/KMS process.</w:t>
      </w:r>
    </w:p>
    <w:p>
      <w:pPr>
        <w:spacing w:after="40"/>
        <w:ind w:left="259" w:hanging="259"/>
      </w:pPr>
      <w:r>
        <w:rPr>
          <w:b/>
        </w:rPr>
        <w:t xml:space="preserve">5. </w:t>
      </w:r>
      <w:r>
        <w:t>Member activates in sandbox, completes conformance testing and then moves to production.</w:t>
      </w:r>
    </w:p>
    <w:p>
      <w:pPr>
        <w:spacing w:after="40"/>
        <w:ind w:left="259" w:hanging="259"/>
      </w:pPr>
      <w:r>
        <w:rPr>
          <w:b/>
        </w:rPr>
        <w:t xml:space="preserve">6. </w:t>
      </w:r>
      <w:r>
        <w:t>Periodic recertification and security posture review are scheduled automatically.</w:t>
      </w:r>
    </w:p>
    <w:p>
      <w:pPr>
        <w:pStyle w:val="Heading2"/>
      </w:pPr>
      <w:r>
        <w:t>16.2 Service publication workflow</w:t>
      </w:r>
    </w:p>
    <w:p>
      <w:pPr>
        <w:spacing w:after="40"/>
        <w:ind w:left="259" w:hanging="259"/>
      </w:pPr>
      <w:r>
        <w:rPr>
          <w:b/>
        </w:rPr>
        <w:t xml:space="preserve">1. </w:t>
      </w:r>
      <w:r>
        <w:t>Provider data steward submits service metadata, data class, purpose constraints, SLA and schema.</w:t>
      </w:r>
    </w:p>
    <w:p>
      <w:pPr>
        <w:spacing w:after="40"/>
        <w:ind w:left="259" w:hanging="259"/>
      </w:pPr>
      <w:r>
        <w:rPr>
          <w:b/>
        </w:rPr>
        <w:t xml:space="preserve">2. </w:t>
      </w:r>
      <w:r>
        <w:t>SchemaHub validates contract, metadata and version compatibility.</w:t>
      </w:r>
    </w:p>
    <w:p>
      <w:pPr>
        <w:spacing w:after="40"/>
        <w:ind w:left="259" w:hanging="259"/>
      </w:pPr>
      <w:r>
        <w:rPr>
          <w:b/>
        </w:rPr>
        <w:t xml:space="preserve">3. </w:t>
      </w:r>
      <w:r>
        <w:t>Security and privacy review validates minimisation, retention and audit requirements.</w:t>
      </w:r>
    </w:p>
    <w:p>
      <w:pPr>
        <w:spacing w:after="40"/>
        <w:ind w:left="259" w:hanging="259"/>
      </w:pPr>
      <w:r>
        <w:rPr>
          <w:b/>
        </w:rPr>
        <w:t xml:space="preserve">4. </w:t>
      </w:r>
      <w:r>
        <w:t>Service is published in sandbox and optionally synchronised with API Setu or state exchange.</w:t>
      </w:r>
    </w:p>
    <w:p>
      <w:pPr>
        <w:spacing w:after="40"/>
        <w:ind w:left="259" w:hanging="259"/>
      </w:pPr>
      <w:r>
        <w:rPr>
          <w:b/>
        </w:rPr>
        <w:t xml:space="preserve">5. </w:t>
      </w:r>
      <w:r>
        <w:t>Production publication occurs after successful conformance and governance approval.</w:t>
      </w:r>
    </w:p>
    <w:p>
      <w:pPr>
        <w:pStyle w:val="Heading2"/>
      </w:pPr>
      <w:r>
        <w:t>16.3 Access request workflow</w:t>
      </w:r>
    </w:p>
    <w:p>
      <w:pPr>
        <w:spacing w:after="40"/>
        <w:ind w:left="259" w:hanging="259"/>
      </w:pPr>
      <w:r>
        <w:rPr>
          <w:b/>
        </w:rPr>
        <w:t xml:space="preserve">1. </w:t>
      </w:r>
      <w:r>
        <w:t>Requester discovers service and submits purpose-bound access request.</w:t>
      </w:r>
    </w:p>
    <w:p>
      <w:pPr>
        <w:spacing w:after="40"/>
        <w:ind w:left="259" w:hanging="259"/>
      </w:pPr>
      <w:r>
        <w:rPr>
          <w:b/>
        </w:rPr>
        <w:t xml:space="preserve">2. </w:t>
      </w:r>
      <w:r>
        <w:t>Policy engine checks eligibility, role, data class, purpose and safeguards.</w:t>
      </w:r>
    </w:p>
    <w:p>
      <w:pPr>
        <w:spacing w:after="40"/>
        <w:ind w:left="259" w:hanging="259"/>
      </w:pPr>
      <w:r>
        <w:rPr>
          <w:b/>
        </w:rPr>
        <w:t xml:space="preserve">3. </w:t>
      </w:r>
      <w:r>
        <w:t>Provider steward approves, denies, modifies scope or requests escalation.</w:t>
      </w:r>
    </w:p>
    <w:p>
      <w:pPr>
        <w:spacing w:after="40"/>
        <w:ind w:left="259" w:hanging="259"/>
      </w:pPr>
      <w:r>
        <w:rPr>
          <w:b/>
        </w:rPr>
        <w:t xml:space="preserve">4. </w:t>
      </w:r>
      <w:r>
        <w:t>Approval creates time-bound policy entry and service agreement.</w:t>
      </w:r>
    </w:p>
    <w:p>
      <w:pPr>
        <w:spacing w:after="40"/>
        <w:ind w:left="259" w:hanging="259"/>
      </w:pPr>
      <w:r>
        <w:rPr>
          <w:b/>
        </w:rPr>
        <w:t xml:space="preserve">5. </w:t>
      </w:r>
      <w:r>
        <w:t>Trust Nodes enforce the approved policy at runtime.</w:t>
      </w:r>
    </w:p>
    <w:p>
      <w:pPr>
        <w:pStyle w:val="Heading2"/>
      </w:pPr>
      <w:r>
        <w:t>16.4 Revocation and suspension workflow</w:t>
      </w:r>
    </w:p>
    <w:p>
      <w:pPr>
        <w:spacing w:after="40"/>
        <w:ind w:left="259" w:hanging="259"/>
      </w:pPr>
      <w:r>
        <w:rPr>
          <w:b/>
        </w:rPr>
        <w:t xml:space="preserve">1. </w:t>
      </w:r>
      <w:r>
        <w:t>Governance or security authority triggers revocation based on expiry, misuse, key compromise, legal restriction or failed recertification.</w:t>
      </w:r>
    </w:p>
    <w:p>
      <w:pPr>
        <w:spacing w:after="40"/>
        <w:ind w:left="259" w:hanging="259"/>
      </w:pPr>
      <w:r>
        <w:rPr>
          <w:b/>
        </w:rPr>
        <w:t xml:space="preserve">2. </w:t>
      </w:r>
      <w:r>
        <w:t>Revocation is signed, logged, propagated through high-priority revocation channel and reflected in signed config.</w:t>
      </w:r>
    </w:p>
    <w:p>
      <w:pPr>
        <w:spacing w:after="40"/>
        <w:ind w:left="259" w:hanging="259"/>
      </w:pPr>
      <w:r>
        <w:rPr>
          <w:b/>
        </w:rPr>
        <w:t xml:space="preserve">3. </w:t>
      </w:r>
      <w:r>
        <w:t>Trust Nodes reject future requests from revoked member/service/certificate and record denial reason.</w:t>
      </w:r>
    </w:p>
    <w:p>
      <w:pPr>
        <w:spacing w:after="40"/>
        <w:ind w:left="259" w:hanging="259"/>
      </w:pPr>
      <w:r>
        <w:rPr>
          <w:b/>
        </w:rPr>
        <w:t xml:space="preserve">4. </w:t>
      </w:r>
      <w:r>
        <w:t>Post-facto review confirms downstream logs, notifications, grievance path and corrective actions.</w:t>
      </w:r>
    </w:p>
    <w:p>
      <w:pPr>
        <w:pStyle w:val="Heading1"/>
      </w:pPr>
      <w:r>
        <w:t>17. Implementation roadmap</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cantSplit/>
          <w:tblHeader/>
        </w:trPr>
        <w:tc>
          <w:tcPr>
            <w:tcW w:type="dxa" w:w="1728"/>
            <w:vAlign w:val="top"/>
            <w:shd w:fill="17365D"/>
          </w:tcPr>
          <w:p>
            <w:pPr>
              <w:spacing w:after="0"/>
            </w:pPr>
            <w:r/>
            <w:r>
              <w:rPr>
                <w:b/>
                <w:color w:val="FFFFFF"/>
                <w:sz w:val="15"/>
              </w:rPr>
              <w:t>Phase</w:t>
            </w:r>
          </w:p>
        </w:tc>
        <w:tc>
          <w:tcPr>
            <w:tcW w:type="dxa" w:w="1440"/>
            <w:vAlign w:val="top"/>
            <w:shd w:fill="17365D"/>
          </w:tcPr>
          <w:p>
            <w:pPr>
              <w:spacing w:after="0"/>
            </w:pPr>
            <w:r/>
            <w:r>
              <w:rPr>
                <w:b/>
                <w:color w:val="FFFFFF"/>
                <w:sz w:val="15"/>
              </w:rPr>
              <w:t>Timeline</w:t>
            </w:r>
          </w:p>
        </w:tc>
        <w:tc>
          <w:tcPr>
            <w:tcW w:type="dxa" w:w="6048"/>
            <w:vAlign w:val="top"/>
            <w:shd w:fill="17365D"/>
          </w:tcPr>
          <w:p>
            <w:pPr>
              <w:spacing w:after="0"/>
            </w:pPr>
            <w:r/>
            <w:r>
              <w:rPr>
                <w:b/>
                <w:color w:val="FFFFFF"/>
                <w:sz w:val="15"/>
              </w:rPr>
              <w:t>Deliverables</w:t>
            </w:r>
          </w:p>
        </w:tc>
        <w:tc>
          <w:tcPr>
            <w:tcW w:type="dxa" w:w="2592"/>
            <w:vAlign w:val="top"/>
            <w:shd w:fill="17365D"/>
          </w:tcPr>
          <w:p>
            <w:pPr>
              <w:spacing w:after="0"/>
            </w:pPr>
            <w:r/>
            <w:r>
              <w:rPr>
                <w:b/>
                <w:color w:val="FFFFFF"/>
                <w:sz w:val="15"/>
              </w:rPr>
              <w:t>Exit gate</w:t>
            </w:r>
          </w:p>
        </w:tc>
      </w:tr>
      <w:tr>
        <w:trPr>
          <w:cantSplit/>
        </w:trPr>
        <w:tc>
          <w:tcPr>
            <w:tcW w:type="dxa" w:w="1728"/>
            <w:vAlign w:val="top"/>
          </w:tcPr>
          <w:p>
            <w:pPr>
              <w:spacing w:after="0"/>
            </w:pPr>
            <w:r/>
            <w:r>
              <w:rPr>
                <w:b w:val="0"/>
                <w:sz w:val="15"/>
              </w:rPr>
              <w:t>Foundation</w:t>
            </w:r>
          </w:p>
        </w:tc>
        <w:tc>
          <w:tcPr>
            <w:tcW w:type="dxa" w:w="1440"/>
            <w:vAlign w:val="top"/>
          </w:tcPr>
          <w:p>
            <w:pPr>
              <w:spacing w:after="0"/>
            </w:pPr>
            <w:r/>
            <w:r>
              <w:rPr>
                <w:b w:val="0"/>
                <w:sz w:val="15"/>
              </w:rPr>
              <w:t>0-3 months</w:t>
            </w:r>
          </w:p>
        </w:tc>
        <w:tc>
          <w:tcPr>
            <w:tcW w:type="dxa" w:w="6048"/>
            <w:vAlign w:val="top"/>
          </w:tcPr>
          <w:p>
            <w:pPr>
              <w:spacing w:after="0"/>
            </w:pPr>
            <w:r/>
            <w:r>
              <w:rPr>
                <w:b w:val="0"/>
                <w:sz w:val="15"/>
              </w:rPr>
              <w:t>Governance charter, product backlog, reference architecture, threat model, DPIA template, registry prototypes, pilot departments selected.</w:t>
            </w:r>
          </w:p>
        </w:tc>
        <w:tc>
          <w:tcPr>
            <w:tcW w:type="dxa" w:w="2592"/>
            <w:vAlign w:val="top"/>
          </w:tcPr>
          <w:p>
            <w:pPr>
              <w:spacing w:after="0"/>
            </w:pPr>
            <w:r/>
            <w:r>
              <w:rPr>
                <w:b w:val="0"/>
                <w:sz w:val="15"/>
              </w:rPr>
              <w:t>Architecture, privacy and security boards approve MVP scope.</w:t>
            </w:r>
          </w:p>
        </w:tc>
      </w:tr>
      <w:tr>
        <w:trPr>
          <w:cantSplit/>
        </w:trPr>
        <w:tc>
          <w:tcPr>
            <w:tcW w:type="dxa" w:w="1728"/>
            <w:vAlign w:val="top"/>
          </w:tcPr>
          <w:p>
            <w:pPr>
              <w:spacing w:after="0"/>
            </w:pPr>
            <w:r/>
            <w:r>
              <w:rPr>
                <w:b w:val="0"/>
                <w:sz w:val="15"/>
              </w:rPr>
              <w:t>MVP</w:t>
            </w:r>
          </w:p>
        </w:tc>
        <w:tc>
          <w:tcPr>
            <w:tcW w:type="dxa" w:w="1440"/>
            <w:vAlign w:val="top"/>
          </w:tcPr>
          <w:p>
            <w:pPr>
              <w:spacing w:after="0"/>
            </w:pPr>
            <w:r/>
            <w:r>
              <w:rPr>
                <w:b w:val="0"/>
                <w:sz w:val="15"/>
              </w:rPr>
              <w:t>3-6 months</w:t>
            </w:r>
          </w:p>
        </w:tc>
        <w:tc>
          <w:tcPr>
            <w:tcW w:type="dxa" w:w="6048"/>
            <w:vAlign w:val="top"/>
          </w:tcPr>
          <w:p>
            <w:pPr>
              <w:spacing w:after="0"/>
            </w:pPr>
            <w:r/>
            <w:r>
              <w:rPr>
                <w:b w:val="0"/>
                <w:sz w:val="15"/>
              </w:rPr>
              <w:t>Portable control plane, Trust Node runtime, sandbox, signed config, policy service, audit events, API Setu/DigiLocker stubs, 5-10 pilot services.</w:t>
            </w:r>
          </w:p>
        </w:tc>
        <w:tc>
          <w:tcPr>
            <w:tcW w:type="dxa" w:w="2592"/>
            <w:vAlign w:val="top"/>
          </w:tcPr>
          <w:p>
            <w:pPr>
              <w:spacing w:after="0"/>
            </w:pPr>
            <w:r/>
            <w:r>
              <w:rPr>
                <w:b w:val="0"/>
                <w:sz w:val="15"/>
              </w:rPr>
              <w:t>Conformance tests pass in sandbox and two hosting environments.</w:t>
            </w:r>
          </w:p>
        </w:tc>
      </w:tr>
      <w:tr>
        <w:trPr>
          <w:cantSplit/>
        </w:trPr>
        <w:tc>
          <w:tcPr>
            <w:tcW w:type="dxa" w:w="1728"/>
            <w:vAlign w:val="top"/>
          </w:tcPr>
          <w:p>
            <w:pPr>
              <w:spacing w:after="0"/>
            </w:pPr>
            <w:r/>
            <w:r>
              <w:rPr>
                <w:b w:val="0"/>
                <w:sz w:val="15"/>
              </w:rPr>
              <w:t>Production pilot</w:t>
            </w:r>
          </w:p>
        </w:tc>
        <w:tc>
          <w:tcPr>
            <w:tcW w:type="dxa" w:w="1440"/>
            <w:vAlign w:val="top"/>
          </w:tcPr>
          <w:p>
            <w:pPr>
              <w:spacing w:after="0"/>
            </w:pPr>
            <w:r/>
            <w:r>
              <w:rPr>
                <w:b w:val="0"/>
                <w:sz w:val="15"/>
              </w:rPr>
              <w:t>6-12 months</w:t>
            </w:r>
          </w:p>
        </w:tc>
        <w:tc>
          <w:tcPr>
            <w:tcW w:type="dxa" w:w="6048"/>
            <w:vAlign w:val="top"/>
          </w:tcPr>
          <w:p>
            <w:pPr>
              <w:spacing w:after="0"/>
            </w:pPr>
            <w:r/>
            <w:r>
              <w:rPr>
                <w:b w:val="0"/>
                <w:sz w:val="15"/>
              </w:rPr>
              <w:t>Dedicated and managed tenant nodes, PKI/HSM integration, tamper-evident audit, minimisation rules, SLA dashboards, citizen-linked sharing logs, state pilot.</w:t>
            </w:r>
          </w:p>
        </w:tc>
        <w:tc>
          <w:tcPr>
            <w:tcW w:type="dxa" w:w="2592"/>
            <w:vAlign w:val="top"/>
          </w:tcPr>
          <w:p>
            <w:pPr>
              <w:spacing w:after="0"/>
            </w:pPr>
            <w:r/>
            <w:r>
              <w:rPr>
                <w:b w:val="0"/>
                <w:sz w:val="15"/>
              </w:rPr>
              <w:t>Production pilot passes incident, outage, privacy and security drills.</w:t>
            </w:r>
          </w:p>
        </w:tc>
      </w:tr>
      <w:tr>
        <w:trPr>
          <w:cantSplit/>
        </w:trPr>
        <w:tc>
          <w:tcPr>
            <w:tcW w:type="dxa" w:w="1728"/>
            <w:vAlign w:val="top"/>
          </w:tcPr>
          <w:p>
            <w:pPr>
              <w:spacing w:after="0"/>
            </w:pPr>
            <w:r/>
            <w:r>
              <w:rPr>
                <w:b w:val="0"/>
                <w:sz w:val="15"/>
              </w:rPr>
              <w:t>Scale</w:t>
            </w:r>
          </w:p>
        </w:tc>
        <w:tc>
          <w:tcPr>
            <w:tcW w:type="dxa" w:w="1440"/>
            <w:vAlign w:val="top"/>
          </w:tcPr>
          <w:p>
            <w:pPr>
              <w:spacing w:after="0"/>
            </w:pPr>
            <w:r/>
            <w:r>
              <w:rPr>
                <w:b w:val="0"/>
                <w:sz w:val="15"/>
              </w:rPr>
              <w:t>12-24 months</w:t>
            </w:r>
          </w:p>
        </w:tc>
        <w:tc>
          <w:tcPr>
            <w:tcW w:type="dxa" w:w="6048"/>
            <w:vAlign w:val="top"/>
          </w:tcPr>
          <w:p>
            <w:pPr>
              <w:spacing w:after="0"/>
            </w:pPr>
            <w:r/>
            <w:r>
              <w:rPr>
                <w:b w:val="0"/>
                <w:sz w:val="15"/>
              </w:rPr>
              <w:t>National/state rollout playbook, conformance certification, multi-cloud deployment, domain schema councils, automated recertification and anomaly detection.</w:t>
            </w:r>
          </w:p>
        </w:tc>
        <w:tc>
          <w:tcPr>
            <w:tcW w:type="dxa" w:w="2592"/>
            <w:vAlign w:val="top"/>
          </w:tcPr>
          <w:p>
            <w:pPr>
              <w:spacing w:after="0"/>
            </w:pPr>
            <w:r/>
            <w:r>
              <w:rPr>
                <w:b w:val="0"/>
                <w:sz w:val="15"/>
              </w:rPr>
              <w:t>Reusable operating model adopted by multiple domains and states.</w:t>
            </w:r>
          </w:p>
        </w:tc>
      </w:tr>
    </w:tbl>
    <w:p>
      <w:pPr>
        <w:pStyle w:val="Heading1"/>
      </w:pPr>
      <w:r>
        <w:t>18. Success metrics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cantSplit/>
          <w:tblHeader/>
        </w:trPr>
        <w:tc>
          <w:tcPr>
            <w:tcW w:type="dxa" w:w="2304"/>
            <w:vAlign w:val="top"/>
            <w:shd w:fill="17365D"/>
          </w:tcPr>
          <w:p>
            <w:pPr>
              <w:spacing w:after="0"/>
            </w:pPr>
            <w:r/>
            <w:r>
              <w:rPr>
                <w:b/>
                <w:color w:val="FFFFFF"/>
                <w:sz w:val="16"/>
              </w:rPr>
              <w:t>Metric</w:t>
            </w:r>
          </w:p>
        </w:tc>
        <w:tc>
          <w:tcPr>
            <w:tcW w:type="dxa" w:w="6912"/>
            <w:vAlign w:val="top"/>
            <w:shd w:fill="17365D"/>
          </w:tcPr>
          <w:p>
            <w:pPr>
              <w:spacing w:after="0"/>
            </w:pPr>
            <w:r/>
            <w:r>
              <w:rPr>
                <w:b/>
                <w:color w:val="FFFFFF"/>
                <w:sz w:val="16"/>
              </w:rPr>
              <w:t>Measure</w:t>
            </w:r>
          </w:p>
        </w:tc>
        <w:tc>
          <w:tcPr>
            <w:tcW w:type="dxa" w:w="2016"/>
            <w:vAlign w:val="top"/>
            <w:shd w:fill="17365D"/>
          </w:tcPr>
          <w:p>
            <w:pPr>
              <w:spacing w:after="0"/>
            </w:pPr>
            <w:r/>
            <w:r>
              <w:rPr>
                <w:b/>
                <w:color w:val="FFFFFF"/>
                <w:sz w:val="16"/>
              </w:rPr>
              <w:t>Target direction</w:t>
            </w:r>
          </w:p>
        </w:tc>
      </w:tr>
      <w:tr>
        <w:trPr>
          <w:cantSplit/>
        </w:trPr>
        <w:tc>
          <w:tcPr>
            <w:tcW w:type="dxa" w:w="2304"/>
            <w:vAlign w:val="top"/>
          </w:tcPr>
          <w:p>
            <w:pPr>
              <w:spacing w:after="0"/>
            </w:pPr>
            <w:r/>
            <w:r>
              <w:rPr>
                <w:b w:val="0"/>
                <w:sz w:val="16"/>
              </w:rPr>
              <w:t>Citizen burden</w:t>
            </w:r>
          </w:p>
        </w:tc>
        <w:tc>
          <w:tcPr>
            <w:tcW w:type="dxa" w:w="6912"/>
            <w:vAlign w:val="top"/>
          </w:tcPr>
          <w:p>
            <w:pPr>
              <w:spacing w:after="0"/>
            </w:pPr>
            <w:r/>
            <w:r>
              <w:rPr>
                <w:b w:val="0"/>
                <w:sz w:val="16"/>
              </w:rPr>
              <w:t>Repeated document submissions avoided in selected journeys.</w:t>
            </w:r>
          </w:p>
        </w:tc>
        <w:tc>
          <w:tcPr>
            <w:tcW w:type="dxa" w:w="2016"/>
            <w:vAlign w:val="top"/>
          </w:tcPr>
          <w:p>
            <w:pPr>
              <w:spacing w:after="0"/>
            </w:pPr>
            <w:r/>
            <w:r>
              <w:rPr>
                <w:b w:val="0"/>
                <w:sz w:val="16"/>
              </w:rPr>
              <w:t>Down</w:t>
            </w:r>
          </w:p>
        </w:tc>
      </w:tr>
      <w:tr>
        <w:trPr>
          <w:cantSplit/>
        </w:trPr>
        <w:tc>
          <w:tcPr>
            <w:tcW w:type="dxa" w:w="2304"/>
            <w:vAlign w:val="top"/>
          </w:tcPr>
          <w:p>
            <w:pPr>
              <w:spacing w:after="0"/>
            </w:pPr>
            <w:r/>
            <w:r>
              <w:rPr>
                <w:b w:val="0"/>
                <w:sz w:val="16"/>
              </w:rPr>
              <w:t>Reuse</w:t>
            </w:r>
          </w:p>
        </w:tc>
        <w:tc>
          <w:tcPr>
            <w:tcW w:type="dxa" w:w="6912"/>
            <w:vAlign w:val="top"/>
          </w:tcPr>
          <w:p>
            <w:pPr>
              <w:spacing w:after="0"/>
            </w:pPr>
            <w:r/>
            <w:r>
              <w:rPr>
                <w:b w:val="0"/>
                <w:sz w:val="16"/>
              </w:rPr>
              <w:t>Requests fulfilled through verified record reuse or trusted exchange.</w:t>
            </w:r>
          </w:p>
        </w:tc>
        <w:tc>
          <w:tcPr>
            <w:tcW w:type="dxa" w:w="2016"/>
            <w:vAlign w:val="top"/>
          </w:tcPr>
          <w:p>
            <w:pPr>
              <w:spacing w:after="0"/>
            </w:pPr>
            <w:r/>
            <w:r>
              <w:rPr>
                <w:b w:val="0"/>
                <w:sz w:val="16"/>
              </w:rPr>
              <w:t>Up</w:t>
            </w:r>
          </w:p>
        </w:tc>
      </w:tr>
      <w:tr>
        <w:trPr>
          <w:cantSplit/>
        </w:trPr>
        <w:tc>
          <w:tcPr>
            <w:tcW w:type="dxa" w:w="2304"/>
            <w:vAlign w:val="top"/>
          </w:tcPr>
          <w:p>
            <w:pPr>
              <w:spacing w:after="0"/>
            </w:pPr>
            <w:r/>
            <w:r>
              <w:rPr>
                <w:b w:val="0"/>
                <w:sz w:val="16"/>
              </w:rPr>
              <w:t>Speed</w:t>
            </w:r>
          </w:p>
        </w:tc>
        <w:tc>
          <w:tcPr>
            <w:tcW w:type="dxa" w:w="6912"/>
            <w:vAlign w:val="top"/>
          </w:tcPr>
          <w:p>
            <w:pPr>
              <w:spacing w:after="0"/>
            </w:pPr>
            <w:r/>
            <w:r>
              <w:rPr>
                <w:b w:val="0"/>
                <w:sz w:val="16"/>
              </w:rPr>
              <w:t>Turnaround time for cross-department verification.</w:t>
            </w:r>
          </w:p>
        </w:tc>
        <w:tc>
          <w:tcPr>
            <w:tcW w:type="dxa" w:w="2016"/>
            <w:vAlign w:val="top"/>
          </w:tcPr>
          <w:p>
            <w:pPr>
              <w:spacing w:after="0"/>
            </w:pPr>
            <w:r/>
            <w:r>
              <w:rPr>
                <w:b w:val="0"/>
                <w:sz w:val="16"/>
              </w:rPr>
              <w:t>Down</w:t>
            </w:r>
          </w:p>
        </w:tc>
      </w:tr>
      <w:tr>
        <w:trPr>
          <w:cantSplit/>
        </w:trPr>
        <w:tc>
          <w:tcPr>
            <w:tcW w:type="dxa" w:w="2304"/>
            <w:vAlign w:val="top"/>
          </w:tcPr>
          <w:p>
            <w:pPr>
              <w:spacing w:after="0"/>
            </w:pPr>
            <w:r/>
            <w:r>
              <w:rPr>
                <w:b w:val="0"/>
                <w:sz w:val="16"/>
              </w:rPr>
              <w:t>Governance</w:t>
            </w:r>
          </w:p>
        </w:tc>
        <w:tc>
          <w:tcPr>
            <w:tcW w:type="dxa" w:w="6912"/>
            <w:vAlign w:val="top"/>
          </w:tcPr>
          <w:p>
            <w:pPr>
              <w:spacing w:after="0"/>
            </w:pPr>
            <w:r/>
            <w:r>
              <w:rPr>
                <w:b w:val="0"/>
                <w:sz w:val="16"/>
              </w:rPr>
              <w:t>High-value datasets classified, owned and reviewed by data stewards.</w:t>
            </w:r>
          </w:p>
        </w:tc>
        <w:tc>
          <w:tcPr>
            <w:tcW w:type="dxa" w:w="2016"/>
            <w:vAlign w:val="top"/>
          </w:tcPr>
          <w:p>
            <w:pPr>
              <w:spacing w:after="0"/>
            </w:pPr>
            <w:r/>
            <w:r>
              <w:rPr>
                <w:b w:val="0"/>
                <w:sz w:val="16"/>
              </w:rPr>
              <w:t>Up</w:t>
            </w:r>
          </w:p>
        </w:tc>
      </w:tr>
      <w:tr>
        <w:trPr>
          <w:cantSplit/>
        </w:trPr>
        <w:tc>
          <w:tcPr>
            <w:tcW w:type="dxa" w:w="2304"/>
            <w:vAlign w:val="top"/>
          </w:tcPr>
          <w:p>
            <w:pPr>
              <w:spacing w:after="0"/>
            </w:pPr>
            <w:r/>
            <w:r>
              <w:rPr>
                <w:b w:val="0"/>
                <w:sz w:val="16"/>
              </w:rPr>
              <w:t>Auditability</w:t>
            </w:r>
          </w:p>
        </w:tc>
        <w:tc>
          <w:tcPr>
            <w:tcW w:type="dxa" w:w="6912"/>
            <w:vAlign w:val="top"/>
          </w:tcPr>
          <w:p>
            <w:pPr>
              <w:spacing w:after="0"/>
            </w:pPr>
            <w:r/>
            <w:r>
              <w:rPr>
                <w:b w:val="0"/>
                <w:sz w:val="16"/>
              </w:rPr>
              <w:t>Exchanges with complete requester, provider and policy audit records.</w:t>
            </w:r>
          </w:p>
        </w:tc>
        <w:tc>
          <w:tcPr>
            <w:tcW w:type="dxa" w:w="2016"/>
            <w:vAlign w:val="top"/>
          </w:tcPr>
          <w:p>
            <w:pPr>
              <w:spacing w:after="0"/>
            </w:pPr>
            <w:r/>
            <w:r>
              <w:rPr>
                <w:b w:val="0"/>
                <w:sz w:val="16"/>
              </w:rPr>
              <w:t>Up to 100%</w:t>
            </w:r>
          </w:p>
        </w:tc>
      </w:tr>
      <w:tr>
        <w:trPr>
          <w:cantSplit/>
        </w:trPr>
        <w:tc>
          <w:tcPr>
            <w:tcW w:type="dxa" w:w="2304"/>
            <w:vAlign w:val="top"/>
          </w:tcPr>
          <w:p>
            <w:pPr>
              <w:spacing w:after="0"/>
            </w:pPr>
            <w:r/>
            <w:r>
              <w:rPr>
                <w:b w:val="0"/>
                <w:sz w:val="16"/>
              </w:rPr>
              <w:t>Minimisation</w:t>
            </w:r>
          </w:p>
        </w:tc>
        <w:tc>
          <w:tcPr>
            <w:tcW w:type="dxa" w:w="6912"/>
            <w:vAlign w:val="top"/>
          </w:tcPr>
          <w:p>
            <w:pPr>
              <w:spacing w:after="0"/>
            </w:pPr>
            <w:r/>
            <w:r>
              <w:rPr>
                <w:b w:val="0"/>
                <w:sz w:val="16"/>
              </w:rPr>
              <w:t>Personal-data requests fulfilled with minimal response, yes/no assertion or selective disclosure.</w:t>
            </w:r>
          </w:p>
        </w:tc>
        <w:tc>
          <w:tcPr>
            <w:tcW w:type="dxa" w:w="2016"/>
            <w:vAlign w:val="top"/>
          </w:tcPr>
          <w:p>
            <w:pPr>
              <w:spacing w:after="0"/>
            </w:pPr>
            <w:r/>
            <w:r>
              <w:rPr>
                <w:b w:val="0"/>
                <w:sz w:val="16"/>
              </w:rPr>
              <w:t>Up</w:t>
            </w:r>
          </w:p>
        </w:tc>
      </w:tr>
      <w:tr>
        <w:trPr>
          <w:cantSplit/>
        </w:trPr>
        <w:tc>
          <w:tcPr>
            <w:tcW w:type="dxa" w:w="2304"/>
            <w:vAlign w:val="top"/>
          </w:tcPr>
          <w:p>
            <w:pPr>
              <w:spacing w:after="0"/>
            </w:pPr>
            <w:r/>
            <w:r>
              <w:rPr>
                <w:b w:val="0"/>
                <w:sz w:val="16"/>
              </w:rPr>
              <w:t>Reliability</w:t>
            </w:r>
          </w:p>
        </w:tc>
        <w:tc>
          <w:tcPr>
            <w:tcW w:type="dxa" w:w="6912"/>
            <w:vAlign w:val="top"/>
          </w:tcPr>
          <w:p>
            <w:pPr>
              <w:spacing w:after="0"/>
            </w:pPr>
            <w:r/>
            <w:r>
              <w:rPr>
                <w:b w:val="0"/>
                <w:sz w:val="16"/>
              </w:rPr>
              <w:t>Trust Node uptime, service SLO attainment and outage continuity drill success.</w:t>
            </w:r>
          </w:p>
        </w:tc>
        <w:tc>
          <w:tcPr>
            <w:tcW w:type="dxa" w:w="2016"/>
            <w:vAlign w:val="top"/>
          </w:tcPr>
          <w:p>
            <w:pPr>
              <w:spacing w:after="0"/>
            </w:pPr>
            <w:r/>
            <w:r>
              <w:rPr>
                <w:b w:val="0"/>
                <w:sz w:val="16"/>
              </w:rPr>
              <w:t>Up</w:t>
            </w:r>
          </w:p>
        </w:tc>
      </w:tr>
      <w:tr>
        <w:trPr>
          <w:cantSplit/>
        </w:trPr>
        <w:tc>
          <w:tcPr>
            <w:tcW w:type="dxa" w:w="2304"/>
            <w:vAlign w:val="top"/>
          </w:tcPr>
          <w:p>
            <w:pPr>
              <w:spacing w:after="0"/>
            </w:pPr>
            <w:r/>
            <w:r>
              <w:rPr>
                <w:b w:val="0"/>
                <w:sz w:val="16"/>
              </w:rPr>
              <w:t>Portability</w:t>
            </w:r>
          </w:p>
        </w:tc>
        <w:tc>
          <w:tcPr>
            <w:tcW w:type="dxa" w:w="6912"/>
            <w:vAlign w:val="top"/>
          </w:tcPr>
          <w:p>
            <w:pPr>
              <w:spacing w:after="0"/>
            </w:pPr>
            <w:r/>
            <w:r>
              <w:rPr>
                <w:b w:val="0"/>
                <w:sz w:val="16"/>
              </w:rPr>
              <w:t>Certified clouds/environments where BTX deploys without core code change.</w:t>
            </w:r>
          </w:p>
        </w:tc>
        <w:tc>
          <w:tcPr>
            <w:tcW w:type="dxa" w:w="2016"/>
            <w:vAlign w:val="top"/>
          </w:tcPr>
          <w:p>
            <w:pPr>
              <w:spacing w:after="0"/>
            </w:pPr>
            <w:r/>
            <w:r>
              <w:rPr>
                <w:b w:val="0"/>
                <w:sz w:val="16"/>
              </w:rPr>
              <w:t>Up</w:t>
            </w:r>
          </w:p>
        </w:tc>
      </w:tr>
      <w:tr>
        <w:trPr>
          <w:cantSplit/>
        </w:trPr>
        <w:tc>
          <w:tcPr>
            <w:tcW w:type="dxa" w:w="2304"/>
            <w:vAlign w:val="top"/>
          </w:tcPr>
          <w:p>
            <w:pPr>
              <w:spacing w:after="0"/>
            </w:pPr>
            <w:r/>
            <w:r>
              <w:rPr>
                <w:b w:val="0"/>
                <w:sz w:val="16"/>
              </w:rPr>
              <w:t>Security</w:t>
            </w:r>
          </w:p>
        </w:tc>
        <w:tc>
          <w:tcPr>
            <w:tcW w:type="dxa" w:w="6912"/>
            <w:vAlign w:val="top"/>
          </w:tcPr>
          <w:p>
            <w:pPr>
              <w:spacing w:after="0"/>
            </w:pPr>
            <w:r/>
            <w:r>
              <w:rPr>
                <w:b w:val="0"/>
                <w:sz w:val="16"/>
              </w:rPr>
              <w:t>Certificate hygiene, revocation time, incident response time and policy violation closure.</w:t>
            </w:r>
          </w:p>
        </w:tc>
        <w:tc>
          <w:tcPr>
            <w:tcW w:type="dxa" w:w="2016"/>
            <w:vAlign w:val="top"/>
          </w:tcPr>
          <w:p>
            <w:pPr>
              <w:spacing w:after="0"/>
            </w:pPr>
            <w:r/>
            <w:r>
              <w:rPr>
                <w:b w:val="0"/>
                <w:sz w:val="16"/>
              </w:rPr>
              <w:t>Improve</w:t>
            </w:r>
          </w:p>
        </w:tc>
      </w:tr>
      <w:tr>
        <w:trPr>
          <w:cantSplit/>
        </w:trPr>
        <w:tc>
          <w:tcPr>
            <w:tcW w:type="dxa" w:w="2304"/>
            <w:vAlign w:val="top"/>
          </w:tcPr>
          <w:p>
            <w:pPr>
              <w:spacing w:after="0"/>
            </w:pPr>
            <w:r/>
            <w:r>
              <w:rPr>
                <w:b w:val="0"/>
                <w:sz w:val="16"/>
              </w:rPr>
              <w:t>Adoption</w:t>
            </w:r>
          </w:p>
        </w:tc>
        <w:tc>
          <w:tcPr>
            <w:tcW w:type="dxa" w:w="6912"/>
            <w:vAlign w:val="top"/>
          </w:tcPr>
          <w:p>
            <w:pPr>
              <w:spacing w:after="0"/>
            </w:pPr>
            <w:r/>
            <w:r>
              <w:rPr>
                <w:b w:val="0"/>
                <w:sz w:val="16"/>
              </w:rPr>
              <w:t>Active members, published services, approved purposes and monthly exchange volume.</w:t>
            </w:r>
          </w:p>
        </w:tc>
        <w:tc>
          <w:tcPr>
            <w:tcW w:type="dxa" w:w="2016"/>
            <w:vAlign w:val="top"/>
          </w:tcPr>
          <w:p>
            <w:pPr>
              <w:spacing w:after="0"/>
            </w:pPr>
            <w:r/>
            <w:r>
              <w:rPr>
                <w:b w:val="0"/>
                <w:sz w:val="16"/>
              </w:rPr>
              <w:t>Up</w:t>
            </w:r>
          </w:p>
        </w:tc>
      </w:tr>
    </w:tbl>
    <w:p>
      <w:pPr>
        <w:pStyle w:val="Heading1"/>
      </w:pPr>
      <w:r>
        <w:t>19. Risk register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074"/>
        <w:gridCol w:w="2074"/>
        <w:gridCol w:w="2074"/>
        <w:gridCol w:w="2074"/>
        <w:gridCol w:w="2074"/>
      </w:tblGrid>
      <w:tr>
        <w:trPr>
          <w:cantSplit/>
          <w:tblHeader/>
        </w:trPr>
        <w:tc>
          <w:tcPr>
            <w:tcW w:type="dxa" w:w="720"/>
            <w:vAlign w:val="top"/>
            <w:shd w:fill="17365D"/>
          </w:tcPr>
          <w:p>
            <w:pPr>
              <w:spacing w:after="0"/>
            </w:pPr>
            <w:r/>
            <w:r>
              <w:rPr>
                <w:b/>
                <w:color w:val="FFFFFF"/>
                <w:sz w:val="13"/>
              </w:rPr>
              <w:t>ID</w:t>
            </w:r>
          </w:p>
        </w:tc>
        <w:tc>
          <w:tcPr>
            <w:tcW w:type="dxa" w:w="1872"/>
            <w:vAlign w:val="top"/>
            <w:shd w:fill="17365D"/>
          </w:tcPr>
          <w:p>
            <w:pPr>
              <w:spacing w:after="0"/>
            </w:pPr>
            <w:r/>
            <w:r>
              <w:rPr>
                <w:b/>
                <w:color w:val="FFFFFF"/>
                <w:sz w:val="13"/>
              </w:rPr>
              <w:t>Risk</w:t>
            </w:r>
          </w:p>
        </w:tc>
        <w:tc>
          <w:tcPr>
            <w:tcW w:type="dxa" w:w="2880"/>
            <w:vAlign w:val="top"/>
            <w:shd w:fill="17365D"/>
          </w:tcPr>
          <w:p>
            <w:pPr>
              <w:spacing w:after="0"/>
            </w:pPr>
            <w:r/>
            <w:r>
              <w:rPr>
                <w:b/>
                <w:color w:val="FFFFFF"/>
                <w:sz w:val="13"/>
              </w:rPr>
              <w:t>Description</w:t>
            </w:r>
          </w:p>
        </w:tc>
        <w:tc>
          <w:tcPr>
            <w:tcW w:type="dxa" w:w="1008"/>
            <w:vAlign w:val="top"/>
            <w:shd w:fill="17365D"/>
          </w:tcPr>
          <w:p>
            <w:pPr>
              <w:spacing w:after="0"/>
            </w:pPr>
            <w:r/>
            <w:r>
              <w:rPr>
                <w:b/>
                <w:color w:val="FFFFFF"/>
                <w:sz w:val="13"/>
              </w:rPr>
              <w:t>Severity</w:t>
            </w:r>
          </w:p>
        </w:tc>
        <w:tc>
          <w:tcPr>
            <w:tcW w:type="dxa" w:w="4320"/>
            <w:vAlign w:val="top"/>
            <w:shd w:fill="17365D"/>
          </w:tcPr>
          <w:p>
            <w:pPr>
              <w:spacing w:after="0"/>
            </w:pPr>
            <w:r/>
            <w:r>
              <w:rPr>
                <w:b/>
                <w:color w:val="FFFFFF"/>
                <w:sz w:val="13"/>
              </w:rPr>
              <w:t>Mitigation</w:t>
            </w:r>
          </w:p>
        </w:tc>
      </w:tr>
      <w:tr>
        <w:trPr>
          <w:cantSplit/>
        </w:trPr>
        <w:tc>
          <w:tcPr>
            <w:tcW w:type="dxa" w:w="720"/>
            <w:vAlign w:val="top"/>
          </w:tcPr>
          <w:p>
            <w:pPr>
              <w:spacing w:after="0"/>
            </w:pPr>
            <w:r/>
            <w:r>
              <w:rPr>
                <w:b w:val="0"/>
                <w:sz w:val="13"/>
              </w:rPr>
              <w:t>R01</w:t>
            </w:r>
          </w:p>
        </w:tc>
        <w:tc>
          <w:tcPr>
            <w:tcW w:type="dxa" w:w="1872"/>
            <w:vAlign w:val="top"/>
          </w:tcPr>
          <w:p>
            <w:pPr>
              <w:spacing w:after="0"/>
            </w:pPr>
            <w:r/>
            <w:r>
              <w:rPr>
                <w:b w:val="0"/>
                <w:sz w:val="13"/>
              </w:rPr>
              <w:t>Centralisation drift</w:t>
            </w:r>
          </w:p>
        </w:tc>
        <w:tc>
          <w:tcPr>
            <w:tcW w:type="dxa" w:w="2880"/>
            <w:vAlign w:val="top"/>
          </w:tcPr>
          <w:p>
            <w:pPr>
              <w:spacing w:after="0"/>
            </w:pPr>
            <w:r/>
            <w:r>
              <w:rPr>
                <w:b w:val="0"/>
                <w:sz w:val="13"/>
              </w:rPr>
              <w:t>Pressure to store source data centrally.</w:t>
            </w:r>
          </w:p>
        </w:tc>
        <w:tc>
          <w:tcPr>
            <w:tcW w:type="dxa" w:w="1008"/>
            <w:vAlign w:val="top"/>
          </w:tcPr>
          <w:p>
            <w:pPr>
              <w:spacing w:after="0"/>
            </w:pPr>
            <w:r/>
            <w:r>
              <w:rPr>
                <w:b w:val="0"/>
                <w:sz w:val="13"/>
              </w:rPr>
              <w:t>High</w:t>
            </w:r>
          </w:p>
        </w:tc>
        <w:tc>
          <w:tcPr>
            <w:tcW w:type="dxa" w:w="4320"/>
            <w:vAlign w:val="top"/>
          </w:tcPr>
          <w:p>
            <w:pPr>
              <w:spacing w:after="0"/>
            </w:pPr>
            <w:r/>
            <w:r>
              <w:rPr>
                <w:b w:val="0"/>
                <w:sz w:val="13"/>
              </w:rPr>
              <w:t>Mandate no master-data replication; audit metadata only; architecture review gate.</w:t>
            </w:r>
          </w:p>
        </w:tc>
      </w:tr>
      <w:tr>
        <w:trPr>
          <w:cantSplit/>
        </w:trPr>
        <w:tc>
          <w:tcPr>
            <w:tcW w:type="dxa" w:w="720"/>
            <w:vAlign w:val="top"/>
          </w:tcPr>
          <w:p>
            <w:pPr>
              <w:spacing w:after="0"/>
            </w:pPr>
            <w:r/>
            <w:r>
              <w:rPr>
                <w:b w:val="0"/>
                <w:sz w:val="13"/>
              </w:rPr>
              <w:t>R02</w:t>
            </w:r>
          </w:p>
        </w:tc>
        <w:tc>
          <w:tcPr>
            <w:tcW w:type="dxa" w:w="1872"/>
            <w:vAlign w:val="top"/>
          </w:tcPr>
          <w:p>
            <w:pPr>
              <w:spacing w:after="0"/>
            </w:pPr>
            <w:r/>
            <w:r>
              <w:rPr>
                <w:b w:val="0"/>
                <w:sz w:val="13"/>
              </w:rPr>
              <w:t>Vendor lock-in</w:t>
            </w:r>
          </w:p>
        </w:tc>
        <w:tc>
          <w:tcPr>
            <w:tcW w:type="dxa" w:w="2880"/>
            <w:vAlign w:val="top"/>
          </w:tcPr>
          <w:p>
            <w:pPr>
              <w:spacing w:after="0"/>
            </w:pPr>
            <w:r/>
            <w:r>
              <w:rPr>
                <w:b w:val="0"/>
                <w:sz w:val="13"/>
              </w:rPr>
              <w:t>Cloud-specific services embedded in business logic.</w:t>
            </w:r>
          </w:p>
        </w:tc>
        <w:tc>
          <w:tcPr>
            <w:tcW w:type="dxa" w:w="1008"/>
            <w:vAlign w:val="top"/>
          </w:tcPr>
          <w:p>
            <w:pPr>
              <w:spacing w:after="0"/>
            </w:pPr>
            <w:r/>
            <w:r>
              <w:rPr>
                <w:b w:val="0"/>
                <w:sz w:val="13"/>
              </w:rPr>
              <w:t>High</w:t>
            </w:r>
          </w:p>
        </w:tc>
        <w:tc>
          <w:tcPr>
            <w:tcW w:type="dxa" w:w="4320"/>
            <w:vAlign w:val="top"/>
          </w:tcPr>
          <w:p>
            <w:pPr>
              <w:spacing w:after="0"/>
            </w:pPr>
            <w:r/>
            <w:r>
              <w:rPr>
                <w:b w:val="0"/>
                <w:sz w:val="13"/>
              </w:rPr>
              <w:t>Portable runtime, adapter layer, conformance tests and exit architecture.</w:t>
            </w:r>
          </w:p>
        </w:tc>
      </w:tr>
      <w:tr>
        <w:trPr>
          <w:cantSplit/>
        </w:trPr>
        <w:tc>
          <w:tcPr>
            <w:tcW w:type="dxa" w:w="720"/>
            <w:vAlign w:val="top"/>
          </w:tcPr>
          <w:p>
            <w:pPr>
              <w:spacing w:after="0"/>
            </w:pPr>
            <w:r/>
            <w:r>
              <w:rPr>
                <w:b w:val="0"/>
                <w:sz w:val="13"/>
              </w:rPr>
              <w:t>R03</w:t>
            </w:r>
          </w:p>
        </w:tc>
        <w:tc>
          <w:tcPr>
            <w:tcW w:type="dxa" w:w="1872"/>
            <w:vAlign w:val="top"/>
          </w:tcPr>
          <w:p>
            <w:pPr>
              <w:spacing w:after="0"/>
            </w:pPr>
            <w:r/>
            <w:r>
              <w:rPr>
                <w:b w:val="0"/>
                <w:sz w:val="13"/>
              </w:rPr>
              <w:t>Weak governance adoption</w:t>
            </w:r>
          </w:p>
        </w:tc>
        <w:tc>
          <w:tcPr>
            <w:tcW w:type="dxa" w:w="2880"/>
            <w:vAlign w:val="top"/>
          </w:tcPr>
          <w:p>
            <w:pPr>
              <w:spacing w:after="0"/>
            </w:pPr>
            <w:r/>
            <w:r>
              <w:rPr>
                <w:b w:val="0"/>
                <w:sz w:val="13"/>
              </w:rPr>
              <w:t>Departments onboard technically but not operationally.</w:t>
            </w:r>
          </w:p>
        </w:tc>
        <w:tc>
          <w:tcPr>
            <w:tcW w:type="dxa" w:w="1008"/>
            <w:vAlign w:val="top"/>
          </w:tcPr>
          <w:p>
            <w:pPr>
              <w:spacing w:after="0"/>
            </w:pPr>
            <w:r/>
            <w:r>
              <w:rPr>
                <w:b w:val="0"/>
                <w:sz w:val="13"/>
              </w:rPr>
              <w:t>High</w:t>
            </w:r>
          </w:p>
        </w:tc>
        <w:tc>
          <w:tcPr>
            <w:tcW w:type="dxa" w:w="4320"/>
            <w:vAlign w:val="top"/>
          </w:tcPr>
          <w:p>
            <w:pPr>
              <w:spacing w:after="0"/>
            </w:pPr>
            <w:r/>
            <w:r>
              <w:rPr>
                <w:b w:val="0"/>
                <w:sz w:val="13"/>
              </w:rPr>
              <w:t>Require steward, classification, SLA and approval workflow before production.</w:t>
            </w:r>
          </w:p>
        </w:tc>
      </w:tr>
      <w:tr>
        <w:trPr>
          <w:cantSplit/>
        </w:trPr>
        <w:tc>
          <w:tcPr>
            <w:tcW w:type="dxa" w:w="720"/>
            <w:vAlign w:val="top"/>
          </w:tcPr>
          <w:p>
            <w:pPr>
              <w:spacing w:after="0"/>
            </w:pPr>
            <w:r/>
            <w:r>
              <w:rPr>
                <w:b w:val="0"/>
                <w:sz w:val="13"/>
              </w:rPr>
              <w:t>R04</w:t>
            </w:r>
          </w:p>
        </w:tc>
        <w:tc>
          <w:tcPr>
            <w:tcW w:type="dxa" w:w="1872"/>
            <w:vAlign w:val="top"/>
          </w:tcPr>
          <w:p>
            <w:pPr>
              <w:spacing w:after="0"/>
            </w:pPr>
            <w:r/>
            <w:r>
              <w:rPr>
                <w:b w:val="0"/>
                <w:sz w:val="13"/>
              </w:rPr>
              <w:t>Consent misuse</w:t>
            </w:r>
          </w:p>
        </w:tc>
        <w:tc>
          <w:tcPr>
            <w:tcW w:type="dxa" w:w="2880"/>
            <w:vAlign w:val="top"/>
          </w:tcPr>
          <w:p>
            <w:pPr>
              <w:spacing w:after="0"/>
            </w:pPr>
            <w:r/>
            <w:r>
              <w:rPr>
                <w:b w:val="0"/>
                <w:sz w:val="13"/>
              </w:rPr>
              <w:t>Consent treated as a universal answer.</w:t>
            </w:r>
          </w:p>
        </w:tc>
        <w:tc>
          <w:tcPr>
            <w:tcW w:type="dxa" w:w="1008"/>
            <w:vAlign w:val="top"/>
          </w:tcPr>
          <w:p>
            <w:pPr>
              <w:spacing w:after="0"/>
            </w:pPr>
            <w:r/>
            <w:r>
              <w:rPr>
                <w:b w:val="0"/>
                <w:sz w:val="13"/>
              </w:rPr>
              <w:t>High</w:t>
            </w:r>
          </w:p>
        </w:tc>
        <w:tc>
          <w:tcPr>
            <w:tcW w:type="dxa" w:w="4320"/>
            <w:vAlign w:val="top"/>
          </w:tcPr>
          <w:p>
            <w:pPr>
              <w:spacing w:after="0"/>
            </w:pPr>
            <w:r/>
            <w:r>
              <w:rPr>
                <w:b w:val="0"/>
                <w:sz w:val="13"/>
              </w:rPr>
              <w:t>Purpose, lawful basis, notice, minimisation, grievance and audit for all flows.</w:t>
            </w:r>
          </w:p>
        </w:tc>
      </w:tr>
      <w:tr>
        <w:trPr>
          <w:cantSplit/>
        </w:trPr>
        <w:tc>
          <w:tcPr>
            <w:tcW w:type="dxa" w:w="720"/>
            <w:vAlign w:val="top"/>
          </w:tcPr>
          <w:p>
            <w:pPr>
              <w:spacing w:after="0"/>
            </w:pPr>
            <w:r/>
            <w:r>
              <w:rPr>
                <w:b w:val="0"/>
                <w:sz w:val="13"/>
              </w:rPr>
              <w:t>R05</w:t>
            </w:r>
          </w:p>
        </w:tc>
        <w:tc>
          <w:tcPr>
            <w:tcW w:type="dxa" w:w="1872"/>
            <w:vAlign w:val="top"/>
          </w:tcPr>
          <w:p>
            <w:pPr>
              <w:spacing w:after="0"/>
            </w:pPr>
            <w:r/>
            <w:r>
              <w:rPr>
                <w:b w:val="0"/>
                <w:sz w:val="13"/>
              </w:rPr>
              <w:t>Over-sharing</w:t>
            </w:r>
          </w:p>
        </w:tc>
        <w:tc>
          <w:tcPr>
            <w:tcW w:type="dxa" w:w="2880"/>
            <w:vAlign w:val="top"/>
          </w:tcPr>
          <w:p>
            <w:pPr>
              <w:spacing w:after="0"/>
            </w:pPr>
            <w:r/>
            <w:r>
              <w:rPr>
                <w:b w:val="0"/>
                <w:sz w:val="13"/>
              </w:rPr>
              <w:t>Consumers ask for full records rather than assertions.</w:t>
            </w:r>
          </w:p>
        </w:tc>
        <w:tc>
          <w:tcPr>
            <w:tcW w:type="dxa" w:w="1008"/>
            <w:vAlign w:val="top"/>
          </w:tcPr>
          <w:p>
            <w:pPr>
              <w:spacing w:after="0"/>
            </w:pPr>
            <w:r/>
            <w:r>
              <w:rPr>
                <w:b w:val="0"/>
                <w:sz w:val="13"/>
              </w:rPr>
              <w:t>High</w:t>
            </w:r>
          </w:p>
        </w:tc>
        <w:tc>
          <w:tcPr>
            <w:tcW w:type="dxa" w:w="4320"/>
            <w:vAlign w:val="top"/>
          </w:tcPr>
          <w:p>
            <w:pPr>
              <w:spacing w:after="0"/>
            </w:pPr>
            <w:r/>
            <w:r>
              <w:rPr>
                <w:b w:val="0"/>
                <w:sz w:val="13"/>
              </w:rPr>
              <w:t>Provider-side minimisation and response shaping by policy.</w:t>
            </w:r>
          </w:p>
        </w:tc>
      </w:tr>
      <w:tr>
        <w:trPr>
          <w:cantSplit/>
        </w:trPr>
        <w:tc>
          <w:tcPr>
            <w:tcW w:type="dxa" w:w="720"/>
            <w:vAlign w:val="top"/>
          </w:tcPr>
          <w:p>
            <w:pPr>
              <w:spacing w:after="0"/>
            </w:pPr>
            <w:r/>
            <w:r>
              <w:rPr>
                <w:b w:val="0"/>
                <w:sz w:val="13"/>
              </w:rPr>
              <w:t>R06</w:t>
            </w:r>
          </w:p>
        </w:tc>
        <w:tc>
          <w:tcPr>
            <w:tcW w:type="dxa" w:w="1872"/>
            <w:vAlign w:val="top"/>
          </w:tcPr>
          <w:p>
            <w:pPr>
              <w:spacing w:after="0"/>
            </w:pPr>
            <w:r/>
            <w:r>
              <w:rPr>
                <w:b w:val="0"/>
                <w:sz w:val="13"/>
              </w:rPr>
              <w:t>Audit overload</w:t>
            </w:r>
          </w:p>
        </w:tc>
        <w:tc>
          <w:tcPr>
            <w:tcW w:type="dxa" w:w="2880"/>
            <w:vAlign w:val="top"/>
          </w:tcPr>
          <w:p>
            <w:pPr>
              <w:spacing w:after="0"/>
            </w:pPr>
            <w:r/>
            <w:r>
              <w:rPr>
                <w:b w:val="0"/>
                <w:sz w:val="13"/>
              </w:rPr>
              <w:t>Logs exist but are not reviewed.</w:t>
            </w:r>
          </w:p>
        </w:tc>
        <w:tc>
          <w:tcPr>
            <w:tcW w:type="dxa" w:w="1008"/>
            <w:vAlign w:val="top"/>
          </w:tcPr>
          <w:p>
            <w:pPr>
              <w:spacing w:after="0"/>
            </w:pPr>
            <w:r/>
            <w:r>
              <w:rPr>
                <w:b w:val="0"/>
                <w:sz w:val="13"/>
              </w:rPr>
              <w:t>Medium</w:t>
            </w:r>
          </w:p>
        </w:tc>
        <w:tc>
          <w:tcPr>
            <w:tcW w:type="dxa" w:w="4320"/>
            <w:vAlign w:val="top"/>
          </w:tcPr>
          <w:p>
            <w:pPr>
              <w:spacing w:after="0"/>
            </w:pPr>
            <w:r/>
            <w:r>
              <w:rPr>
                <w:b w:val="0"/>
                <w:sz w:val="13"/>
              </w:rPr>
              <w:t>Risk scoring, dashboards, scheduled reviews, anomaly alerts and oversight workflows.</w:t>
            </w:r>
          </w:p>
        </w:tc>
      </w:tr>
      <w:tr>
        <w:trPr>
          <w:cantSplit/>
        </w:trPr>
        <w:tc>
          <w:tcPr>
            <w:tcW w:type="dxa" w:w="720"/>
            <w:vAlign w:val="top"/>
          </w:tcPr>
          <w:p>
            <w:pPr>
              <w:spacing w:after="0"/>
            </w:pPr>
            <w:r/>
            <w:r>
              <w:rPr>
                <w:b w:val="0"/>
                <w:sz w:val="13"/>
              </w:rPr>
              <w:t>R07</w:t>
            </w:r>
          </w:p>
        </w:tc>
        <w:tc>
          <w:tcPr>
            <w:tcW w:type="dxa" w:w="1872"/>
            <w:vAlign w:val="top"/>
          </w:tcPr>
          <w:p>
            <w:pPr>
              <w:spacing w:after="0"/>
            </w:pPr>
            <w:r/>
            <w:r>
              <w:rPr>
                <w:b w:val="0"/>
                <w:sz w:val="13"/>
              </w:rPr>
              <w:t>Legacy integration delay</w:t>
            </w:r>
          </w:p>
        </w:tc>
        <w:tc>
          <w:tcPr>
            <w:tcW w:type="dxa" w:w="2880"/>
            <w:vAlign w:val="top"/>
          </w:tcPr>
          <w:p>
            <w:pPr>
              <w:spacing w:after="0"/>
            </w:pPr>
            <w:r/>
            <w:r>
              <w:rPr>
                <w:b w:val="0"/>
                <w:sz w:val="13"/>
              </w:rPr>
              <w:t>Old systems cannot support modern APIs.</w:t>
            </w:r>
          </w:p>
        </w:tc>
        <w:tc>
          <w:tcPr>
            <w:tcW w:type="dxa" w:w="1008"/>
            <w:vAlign w:val="top"/>
          </w:tcPr>
          <w:p>
            <w:pPr>
              <w:spacing w:after="0"/>
            </w:pPr>
            <w:r/>
            <w:r>
              <w:rPr>
                <w:b w:val="0"/>
                <w:sz w:val="13"/>
              </w:rPr>
              <w:t>Medium</w:t>
            </w:r>
          </w:p>
        </w:tc>
        <w:tc>
          <w:tcPr>
            <w:tcW w:type="dxa" w:w="4320"/>
            <w:vAlign w:val="top"/>
          </w:tcPr>
          <w:p>
            <w:pPr>
              <w:spacing w:after="0"/>
            </w:pPr>
            <w:r/>
            <w:r>
              <w:rPr>
                <w:b w:val="0"/>
                <w:sz w:val="13"/>
              </w:rPr>
              <w:t>Adapter SDKs, wrappers, event/file bridge and staged migration.</w:t>
            </w:r>
          </w:p>
        </w:tc>
      </w:tr>
      <w:tr>
        <w:trPr>
          <w:cantSplit/>
        </w:trPr>
        <w:tc>
          <w:tcPr>
            <w:tcW w:type="dxa" w:w="720"/>
            <w:vAlign w:val="top"/>
          </w:tcPr>
          <w:p>
            <w:pPr>
              <w:spacing w:after="0"/>
            </w:pPr>
            <w:r/>
            <w:r>
              <w:rPr>
                <w:b w:val="0"/>
                <w:sz w:val="13"/>
              </w:rPr>
              <w:t>R08</w:t>
            </w:r>
          </w:p>
        </w:tc>
        <w:tc>
          <w:tcPr>
            <w:tcW w:type="dxa" w:w="1872"/>
            <w:vAlign w:val="top"/>
          </w:tcPr>
          <w:p>
            <w:pPr>
              <w:spacing w:after="0"/>
            </w:pPr>
            <w:r/>
            <w:r>
              <w:rPr>
                <w:b w:val="0"/>
                <w:sz w:val="13"/>
              </w:rPr>
              <w:t>Control-plane dependency</w:t>
            </w:r>
          </w:p>
        </w:tc>
        <w:tc>
          <w:tcPr>
            <w:tcW w:type="dxa" w:w="2880"/>
            <w:vAlign w:val="top"/>
          </w:tcPr>
          <w:p>
            <w:pPr>
              <w:spacing w:after="0"/>
            </w:pPr>
            <w:r/>
            <w:r>
              <w:rPr>
                <w:b w:val="0"/>
                <w:sz w:val="13"/>
              </w:rPr>
              <w:t>Central outage blocks all exchange.</w:t>
            </w:r>
          </w:p>
        </w:tc>
        <w:tc>
          <w:tcPr>
            <w:tcW w:type="dxa" w:w="1008"/>
            <w:vAlign w:val="top"/>
          </w:tcPr>
          <w:p>
            <w:pPr>
              <w:spacing w:after="0"/>
            </w:pPr>
            <w:r/>
            <w:r>
              <w:rPr>
                <w:b w:val="0"/>
                <w:sz w:val="13"/>
              </w:rPr>
              <w:t>High</w:t>
            </w:r>
          </w:p>
        </w:tc>
        <w:tc>
          <w:tcPr>
            <w:tcW w:type="dxa" w:w="4320"/>
            <w:vAlign w:val="top"/>
          </w:tcPr>
          <w:p>
            <w:pPr>
              <w:spacing w:after="0"/>
            </w:pPr>
            <w:r/>
            <w:r>
              <w:rPr>
                <w:b w:val="0"/>
                <w:sz w:val="13"/>
              </w:rPr>
              <w:t>Cached signed configuration with TTL and emergency revocation channel.</w:t>
            </w:r>
          </w:p>
        </w:tc>
      </w:tr>
      <w:tr>
        <w:trPr>
          <w:cantSplit/>
        </w:trPr>
        <w:tc>
          <w:tcPr>
            <w:tcW w:type="dxa" w:w="720"/>
            <w:vAlign w:val="top"/>
          </w:tcPr>
          <w:p>
            <w:pPr>
              <w:spacing w:after="0"/>
            </w:pPr>
            <w:r/>
            <w:r>
              <w:rPr>
                <w:b w:val="0"/>
                <w:sz w:val="13"/>
              </w:rPr>
              <w:t>R09</w:t>
            </w:r>
          </w:p>
        </w:tc>
        <w:tc>
          <w:tcPr>
            <w:tcW w:type="dxa" w:w="1872"/>
            <w:vAlign w:val="top"/>
          </w:tcPr>
          <w:p>
            <w:pPr>
              <w:spacing w:after="0"/>
            </w:pPr>
            <w:r/>
            <w:r>
              <w:rPr>
                <w:b w:val="0"/>
                <w:sz w:val="13"/>
              </w:rPr>
              <w:t>Security compromise</w:t>
            </w:r>
          </w:p>
        </w:tc>
        <w:tc>
          <w:tcPr>
            <w:tcW w:type="dxa" w:w="2880"/>
            <w:vAlign w:val="top"/>
          </w:tcPr>
          <w:p>
            <w:pPr>
              <w:spacing w:after="0"/>
            </w:pPr>
            <w:r/>
            <w:r>
              <w:rPr>
                <w:b w:val="0"/>
                <w:sz w:val="13"/>
              </w:rPr>
              <w:t>Node key or certificate compromised.</w:t>
            </w:r>
          </w:p>
        </w:tc>
        <w:tc>
          <w:tcPr>
            <w:tcW w:type="dxa" w:w="1008"/>
            <w:vAlign w:val="top"/>
          </w:tcPr>
          <w:p>
            <w:pPr>
              <w:spacing w:after="0"/>
            </w:pPr>
            <w:r/>
            <w:r>
              <w:rPr>
                <w:b w:val="0"/>
                <w:sz w:val="13"/>
              </w:rPr>
              <w:t>High</w:t>
            </w:r>
          </w:p>
        </w:tc>
        <w:tc>
          <w:tcPr>
            <w:tcW w:type="dxa" w:w="4320"/>
            <w:vAlign w:val="top"/>
          </w:tcPr>
          <w:p>
            <w:pPr>
              <w:spacing w:after="0"/>
            </w:pPr>
            <w:r/>
            <w:r>
              <w:rPr>
                <w:b w:val="0"/>
                <w:sz w:val="13"/>
              </w:rPr>
              <w:t>HSM/KMS, rotation, revocation, incident playbook and certificate hygiene dashboards.</w:t>
            </w:r>
          </w:p>
        </w:tc>
      </w:tr>
      <w:tr>
        <w:trPr>
          <w:cantSplit/>
        </w:trPr>
        <w:tc>
          <w:tcPr>
            <w:tcW w:type="dxa" w:w="720"/>
            <w:vAlign w:val="top"/>
          </w:tcPr>
          <w:p>
            <w:pPr>
              <w:spacing w:after="0"/>
            </w:pPr>
            <w:r/>
            <w:r>
              <w:rPr>
                <w:b w:val="0"/>
                <w:sz w:val="13"/>
              </w:rPr>
              <w:t>R10</w:t>
            </w:r>
          </w:p>
        </w:tc>
        <w:tc>
          <w:tcPr>
            <w:tcW w:type="dxa" w:w="1872"/>
            <w:vAlign w:val="top"/>
          </w:tcPr>
          <w:p>
            <w:pPr>
              <w:spacing w:after="0"/>
            </w:pPr>
            <w:r/>
            <w:r>
              <w:rPr>
                <w:b w:val="0"/>
                <w:sz w:val="13"/>
              </w:rPr>
              <w:t>Policy inconsistency</w:t>
            </w:r>
          </w:p>
        </w:tc>
        <w:tc>
          <w:tcPr>
            <w:tcW w:type="dxa" w:w="2880"/>
            <w:vAlign w:val="top"/>
          </w:tcPr>
          <w:p>
            <w:pPr>
              <w:spacing w:after="0"/>
            </w:pPr>
            <w:r/>
            <w:r>
              <w:rPr>
                <w:b w:val="0"/>
                <w:sz w:val="13"/>
              </w:rPr>
              <w:t>Purpose codes diverge across domains/states.</w:t>
            </w:r>
          </w:p>
        </w:tc>
        <w:tc>
          <w:tcPr>
            <w:tcW w:type="dxa" w:w="1008"/>
            <w:vAlign w:val="top"/>
          </w:tcPr>
          <w:p>
            <w:pPr>
              <w:spacing w:after="0"/>
            </w:pPr>
            <w:r/>
            <w:r>
              <w:rPr>
                <w:b w:val="0"/>
                <w:sz w:val="13"/>
              </w:rPr>
              <w:t>Medium</w:t>
            </w:r>
          </w:p>
        </w:tc>
        <w:tc>
          <w:tcPr>
            <w:tcW w:type="dxa" w:w="4320"/>
            <w:vAlign w:val="top"/>
          </w:tcPr>
          <w:p>
            <w:pPr>
              <w:spacing w:after="0"/>
            </w:pPr>
            <w:r/>
            <w:r>
              <w:rPr>
                <w:b w:val="0"/>
                <w:sz w:val="13"/>
              </w:rPr>
              <w:t>Domain councils, national purpose taxonomy and policy test repository.</w:t>
            </w:r>
          </w:p>
        </w:tc>
      </w:tr>
    </w:tbl>
    <w:p>
      <w:pPr>
        <w:pStyle w:val="Heading1"/>
      </w:pPr>
      <w:r>
        <w:t>20. Acceptance criteria</w:t>
      </w:r>
    </w:p>
    <w:p>
      <w:pPr>
        <w:pStyle w:val="ListBullet"/>
        <w:spacing w:after="40"/>
      </w:pPr>
      <w:r>
        <w:t>Reference architecture approved by policy, architecture, security, privacy and operations stakeholders.</w:t>
      </w:r>
    </w:p>
    <w:p>
      <w:pPr>
        <w:pStyle w:val="ListBullet"/>
        <w:spacing w:after="40"/>
      </w:pPr>
      <w:r>
        <w:t>Control plane deploys on certified portable runtime with member, service, purpose, policy and audit modules.</w:t>
      </w:r>
    </w:p>
    <w:p>
      <w:pPr>
        <w:pStyle w:val="ListBullet"/>
        <w:spacing w:after="40"/>
      </w:pPr>
      <w:r>
        <w:t>Trust Node runtime passes mTLS, signing, timestamping, replay-protection and policy-enforcement tests.</w:t>
      </w:r>
    </w:p>
    <w:p>
      <w:pPr>
        <w:pStyle w:val="ListBullet"/>
        <w:spacing w:after="40"/>
      </w:pPr>
      <w:r>
        <w:t>Two different hosting environments pass deployment conformance without core code changes.</w:t>
      </w:r>
    </w:p>
    <w:p>
      <w:pPr>
        <w:pStyle w:val="ListBullet"/>
        <w:spacing w:after="40"/>
      </w:pPr>
      <w:r>
        <w:t>Provider-side minimisation works for full approved response, masked response and yes/no assertion.</w:t>
      </w:r>
    </w:p>
    <w:p>
      <w:pPr>
        <w:pStyle w:val="ListBullet"/>
        <w:spacing w:after="40"/>
      </w:pPr>
      <w:r>
        <w:t>AuditLedger produces immutable, searchable and reconciled audit records across requester and provider nodes.</w:t>
      </w:r>
    </w:p>
    <w:p>
      <w:pPr>
        <w:pStyle w:val="ListBullet"/>
        <w:spacing w:after="40"/>
      </w:pPr>
      <w:r>
        <w:t>Citizen-linked flow provides visible purpose, sharing history and grievance/correction route where applicable.</w:t>
      </w:r>
    </w:p>
    <w:p>
      <w:pPr>
        <w:pStyle w:val="ListBullet"/>
        <w:spacing w:after="40"/>
      </w:pPr>
      <w:r>
        <w:t>Control-plane outage drill confirms approved traffic continuity and emergency revocation behaviour.</w:t>
      </w:r>
    </w:p>
    <w:p>
      <w:pPr>
        <w:pStyle w:val="ListBullet"/>
        <w:spacing w:after="40"/>
      </w:pPr>
      <w:r>
        <w:t>Security incident drill confirms certificate revocation, node suspension and audit investigation workflow.</w:t>
      </w:r>
    </w:p>
    <w:p>
      <w:pPr>
        <w:pStyle w:val="ListBullet"/>
        <w:spacing w:after="40"/>
      </w:pPr>
      <w:r>
        <w:t>Operational playbook covers onboarding, publication, access request, revocation, incident response and periodic review.</w:t>
      </w:r>
    </w:p>
    <w:p>
      <w:pPr>
        <w:pStyle w:val="Heading1"/>
      </w:pPr>
      <w:r>
        <w:t>21. Procurement and implementation guardrails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cantSplit/>
          <w:tblHeader/>
        </w:trPr>
        <w:tc>
          <w:tcPr>
            <w:tcW w:type="dxa" w:w="3024"/>
            <w:vAlign w:val="top"/>
            <w:shd w:fill="17365D"/>
          </w:tcPr>
          <w:p>
            <w:pPr>
              <w:spacing w:after="0"/>
            </w:pPr>
            <w:r/>
            <w:r>
              <w:rPr>
                <w:b/>
                <w:color w:val="FFFFFF"/>
                <w:sz w:val="17"/>
              </w:rPr>
              <w:t>Guardrail</w:t>
            </w:r>
          </w:p>
        </w:tc>
        <w:tc>
          <w:tcPr>
            <w:tcW w:type="dxa" w:w="8208"/>
            <w:vAlign w:val="top"/>
            <w:shd w:fill="17365D"/>
          </w:tcPr>
          <w:p>
            <w:pPr>
              <w:spacing w:after="0"/>
            </w:pPr>
            <w:r/>
            <w:r>
              <w:rPr>
                <w:b/>
                <w:color w:val="FFFFFF"/>
                <w:sz w:val="17"/>
              </w:rPr>
              <w:t>Requirement</w:t>
            </w:r>
          </w:p>
        </w:tc>
      </w:tr>
      <w:tr>
        <w:trPr>
          <w:cantSplit/>
        </w:trPr>
        <w:tc>
          <w:tcPr>
            <w:tcW w:type="dxa" w:w="3024"/>
            <w:vAlign w:val="top"/>
          </w:tcPr>
          <w:p>
            <w:pPr>
              <w:spacing w:after="0"/>
            </w:pPr>
            <w:r/>
            <w:r>
              <w:rPr>
                <w:b w:val="0"/>
                <w:sz w:val="17"/>
              </w:rPr>
              <w:t>Capability-based procurement</w:t>
            </w:r>
          </w:p>
        </w:tc>
        <w:tc>
          <w:tcPr>
            <w:tcW w:type="dxa" w:w="8208"/>
            <w:vAlign w:val="top"/>
          </w:tcPr>
          <w:p>
            <w:pPr>
              <w:spacing w:after="0"/>
            </w:pPr>
            <w:r/>
            <w:r>
              <w:rPr>
                <w:b w:val="0"/>
                <w:sz w:val="17"/>
              </w:rPr>
              <w:t>Procure product capabilities, not one-off screens or custom dashboards.</w:t>
            </w:r>
          </w:p>
        </w:tc>
      </w:tr>
      <w:tr>
        <w:trPr>
          <w:cantSplit/>
        </w:trPr>
        <w:tc>
          <w:tcPr>
            <w:tcW w:type="dxa" w:w="3024"/>
            <w:vAlign w:val="top"/>
          </w:tcPr>
          <w:p>
            <w:pPr>
              <w:spacing w:after="0"/>
            </w:pPr>
            <w:r/>
            <w:r>
              <w:rPr>
                <w:b w:val="0"/>
                <w:sz w:val="17"/>
              </w:rPr>
              <w:t>Open standards</w:t>
            </w:r>
          </w:p>
        </w:tc>
        <w:tc>
          <w:tcPr>
            <w:tcW w:type="dxa" w:w="8208"/>
            <w:vAlign w:val="top"/>
          </w:tcPr>
          <w:p>
            <w:pPr>
              <w:spacing w:after="0"/>
            </w:pPr>
            <w:r/>
            <w:r>
              <w:rPr>
                <w:b w:val="0"/>
                <w:sz w:val="17"/>
              </w:rPr>
              <w:t>Mandate OpenAPI/AsyncAPI, OIDC/SAML, OpenTelemetry, portable audit schema and cloud-neutral deployment.</w:t>
            </w:r>
          </w:p>
        </w:tc>
      </w:tr>
      <w:tr>
        <w:trPr>
          <w:cantSplit/>
        </w:trPr>
        <w:tc>
          <w:tcPr>
            <w:tcW w:type="dxa" w:w="3024"/>
            <w:vAlign w:val="top"/>
          </w:tcPr>
          <w:p>
            <w:pPr>
              <w:spacing w:after="0"/>
            </w:pPr>
            <w:r/>
            <w:r>
              <w:rPr>
                <w:b w:val="0"/>
                <w:sz w:val="17"/>
              </w:rPr>
              <w:t>Cloud adapter separation</w:t>
            </w:r>
          </w:p>
        </w:tc>
        <w:tc>
          <w:tcPr>
            <w:tcW w:type="dxa" w:w="8208"/>
            <w:vAlign w:val="top"/>
          </w:tcPr>
          <w:p>
            <w:pPr>
              <w:spacing w:after="0"/>
            </w:pPr>
            <w:r/>
            <w:r>
              <w:rPr>
                <w:b w:val="0"/>
                <w:sz w:val="17"/>
              </w:rPr>
              <w:t>Provider-specific IAM/KMS/network/storage modules must remain outside core business logic.</w:t>
            </w:r>
          </w:p>
        </w:tc>
      </w:tr>
      <w:tr>
        <w:trPr>
          <w:cantSplit/>
        </w:trPr>
        <w:tc>
          <w:tcPr>
            <w:tcW w:type="dxa" w:w="3024"/>
            <w:vAlign w:val="top"/>
          </w:tcPr>
          <w:p>
            <w:pPr>
              <w:spacing w:after="0"/>
            </w:pPr>
            <w:r/>
            <w:r>
              <w:rPr>
                <w:b w:val="0"/>
                <w:sz w:val="17"/>
              </w:rPr>
              <w:t>Source and escrow</w:t>
            </w:r>
          </w:p>
        </w:tc>
        <w:tc>
          <w:tcPr>
            <w:tcW w:type="dxa" w:w="8208"/>
            <w:vAlign w:val="top"/>
          </w:tcPr>
          <w:p>
            <w:pPr>
              <w:spacing w:after="0"/>
            </w:pPr>
            <w:r/>
            <w:r>
              <w:rPr>
                <w:b w:val="0"/>
                <w:sz w:val="17"/>
              </w:rPr>
              <w:t>Prefer open-source components where appropriate; require source escrow and exit support for proprietary modules.</w:t>
            </w:r>
          </w:p>
        </w:tc>
      </w:tr>
      <w:tr>
        <w:trPr>
          <w:cantSplit/>
        </w:trPr>
        <w:tc>
          <w:tcPr>
            <w:tcW w:type="dxa" w:w="3024"/>
            <w:vAlign w:val="top"/>
          </w:tcPr>
          <w:p>
            <w:pPr>
              <w:spacing w:after="0"/>
            </w:pPr>
            <w:r/>
            <w:r>
              <w:rPr>
                <w:b w:val="0"/>
                <w:sz w:val="17"/>
              </w:rPr>
              <w:t>Conformance as deliverable</w:t>
            </w:r>
          </w:p>
        </w:tc>
        <w:tc>
          <w:tcPr>
            <w:tcW w:type="dxa" w:w="8208"/>
            <w:vAlign w:val="top"/>
          </w:tcPr>
          <w:p>
            <w:pPr>
              <w:spacing w:after="0"/>
            </w:pPr>
            <w:r/>
            <w:r>
              <w:rPr>
                <w:b w:val="0"/>
                <w:sz w:val="17"/>
              </w:rPr>
              <w:t>Vendor must deliver automated conformance tests, not only documentation.</w:t>
            </w:r>
          </w:p>
        </w:tc>
      </w:tr>
      <w:tr>
        <w:trPr>
          <w:cantSplit/>
        </w:trPr>
        <w:tc>
          <w:tcPr>
            <w:tcW w:type="dxa" w:w="3024"/>
            <w:vAlign w:val="top"/>
          </w:tcPr>
          <w:p>
            <w:pPr>
              <w:spacing w:after="0"/>
            </w:pPr>
            <w:r/>
            <w:r>
              <w:rPr>
                <w:b w:val="0"/>
                <w:sz w:val="17"/>
              </w:rPr>
              <w:t>Security before go-live</w:t>
            </w:r>
          </w:p>
        </w:tc>
        <w:tc>
          <w:tcPr>
            <w:tcW w:type="dxa" w:w="8208"/>
            <w:vAlign w:val="top"/>
          </w:tcPr>
          <w:p>
            <w:pPr>
              <w:spacing w:after="0"/>
            </w:pPr>
            <w:r/>
            <w:r>
              <w:rPr>
                <w:b w:val="0"/>
                <w:sz w:val="17"/>
              </w:rPr>
              <w:t>Threat model, DPIA, minimisation rules, key lifecycle and audit design must be approved before production.</w:t>
            </w:r>
          </w:p>
        </w:tc>
      </w:tr>
      <w:tr>
        <w:trPr>
          <w:cantSplit/>
        </w:trPr>
        <w:tc>
          <w:tcPr>
            <w:tcW w:type="dxa" w:w="3024"/>
            <w:vAlign w:val="top"/>
          </w:tcPr>
          <w:p>
            <w:pPr>
              <w:spacing w:after="0"/>
            </w:pPr>
            <w:r/>
            <w:r>
              <w:rPr>
                <w:b w:val="0"/>
                <w:sz w:val="17"/>
              </w:rPr>
              <w:t>Accessibility</w:t>
            </w:r>
          </w:p>
        </w:tc>
        <w:tc>
          <w:tcPr>
            <w:tcW w:type="dxa" w:w="8208"/>
            <w:vAlign w:val="top"/>
          </w:tcPr>
          <w:p>
            <w:pPr>
              <w:spacing w:after="0"/>
            </w:pPr>
            <w:r/>
            <w:r>
              <w:rPr>
                <w:b w:val="0"/>
                <w:sz w:val="17"/>
              </w:rPr>
              <w:t>Governance and citizen-facing interfaces must pass accessibility testing.</w:t>
            </w:r>
          </w:p>
        </w:tc>
      </w:tr>
      <w:tr>
        <w:trPr>
          <w:cantSplit/>
        </w:trPr>
        <w:tc>
          <w:tcPr>
            <w:tcW w:type="dxa" w:w="3024"/>
            <w:vAlign w:val="top"/>
          </w:tcPr>
          <w:p>
            <w:pPr>
              <w:spacing w:after="0"/>
            </w:pPr>
            <w:r/>
            <w:r>
              <w:rPr>
                <w:b w:val="0"/>
                <w:sz w:val="17"/>
              </w:rPr>
              <w:t>Outcome measurement</w:t>
            </w:r>
          </w:p>
        </w:tc>
        <w:tc>
          <w:tcPr>
            <w:tcW w:type="dxa" w:w="8208"/>
            <w:vAlign w:val="top"/>
          </w:tcPr>
          <w:p>
            <w:pPr>
              <w:spacing w:after="0"/>
            </w:pPr>
            <w:r/>
            <w:r>
              <w:rPr>
                <w:b w:val="0"/>
                <w:sz w:val="17"/>
              </w:rPr>
              <w:t>Measure reuse, time-to-service, citizen burden, audit completeness and SLA performance.</w:t>
            </w:r>
          </w:p>
        </w:tc>
      </w:tr>
    </w:tbl>
    <w:p>
      <w:pPr>
        <w:pStyle w:val="Heading1"/>
      </w:pPr>
      <w:r>
        <w:t>22. Architecture decision records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cantSplit/>
          <w:tblHeader/>
        </w:trPr>
        <w:tc>
          <w:tcPr>
            <w:tcW w:type="dxa" w:w="1152"/>
            <w:vAlign w:val="top"/>
            <w:shd w:fill="17365D"/>
          </w:tcPr>
          <w:p>
            <w:pPr>
              <w:spacing w:after="0"/>
            </w:pPr>
            <w:r/>
            <w:r>
              <w:rPr>
                <w:b/>
                <w:color w:val="FFFFFF"/>
                <w:sz w:val="15"/>
              </w:rPr>
              <w:t>ID</w:t>
            </w:r>
          </w:p>
        </w:tc>
        <w:tc>
          <w:tcPr>
            <w:tcW w:type="dxa" w:w="3456"/>
            <w:vAlign w:val="top"/>
            <w:shd w:fill="17365D"/>
          </w:tcPr>
          <w:p>
            <w:pPr>
              <w:spacing w:after="0"/>
            </w:pPr>
            <w:r/>
            <w:r>
              <w:rPr>
                <w:b/>
                <w:color w:val="FFFFFF"/>
                <w:sz w:val="15"/>
              </w:rPr>
              <w:t>Decision</w:t>
            </w:r>
          </w:p>
        </w:tc>
        <w:tc>
          <w:tcPr>
            <w:tcW w:type="dxa" w:w="1296"/>
            <w:vAlign w:val="top"/>
            <w:shd w:fill="17365D"/>
          </w:tcPr>
          <w:p>
            <w:pPr>
              <w:spacing w:after="0"/>
            </w:pPr>
            <w:r/>
            <w:r>
              <w:rPr>
                <w:b/>
                <w:color w:val="FFFFFF"/>
                <w:sz w:val="15"/>
              </w:rPr>
              <w:t>Status</w:t>
            </w:r>
          </w:p>
        </w:tc>
        <w:tc>
          <w:tcPr>
            <w:tcW w:type="dxa" w:w="5328"/>
            <w:vAlign w:val="top"/>
            <w:shd w:fill="17365D"/>
          </w:tcPr>
          <w:p>
            <w:pPr>
              <w:spacing w:after="0"/>
            </w:pPr>
            <w:r/>
            <w:r>
              <w:rPr>
                <w:b/>
                <w:color w:val="FFFFFF"/>
                <w:sz w:val="15"/>
              </w:rPr>
              <w:t>Rationale</w:t>
            </w:r>
          </w:p>
        </w:tc>
      </w:tr>
      <w:tr>
        <w:trPr>
          <w:cantSplit/>
        </w:trPr>
        <w:tc>
          <w:tcPr>
            <w:tcW w:type="dxa" w:w="1152"/>
            <w:vAlign w:val="top"/>
          </w:tcPr>
          <w:p>
            <w:pPr>
              <w:spacing w:after="0"/>
            </w:pPr>
            <w:r/>
            <w:r>
              <w:rPr>
                <w:b w:val="0"/>
                <w:sz w:val="15"/>
              </w:rPr>
              <w:t>ADR-001</w:t>
            </w:r>
          </w:p>
        </w:tc>
        <w:tc>
          <w:tcPr>
            <w:tcW w:type="dxa" w:w="3456"/>
            <w:vAlign w:val="top"/>
          </w:tcPr>
          <w:p>
            <w:pPr>
              <w:spacing w:after="0"/>
            </w:pPr>
            <w:r/>
            <w:r>
              <w:rPr>
                <w:b w:val="0"/>
                <w:sz w:val="15"/>
              </w:rPr>
              <w:t>Federated exchange over central database</w:t>
            </w:r>
          </w:p>
        </w:tc>
        <w:tc>
          <w:tcPr>
            <w:tcW w:type="dxa" w:w="1296"/>
            <w:vAlign w:val="top"/>
          </w:tcPr>
          <w:p>
            <w:pPr>
              <w:spacing w:after="0"/>
            </w:pPr>
            <w:r/>
            <w:r>
              <w:rPr>
                <w:b w:val="0"/>
                <w:sz w:val="15"/>
              </w:rPr>
              <w:t>Accepted</w:t>
            </w:r>
          </w:p>
        </w:tc>
        <w:tc>
          <w:tcPr>
            <w:tcW w:type="dxa" w:w="5328"/>
            <w:vAlign w:val="top"/>
          </w:tcPr>
          <w:p>
            <w:pPr>
              <w:spacing w:after="0"/>
            </w:pPr>
            <w:r/>
            <w:r>
              <w:rPr>
                <w:b w:val="0"/>
                <w:sz w:val="15"/>
              </w:rPr>
              <w:t>Preserves source ownership, reduces concentration risk and supports Centre-State realities.</w:t>
            </w:r>
          </w:p>
        </w:tc>
      </w:tr>
      <w:tr>
        <w:trPr>
          <w:cantSplit/>
        </w:trPr>
        <w:tc>
          <w:tcPr>
            <w:tcW w:type="dxa" w:w="1152"/>
            <w:vAlign w:val="top"/>
          </w:tcPr>
          <w:p>
            <w:pPr>
              <w:spacing w:after="0"/>
            </w:pPr>
            <w:r/>
            <w:r>
              <w:rPr>
                <w:b w:val="0"/>
                <w:sz w:val="15"/>
              </w:rPr>
              <w:t>ADR-002</w:t>
            </w:r>
          </w:p>
        </w:tc>
        <w:tc>
          <w:tcPr>
            <w:tcW w:type="dxa" w:w="3456"/>
            <w:vAlign w:val="top"/>
          </w:tcPr>
          <w:p>
            <w:pPr>
              <w:spacing w:after="0"/>
            </w:pPr>
            <w:r/>
            <w:r>
              <w:rPr>
                <w:b w:val="0"/>
                <w:sz w:val="15"/>
              </w:rPr>
              <w:t>Cloud-agnostic product core</w:t>
            </w:r>
          </w:p>
        </w:tc>
        <w:tc>
          <w:tcPr>
            <w:tcW w:type="dxa" w:w="1296"/>
            <w:vAlign w:val="top"/>
          </w:tcPr>
          <w:p>
            <w:pPr>
              <w:spacing w:after="0"/>
            </w:pPr>
            <w:r/>
            <w:r>
              <w:rPr>
                <w:b w:val="0"/>
                <w:sz w:val="15"/>
              </w:rPr>
              <w:t>Accepted</w:t>
            </w:r>
          </w:p>
        </w:tc>
        <w:tc>
          <w:tcPr>
            <w:tcW w:type="dxa" w:w="5328"/>
            <w:vAlign w:val="top"/>
          </w:tcPr>
          <w:p>
            <w:pPr>
              <w:spacing w:after="0"/>
            </w:pPr>
            <w:r/>
            <w:r>
              <w:rPr>
                <w:b w:val="0"/>
                <w:sz w:val="15"/>
              </w:rPr>
              <w:t>Avoids provider lock-in and supports NIC, state, public and private cloud deployments.</w:t>
            </w:r>
          </w:p>
        </w:tc>
      </w:tr>
      <w:tr>
        <w:trPr>
          <w:cantSplit/>
        </w:trPr>
        <w:tc>
          <w:tcPr>
            <w:tcW w:type="dxa" w:w="1152"/>
            <w:vAlign w:val="top"/>
          </w:tcPr>
          <w:p>
            <w:pPr>
              <w:spacing w:after="0"/>
            </w:pPr>
            <w:r/>
            <w:r>
              <w:rPr>
                <w:b w:val="0"/>
                <w:sz w:val="15"/>
              </w:rPr>
              <w:t>ADR-003</w:t>
            </w:r>
          </w:p>
        </w:tc>
        <w:tc>
          <w:tcPr>
            <w:tcW w:type="dxa" w:w="3456"/>
            <w:vAlign w:val="top"/>
          </w:tcPr>
          <w:p>
            <w:pPr>
              <w:spacing w:after="0"/>
            </w:pPr>
            <w:r/>
            <w:r>
              <w:rPr>
                <w:b w:val="0"/>
                <w:sz w:val="15"/>
              </w:rPr>
              <w:t>Trust Node as data-plane boundary</w:t>
            </w:r>
          </w:p>
        </w:tc>
        <w:tc>
          <w:tcPr>
            <w:tcW w:type="dxa" w:w="1296"/>
            <w:vAlign w:val="top"/>
          </w:tcPr>
          <w:p>
            <w:pPr>
              <w:spacing w:after="0"/>
            </w:pPr>
            <w:r/>
            <w:r>
              <w:rPr>
                <w:b w:val="0"/>
                <w:sz w:val="15"/>
              </w:rPr>
              <w:t>Accepted</w:t>
            </w:r>
          </w:p>
        </w:tc>
        <w:tc>
          <w:tcPr>
            <w:tcW w:type="dxa" w:w="5328"/>
            <w:vAlign w:val="top"/>
          </w:tcPr>
          <w:p>
            <w:pPr>
              <w:spacing w:after="0"/>
            </w:pPr>
            <w:r/>
            <w:r>
              <w:rPr>
                <w:b w:val="0"/>
                <w:sz w:val="15"/>
              </w:rPr>
              <w:t>Gives every member logical identity, policy boundary and audit trail without requiring physical server ownership.</w:t>
            </w:r>
          </w:p>
        </w:tc>
      </w:tr>
      <w:tr>
        <w:trPr>
          <w:cantSplit/>
        </w:trPr>
        <w:tc>
          <w:tcPr>
            <w:tcW w:type="dxa" w:w="1152"/>
            <w:vAlign w:val="top"/>
          </w:tcPr>
          <w:p>
            <w:pPr>
              <w:spacing w:after="0"/>
            </w:pPr>
            <w:r/>
            <w:r>
              <w:rPr>
                <w:b w:val="0"/>
                <w:sz w:val="15"/>
              </w:rPr>
              <w:t>ADR-004</w:t>
            </w:r>
          </w:p>
        </w:tc>
        <w:tc>
          <w:tcPr>
            <w:tcW w:type="dxa" w:w="3456"/>
            <w:vAlign w:val="top"/>
          </w:tcPr>
          <w:p>
            <w:pPr>
              <w:spacing w:after="0"/>
            </w:pPr>
            <w:r/>
            <w:r>
              <w:rPr>
                <w:b w:val="0"/>
                <w:sz w:val="15"/>
              </w:rPr>
              <w:t>Policy-as-code</w:t>
            </w:r>
          </w:p>
        </w:tc>
        <w:tc>
          <w:tcPr>
            <w:tcW w:type="dxa" w:w="1296"/>
            <w:vAlign w:val="top"/>
          </w:tcPr>
          <w:p>
            <w:pPr>
              <w:spacing w:after="0"/>
            </w:pPr>
            <w:r/>
            <w:r>
              <w:rPr>
                <w:b w:val="0"/>
                <w:sz w:val="15"/>
              </w:rPr>
              <w:t>Accepted</w:t>
            </w:r>
          </w:p>
        </w:tc>
        <w:tc>
          <w:tcPr>
            <w:tcW w:type="dxa" w:w="5328"/>
            <w:vAlign w:val="top"/>
          </w:tcPr>
          <w:p>
            <w:pPr>
              <w:spacing w:after="0"/>
            </w:pPr>
            <w:r/>
            <w:r>
              <w:rPr>
                <w:b w:val="0"/>
                <w:sz w:val="15"/>
              </w:rPr>
              <w:t>Turns governance rules into testable runtime controls.</w:t>
            </w:r>
          </w:p>
        </w:tc>
      </w:tr>
      <w:tr>
        <w:trPr>
          <w:cantSplit/>
        </w:trPr>
        <w:tc>
          <w:tcPr>
            <w:tcW w:type="dxa" w:w="1152"/>
            <w:vAlign w:val="top"/>
          </w:tcPr>
          <w:p>
            <w:pPr>
              <w:spacing w:after="0"/>
            </w:pPr>
            <w:r/>
            <w:r>
              <w:rPr>
                <w:b w:val="0"/>
                <w:sz w:val="15"/>
              </w:rPr>
              <w:t>ADR-005</w:t>
            </w:r>
          </w:p>
        </w:tc>
        <w:tc>
          <w:tcPr>
            <w:tcW w:type="dxa" w:w="3456"/>
            <w:vAlign w:val="top"/>
          </w:tcPr>
          <w:p>
            <w:pPr>
              <w:spacing w:after="0"/>
            </w:pPr>
            <w:r/>
            <w:r>
              <w:rPr>
                <w:b w:val="0"/>
                <w:sz w:val="15"/>
              </w:rPr>
              <w:t>Audit as a trust product</w:t>
            </w:r>
          </w:p>
        </w:tc>
        <w:tc>
          <w:tcPr>
            <w:tcW w:type="dxa" w:w="1296"/>
            <w:vAlign w:val="top"/>
          </w:tcPr>
          <w:p>
            <w:pPr>
              <w:spacing w:after="0"/>
            </w:pPr>
            <w:r/>
            <w:r>
              <w:rPr>
                <w:b w:val="0"/>
                <w:sz w:val="15"/>
              </w:rPr>
              <w:t>Accepted</w:t>
            </w:r>
          </w:p>
        </w:tc>
        <w:tc>
          <w:tcPr>
            <w:tcW w:type="dxa" w:w="5328"/>
            <w:vAlign w:val="top"/>
          </w:tcPr>
          <w:p>
            <w:pPr>
              <w:spacing w:after="0"/>
            </w:pPr>
            <w:r/>
            <w:r>
              <w:rPr>
                <w:b w:val="0"/>
                <w:sz w:val="15"/>
              </w:rPr>
              <w:t>Searchable logs alone are insufficient; audit must be tamper-evident and reviewable.</w:t>
            </w:r>
          </w:p>
        </w:tc>
      </w:tr>
      <w:tr>
        <w:trPr>
          <w:cantSplit/>
        </w:trPr>
        <w:tc>
          <w:tcPr>
            <w:tcW w:type="dxa" w:w="1152"/>
            <w:vAlign w:val="top"/>
          </w:tcPr>
          <w:p>
            <w:pPr>
              <w:spacing w:after="0"/>
            </w:pPr>
            <w:r/>
            <w:r>
              <w:rPr>
                <w:b w:val="0"/>
                <w:sz w:val="15"/>
              </w:rPr>
              <w:t>ADR-006</w:t>
            </w:r>
          </w:p>
        </w:tc>
        <w:tc>
          <w:tcPr>
            <w:tcW w:type="dxa" w:w="3456"/>
            <w:vAlign w:val="top"/>
          </w:tcPr>
          <w:p>
            <w:pPr>
              <w:spacing w:after="0"/>
            </w:pPr>
            <w:r/>
            <w:r>
              <w:rPr>
                <w:b w:val="0"/>
                <w:sz w:val="15"/>
              </w:rPr>
              <w:t>API Setu and DigiLocker as complementary rails</w:t>
            </w:r>
          </w:p>
        </w:tc>
        <w:tc>
          <w:tcPr>
            <w:tcW w:type="dxa" w:w="1296"/>
            <w:vAlign w:val="top"/>
          </w:tcPr>
          <w:p>
            <w:pPr>
              <w:spacing w:after="0"/>
            </w:pPr>
            <w:r/>
            <w:r>
              <w:rPr>
                <w:b w:val="0"/>
                <w:sz w:val="15"/>
              </w:rPr>
              <w:t>Accepted</w:t>
            </w:r>
          </w:p>
        </w:tc>
        <w:tc>
          <w:tcPr>
            <w:tcW w:type="dxa" w:w="5328"/>
            <w:vAlign w:val="top"/>
          </w:tcPr>
          <w:p>
            <w:pPr>
              <w:spacing w:after="0"/>
            </w:pPr>
            <w:r/>
            <w:r>
              <w:rPr>
                <w:b w:val="0"/>
                <w:sz w:val="15"/>
              </w:rPr>
              <w:t>Avoids duplicating existing public rails and preserves lane discipline.</w:t>
            </w:r>
          </w:p>
        </w:tc>
      </w:tr>
      <w:tr>
        <w:trPr>
          <w:cantSplit/>
        </w:trPr>
        <w:tc>
          <w:tcPr>
            <w:tcW w:type="dxa" w:w="1152"/>
            <w:vAlign w:val="top"/>
          </w:tcPr>
          <w:p>
            <w:pPr>
              <w:spacing w:after="0"/>
            </w:pPr>
            <w:r/>
            <w:r>
              <w:rPr>
                <w:b w:val="0"/>
                <w:sz w:val="15"/>
              </w:rPr>
              <w:t>ADR-007</w:t>
            </w:r>
          </w:p>
        </w:tc>
        <w:tc>
          <w:tcPr>
            <w:tcW w:type="dxa" w:w="3456"/>
            <w:vAlign w:val="top"/>
          </w:tcPr>
          <w:p>
            <w:pPr>
              <w:spacing w:after="0"/>
            </w:pPr>
            <w:r/>
            <w:r>
              <w:rPr>
                <w:b w:val="0"/>
                <w:sz w:val="15"/>
              </w:rPr>
              <w:t>Provider-side minimisation</w:t>
            </w:r>
          </w:p>
        </w:tc>
        <w:tc>
          <w:tcPr>
            <w:tcW w:type="dxa" w:w="1296"/>
            <w:vAlign w:val="top"/>
          </w:tcPr>
          <w:p>
            <w:pPr>
              <w:spacing w:after="0"/>
            </w:pPr>
            <w:r/>
            <w:r>
              <w:rPr>
                <w:b w:val="0"/>
                <w:sz w:val="15"/>
              </w:rPr>
              <w:t>Accepted</w:t>
            </w:r>
          </w:p>
        </w:tc>
        <w:tc>
          <w:tcPr>
            <w:tcW w:type="dxa" w:w="5328"/>
            <w:vAlign w:val="top"/>
          </w:tcPr>
          <w:p>
            <w:pPr>
              <w:spacing w:after="0"/>
            </w:pPr>
            <w:r/>
            <w:r>
              <w:rPr>
                <w:b w:val="0"/>
                <w:sz w:val="15"/>
              </w:rPr>
              <w:t>Prevents over-sharing by allowing providers to return assertions, masks or purpose-specific schemas.</w:t>
            </w:r>
          </w:p>
        </w:tc>
      </w:tr>
      <w:tr>
        <w:trPr>
          <w:cantSplit/>
        </w:trPr>
        <w:tc>
          <w:tcPr>
            <w:tcW w:type="dxa" w:w="1152"/>
            <w:vAlign w:val="top"/>
          </w:tcPr>
          <w:p>
            <w:pPr>
              <w:spacing w:after="0"/>
            </w:pPr>
            <w:r/>
            <w:r>
              <w:rPr>
                <w:b w:val="0"/>
                <w:sz w:val="15"/>
              </w:rPr>
              <w:t>ADR-008</w:t>
            </w:r>
          </w:p>
        </w:tc>
        <w:tc>
          <w:tcPr>
            <w:tcW w:type="dxa" w:w="3456"/>
            <w:vAlign w:val="top"/>
          </w:tcPr>
          <w:p>
            <w:pPr>
              <w:spacing w:after="0"/>
            </w:pPr>
            <w:r/>
            <w:r>
              <w:rPr>
                <w:b w:val="0"/>
                <w:sz w:val="15"/>
              </w:rPr>
              <w:t>Certified cloud adapters</w:t>
            </w:r>
          </w:p>
        </w:tc>
        <w:tc>
          <w:tcPr>
            <w:tcW w:type="dxa" w:w="1296"/>
            <w:vAlign w:val="top"/>
          </w:tcPr>
          <w:p>
            <w:pPr>
              <w:spacing w:after="0"/>
            </w:pPr>
            <w:r/>
            <w:r>
              <w:rPr>
                <w:b w:val="0"/>
                <w:sz w:val="15"/>
              </w:rPr>
              <w:t>Accepted</w:t>
            </w:r>
          </w:p>
        </w:tc>
        <w:tc>
          <w:tcPr>
            <w:tcW w:type="dxa" w:w="5328"/>
            <w:vAlign w:val="top"/>
          </w:tcPr>
          <w:p>
            <w:pPr>
              <w:spacing w:after="0"/>
            </w:pPr>
            <w:r/>
            <w:r>
              <w:rPr>
                <w:b w:val="0"/>
                <w:sz w:val="15"/>
              </w:rPr>
              <w:t>Cloud neutrality requires testable adapters, not theoretical portability.</w:t>
            </w:r>
          </w:p>
        </w:tc>
      </w:tr>
      <w:tr>
        <w:trPr>
          <w:cantSplit/>
        </w:trPr>
        <w:tc>
          <w:tcPr>
            <w:tcW w:type="dxa" w:w="1152"/>
            <w:vAlign w:val="top"/>
          </w:tcPr>
          <w:p>
            <w:pPr>
              <w:spacing w:after="0"/>
            </w:pPr>
            <w:r/>
            <w:r>
              <w:rPr>
                <w:b w:val="0"/>
                <w:sz w:val="15"/>
              </w:rPr>
              <w:t>ADR-009</w:t>
            </w:r>
          </w:p>
        </w:tc>
        <w:tc>
          <w:tcPr>
            <w:tcW w:type="dxa" w:w="3456"/>
            <w:vAlign w:val="top"/>
          </w:tcPr>
          <w:p>
            <w:pPr>
              <w:spacing w:after="0"/>
            </w:pPr>
            <w:r/>
            <w:r>
              <w:rPr>
                <w:b w:val="0"/>
                <w:sz w:val="15"/>
              </w:rPr>
              <w:t>Signed config cache</w:t>
            </w:r>
          </w:p>
        </w:tc>
        <w:tc>
          <w:tcPr>
            <w:tcW w:type="dxa" w:w="1296"/>
            <w:vAlign w:val="top"/>
          </w:tcPr>
          <w:p>
            <w:pPr>
              <w:spacing w:after="0"/>
            </w:pPr>
            <w:r/>
            <w:r>
              <w:rPr>
                <w:b w:val="0"/>
                <w:sz w:val="15"/>
              </w:rPr>
              <w:t>Accepted</w:t>
            </w:r>
          </w:p>
        </w:tc>
        <w:tc>
          <w:tcPr>
            <w:tcW w:type="dxa" w:w="5328"/>
            <w:vAlign w:val="top"/>
          </w:tcPr>
          <w:p>
            <w:pPr>
              <w:spacing w:after="0"/>
            </w:pPr>
            <w:r/>
            <w:r>
              <w:rPr>
                <w:b w:val="0"/>
                <w:sz w:val="15"/>
              </w:rPr>
              <w:t>Control-plane outage must not stop already approved exchange.</w:t>
            </w:r>
          </w:p>
        </w:tc>
      </w:tr>
      <w:tr>
        <w:trPr>
          <w:cantSplit/>
        </w:trPr>
        <w:tc>
          <w:tcPr>
            <w:tcW w:type="dxa" w:w="1152"/>
            <w:vAlign w:val="top"/>
          </w:tcPr>
          <w:p>
            <w:pPr>
              <w:spacing w:after="0"/>
            </w:pPr>
            <w:r/>
            <w:r>
              <w:rPr>
                <w:b w:val="0"/>
                <w:sz w:val="15"/>
              </w:rPr>
              <w:t>ADR-010</w:t>
            </w:r>
          </w:p>
        </w:tc>
        <w:tc>
          <w:tcPr>
            <w:tcW w:type="dxa" w:w="3456"/>
            <w:vAlign w:val="top"/>
          </w:tcPr>
          <w:p>
            <w:pPr>
              <w:spacing w:after="0"/>
            </w:pPr>
            <w:r/>
            <w:r>
              <w:rPr>
                <w:b w:val="0"/>
                <w:sz w:val="15"/>
              </w:rPr>
              <w:t>Conformance before production</w:t>
            </w:r>
          </w:p>
        </w:tc>
        <w:tc>
          <w:tcPr>
            <w:tcW w:type="dxa" w:w="1296"/>
            <w:vAlign w:val="top"/>
          </w:tcPr>
          <w:p>
            <w:pPr>
              <w:spacing w:after="0"/>
            </w:pPr>
            <w:r/>
            <w:r>
              <w:rPr>
                <w:b w:val="0"/>
                <w:sz w:val="15"/>
              </w:rPr>
              <w:t>Accepted</w:t>
            </w:r>
          </w:p>
        </w:tc>
        <w:tc>
          <w:tcPr>
            <w:tcW w:type="dxa" w:w="5328"/>
            <w:vAlign w:val="top"/>
          </w:tcPr>
          <w:p>
            <w:pPr>
              <w:spacing w:after="0"/>
            </w:pPr>
            <w:r/>
            <w:r>
              <w:rPr>
                <w:b w:val="0"/>
                <w:sz w:val="15"/>
              </w:rPr>
              <w:t>Production onboarding requires evidence of security, policy, audit, portability and resilience tests.</w:t>
            </w:r>
          </w:p>
        </w:tc>
      </w:tr>
    </w:tbl>
    <w:p>
      <w:r>
        <w:br w:type="page"/>
      </w:r>
    </w:p>
    <w:p>
      <w:pPr>
        <w:pStyle w:val="Heading1"/>
      </w:pPr>
      <w:r>
        <w:t>23. Annexure A - Threat model</w:t>
      </w:r>
    </w:p>
    <w:p>
      <w:pPr>
        <w:spacing w:after="100"/>
      </w:pPr>
      <w:r>
        <w:t>This threat model uses STRIDE categories as a practical review-board structure. It focuses on Trust Nodes, control plane, policy service, cloud adapters, audit pipeline and legacy adapters.</w:t>
      </w:r>
    </w:p>
    <w:p>
      <w:pPr>
        <w:pStyle w:val="Heading2"/>
      </w:pPr>
      <w:r>
        <w:t>23.1 Trust boundaries</w:t>
      </w:r>
    </w:p>
    <w:p>
      <w:r>
        <w:rPr>
          <w:b/>
          <w:color w:val="17365D"/>
        </w:rPr>
        <w:t>Figure 3 - BTX trust boundaries</w:t>
      </w:r>
    </w:p>
    <w:tbl>
      <w:tblPr>
        <w:tblW w:type="auto" w:w="0"/>
        <w:jc w:val="center"/>
        <w:tblLook w:firstColumn="1" w:firstRow="1" w:lastColumn="0" w:lastRow="0" w:noHBand="0" w:noVBand="1" w:val="04A0"/>
        <w:tblBorders>
          <w:top w:val="single" w:sz="6" w:space="0" w:color="B8C9DA"/>
          <w:left w:val="single" w:sz="6" w:space="0" w:color="B8C9DA"/>
          <w:bottom w:val="single" w:sz="6" w:space="0" w:color="B8C9DA"/>
          <w:right w:val="single" w:sz="6" w:space="0" w:color="B8C9DA"/>
          <w:insideH w:val="single" w:sz="6" w:space="0" w:color="B8C9DA"/>
          <w:insideV w:val="single" w:sz="6" w:space="0" w:color="B8C9DA"/>
        </w:tblBorders>
      </w:tblPr>
      <w:tblGrid>
        <w:gridCol w:w="10368"/>
      </w:tblGrid>
      <w:tr>
        <w:tc>
          <w:tcPr>
            <w:tcW w:type="dxa" w:w="10368"/>
            <w:shd w:fill="F4F7FA"/>
          </w:tcPr>
          <w:p>
            <w:pPr>
              <w:spacing w:after="0"/>
            </w:pPr>
            <w:r>
              <w:rPr>
                <w:rFonts w:ascii="Courier New" w:hAnsi="Courier New" w:eastAsia="Courier New"/>
                <w:sz w:val="15"/>
              </w:rPr>
              <w:t>Boundary 1: Human governance users -&gt; BTX Trust Console</w:t>
            </w:r>
            <w:r>
              <w:br/>
            </w:r>
            <w:r>
              <w:rPr>
                <w:rFonts w:ascii="Courier New" w:hAnsi="Courier New" w:eastAsia="Courier New"/>
                <w:sz w:val="15"/>
              </w:rPr>
              <w:t>Boundary 2: Control plane -&gt; signed configuration publisher</w:t>
            </w:r>
            <w:r>
              <w:br/>
            </w:r>
            <w:r>
              <w:rPr>
                <w:rFonts w:ascii="Courier New" w:hAnsi="Courier New" w:eastAsia="Courier New"/>
                <w:sz w:val="15"/>
              </w:rPr>
              <w:t>Boundary 3: Trust Node -&gt; Trust Node peer communication</w:t>
            </w:r>
            <w:r>
              <w:br/>
            </w:r>
            <w:r>
              <w:rPr>
                <w:rFonts w:ascii="Courier New" w:hAnsi="Courier New" w:eastAsia="Courier New"/>
                <w:sz w:val="15"/>
              </w:rPr>
              <w:t>Boundary 4: Trust Node -&gt; backend adapter -&gt; source system</w:t>
            </w:r>
            <w:r>
              <w:br/>
            </w:r>
            <w:r>
              <w:rPr>
                <w:rFonts w:ascii="Courier New" w:hAnsi="Courier New" w:eastAsia="Courier New"/>
                <w:sz w:val="15"/>
              </w:rPr>
              <w:t>Boundary 5: Trust Node -&gt; audit pipeline -&gt; immutable archive</w:t>
            </w:r>
            <w:r>
              <w:br/>
            </w:r>
            <w:r>
              <w:rPr>
                <w:rFonts w:ascii="Courier New" w:hAnsi="Courier New" w:eastAsia="Courier New"/>
                <w:sz w:val="15"/>
              </w:rPr>
              <w:t>Boundary 6: Cloud adapter -&gt; provider IAM/KMS/network/storage services</w:t>
            </w:r>
            <w:r>
              <w:br/>
            </w:r>
            <w:r>
              <w:rPr>
                <w:rFonts w:ascii="Courier New" w:hAnsi="Courier New" w:eastAsia="Courier New"/>
                <w:sz w:val="15"/>
              </w:rPr>
              <w:t>Boundary 7: Wallet/citizen channel -&gt; BTX or issuer/verifier services</w:t>
            </w:r>
            <w:r>
              <w:br/>
            </w:r>
            <w:r>
              <w:rPr>
                <w:rFonts w:ascii="Courier New" w:hAnsi="Courier New" w:eastAsia="Courier New"/>
                <w:sz w:val="15"/>
              </w:rPr>
              <w:t>Boundary 8: External ecosystem participant -&gt; certified member boundary</w:t>
            </w:r>
            <w:r>
              <w:br/>
            </w:r>
          </w:p>
        </w:tc>
        <w:trPr>
          <w:tblHeader/>
        </w:trPr>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728"/>
        <w:gridCol w:w="1728"/>
        <w:gridCol w:w="1728"/>
        <w:gridCol w:w="1728"/>
        <w:gridCol w:w="1728"/>
        <w:gridCol w:w="1728"/>
      </w:tblGrid>
      <w:tr>
        <w:trPr>
          <w:cantSplit/>
          <w:tblHeader/>
        </w:trPr>
        <w:tc>
          <w:tcPr>
            <w:tcW w:type="dxa" w:w="576"/>
            <w:vAlign w:val="top"/>
            <w:shd w:fill="17365D"/>
          </w:tcPr>
          <w:p>
            <w:pPr>
              <w:spacing w:after="0"/>
            </w:pPr>
            <w:r/>
            <w:r>
              <w:rPr>
                <w:b/>
                <w:color w:val="FFFFFF"/>
                <w:sz w:val="13"/>
              </w:rPr>
              <w:t>ID</w:t>
            </w:r>
          </w:p>
        </w:tc>
        <w:tc>
          <w:tcPr>
            <w:tcW w:type="dxa" w:w="1728"/>
            <w:vAlign w:val="top"/>
            <w:shd w:fill="17365D"/>
          </w:tcPr>
          <w:p>
            <w:pPr>
              <w:spacing w:after="0"/>
            </w:pPr>
            <w:r/>
            <w:r>
              <w:rPr>
                <w:b/>
                <w:color w:val="FFFFFF"/>
                <w:sz w:val="13"/>
              </w:rPr>
              <w:t>Threat</w:t>
            </w:r>
          </w:p>
        </w:tc>
        <w:tc>
          <w:tcPr>
            <w:tcW w:type="dxa" w:w="720"/>
            <w:vAlign w:val="top"/>
            <w:shd w:fill="17365D"/>
          </w:tcPr>
          <w:p>
            <w:pPr>
              <w:spacing w:after="0"/>
            </w:pPr>
            <w:r/>
            <w:r>
              <w:rPr>
                <w:b/>
                <w:color w:val="FFFFFF"/>
                <w:sz w:val="13"/>
              </w:rPr>
              <w:t>STRIDE</w:t>
            </w:r>
          </w:p>
        </w:tc>
        <w:tc>
          <w:tcPr>
            <w:tcW w:type="dxa" w:w="3024"/>
            <w:vAlign w:val="top"/>
            <w:shd w:fill="17365D"/>
          </w:tcPr>
          <w:p>
            <w:pPr>
              <w:spacing w:after="0"/>
            </w:pPr>
            <w:r/>
            <w:r>
              <w:rPr>
                <w:b/>
                <w:color w:val="FFFFFF"/>
                <w:sz w:val="13"/>
              </w:rPr>
              <w:t>Attack path</w:t>
            </w:r>
          </w:p>
        </w:tc>
        <w:tc>
          <w:tcPr>
            <w:tcW w:type="dxa" w:w="3456"/>
            <w:vAlign w:val="top"/>
            <w:shd w:fill="17365D"/>
          </w:tcPr>
          <w:p>
            <w:pPr>
              <w:spacing w:after="0"/>
            </w:pPr>
            <w:r/>
            <w:r>
              <w:rPr>
                <w:b/>
                <w:color w:val="FFFFFF"/>
                <w:sz w:val="13"/>
              </w:rPr>
              <w:t>Mitigation</w:t>
            </w:r>
          </w:p>
        </w:tc>
        <w:tc>
          <w:tcPr>
            <w:tcW w:type="dxa" w:w="1728"/>
            <w:vAlign w:val="top"/>
            <w:shd w:fill="17365D"/>
          </w:tcPr>
          <w:p>
            <w:pPr>
              <w:spacing w:after="0"/>
            </w:pPr>
            <w:r/>
            <w:r>
              <w:rPr>
                <w:b/>
                <w:color w:val="FFFFFF"/>
                <w:sz w:val="13"/>
              </w:rPr>
              <w:t>Evidence</w:t>
            </w:r>
          </w:p>
        </w:tc>
      </w:tr>
      <w:tr>
        <w:trPr>
          <w:cantSplit/>
        </w:trPr>
        <w:tc>
          <w:tcPr>
            <w:tcW w:type="dxa" w:w="576"/>
            <w:vAlign w:val="top"/>
          </w:tcPr>
          <w:p>
            <w:pPr>
              <w:spacing w:after="0"/>
            </w:pPr>
            <w:r/>
            <w:r>
              <w:rPr>
                <w:b w:val="0"/>
                <w:sz w:val="13"/>
              </w:rPr>
              <w:t>T01</w:t>
            </w:r>
          </w:p>
        </w:tc>
        <w:tc>
          <w:tcPr>
            <w:tcW w:type="dxa" w:w="1728"/>
            <w:vAlign w:val="top"/>
          </w:tcPr>
          <w:p>
            <w:pPr>
              <w:spacing w:after="0"/>
            </w:pPr>
            <w:r/>
            <w:r>
              <w:rPr>
                <w:b w:val="0"/>
                <w:sz w:val="13"/>
              </w:rPr>
              <w:t>Spoofed member</w:t>
            </w:r>
          </w:p>
        </w:tc>
        <w:tc>
          <w:tcPr>
            <w:tcW w:type="dxa" w:w="720"/>
            <w:vAlign w:val="top"/>
          </w:tcPr>
          <w:p>
            <w:pPr>
              <w:spacing w:after="0"/>
            </w:pPr>
            <w:r/>
            <w:r>
              <w:rPr>
                <w:b w:val="0"/>
                <w:sz w:val="13"/>
              </w:rPr>
              <w:t>S</w:t>
            </w:r>
          </w:p>
        </w:tc>
        <w:tc>
          <w:tcPr>
            <w:tcW w:type="dxa" w:w="3024"/>
            <w:vAlign w:val="top"/>
          </w:tcPr>
          <w:p>
            <w:pPr>
              <w:spacing w:after="0"/>
            </w:pPr>
            <w:r/>
            <w:r>
              <w:rPr>
                <w:b w:val="0"/>
                <w:sz w:val="13"/>
              </w:rPr>
              <w:t>Attacker impersonates department or Trust Node.</w:t>
            </w:r>
          </w:p>
        </w:tc>
        <w:tc>
          <w:tcPr>
            <w:tcW w:type="dxa" w:w="3456"/>
            <w:vAlign w:val="top"/>
          </w:tcPr>
          <w:p>
            <w:pPr>
              <w:spacing w:after="0"/>
            </w:pPr>
            <w:r/>
            <w:r>
              <w:rPr>
                <w:b w:val="0"/>
                <w:sz w:val="13"/>
              </w:rPr>
              <w:t>mTLS, certificate-bound member identity, signed config, revocation checks, member registry validation.</w:t>
            </w:r>
          </w:p>
        </w:tc>
        <w:tc>
          <w:tcPr>
            <w:tcW w:type="dxa" w:w="1728"/>
            <w:vAlign w:val="top"/>
          </w:tcPr>
          <w:p>
            <w:pPr>
              <w:spacing w:after="0"/>
            </w:pPr>
            <w:r/>
            <w:r>
              <w:rPr>
                <w:b w:val="0"/>
                <w:sz w:val="13"/>
              </w:rPr>
              <w:t>Cert validation logs, denied request evidence.</w:t>
            </w:r>
          </w:p>
        </w:tc>
      </w:tr>
      <w:tr>
        <w:trPr>
          <w:cantSplit/>
        </w:trPr>
        <w:tc>
          <w:tcPr>
            <w:tcW w:type="dxa" w:w="576"/>
            <w:vAlign w:val="top"/>
          </w:tcPr>
          <w:p>
            <w:pPr>
              <w:spacing w:after="0"/>
            </w:pPr>
            <w:r/>
            <w:r>
              <w:rPr>
                <w:b w:val="0"/>
                <w:sz w:val="13"/>
              </w:rPr>
              <w:t>T02</w:t>
            </w:r>
          </w:p>
        </w:tc>
        <w:tc>
          <w:tcPr>
            <w:tcW w:type="dxa" w:w="1728"/>
            <w:vAlign w:val="top"/>
          </w:tcPr>
          <w:p>
            <w:pPr>
              <w:spacing w:after="0"/>
            </w:pPr>
            <w:r/>
            <w:r>
              <w:rPr>
                <w:b w:val="0"/>
                <w:sz w:val="13"/>
              </w:rPr>
              <w:t>Compromised Trust Node key</w:t>
            </w:r>
          </w:p>
        </w:tc>
        <w:tc>
          <w:tcPr>
            <w:tcW w:type="dxa" w:w="720"/>
            <w:vAlign w:val="top"/>
          </w:tcPr>
          <w:p>
            <w:pPr>
              <w:spacing w:after="0"/>
            </w:pPr>
            <w:r/>
            <w:r>
              <w:rPr>
                <w:b w:val="0"/>
                <w:sz w:val="13"/>
              </w:rPr>
              <w:t>S/T</w:t>
            </w:r>
          </w:p>
        </w:tc>
        <w:tc>
          <w:tcPr>
            <w:tcW w:type="dxa" w:w="3024"/>
            <w:vAlign w:val="top"/>
          </w:tcPr>
          <w:p>
            <w:pPr>
              <w:spacing w:after="0"/>
            </w:pPr>
            <w:r/>
            <w:r>
              <w:rPr>
                <w:b w:val="0"/>
                <w:sz w:val="13"/>
              </w:rPr>
              <w:t>Stolen signing key used to create valid-looking requests.</w:t>
            </w:r>
          </w:p>
        </w:tc>
        <w:tc>
          <w:tcPr>
            <w:tcW w:type="dxa" w:w="3456"/>
            <w:vAlign w:val="top"/>
          </w:tcPr>
          <w:p>
            <w:pPr>
              <w:spacing w:after="0"/>
            </w:pPr>
            <w:r/>
            <w:r>
              <w:rPr>
                <w:b w:val="0"/>
                <w:sz w:val="13"/>
              </w:rPr>
              <w:t>HSM/KMS, key rotation, anomaly detection, emergency revocation, node suspension.</w:t>
            </w:r>
          </w:p>
        </w:tc>
        <w:tc>
          <w:tcPr>
            <w:tcW w:type="dxa" w:w="1728"/>
            <w:vAlign w:val="top"/>
          </w:tcPr>
          <w:p>
            <w:pPr>
              <w:spacing w:after="0"/>
            </w:pPr>
            <w:r/>
            <w:r>
              <w:rPr>
                <w:b w:val="0"/>
                <w:sz w:val="13"/>
              </w:rPr>
              <w:t>Key lifecycle and revocation drill.</w:t>
            </w:r>
          </w:p>
        </w:tc>
      </w:tr>
      <w:tr>
        <w:trPr>
          <w:cantSplit/>
        </w:trPr>
        <w:tc>
          <w:tcPr>
            <w:tcW w:type="dxa" w:w="576"/>
            <w:vAlign w:val="top"/>
          </w:tcPr>
          <w:p>
            <w:pPr>
              <w:spacing w:after="0"/>
            </w:pPr>
            <w:r/>
            <w:r>
              <w:rPr>
                <w:b w:val="0"/>
                <w:sz w:val="13"/>
              </w:rPr>
              <w:t>T03</w:t>
            </w:r>
          </w:p>
        </w:tc>
        <w:tc>
          <w:tcPr>
            <w:tcW w:type="dxa" w:w="1728"/>
            <w:vAlign w:val="top"/>
          </w:tcPr>
          <w:p>
            <w:pPr>
              <w:spacing w:after="0"/>
            </w:pPr>
            <w:r/>
            <w:r>
              <w:rPr>
                <w:b w:val="0"/>
                <w:sz w:val="13"/>
              </w:rPr>
              <w:t>Replay attack</w:t>
            </w:r>
          </w:p>
        </w:tc>
        <w:tc>
          <w:tcPr>
            <w:tcW w:type="dxa" w:w="720"/>
            <w:vAlign w:val="top"/>
          </w:tcPr>
          <w:p>
            <w:pPr>
              <w:spacing w:after="0"/>
            </w:pPr>
            <w:r/>
            <w:r>
              <w:rPr>
                <w:b w:val="0"/>
                <w:sz w:val="13"/>
              </w:rPr>
              <w:t>T</w:t>
            </w:r>
          </w:p>
        </w:tc>
        <w:tc>
          <w:tcPr>
            <w:tcW w:type="dxa" w:w="3024"/>
            <w:vAlign w:val="top"/>
          </w:tcPr>
          <w:p>
            <w:pPr>
              <w:spacing w:after="0"/>
            </w:pPr>
            <w:r/>
            <w:r>
              <w:rPr>
                <w:b w:val="0"/>
                <w:sz w:val="13"/>
              </w:rPr>
              <w:t>Old valid request is replayed.</w:t>
            </w:r>
          </w:p>
        </w:tc>
        <w:tc>
          <w:tcPr>
            <w:tcW w:type="dxa" w:w="3456"/>
            <w:vAlign w:val="top"/>
          </w:tcPr>
          <w:p>
            <w:pPr>
              <w:spacing w:after="0"/>
            </w:pPr>
            <w:r/>
            <w:r>
              <w:rPr>
                <w:b w:val="0"/>
                <w:sz w:val="13"/>
              </w:rPr>
              <w:t>Nonce, timestamp, transaction ID, TTL, replay cache.</w:t>
            </w:r>
          </w:p>
        </w:tc>
        <w:tc>
          <w:tcPr>
            <w:tcW w:type="dxa" w:w="1728"/>
            <w:vAlign w:val="top"/>
          </w:tcPr>
          <w:p>
            <w:pPr>
              <w:spacing w:after="0"/>
            </w:pPr>
            <w:r/>
            <w:r>
              <w:rPr>
                <w:b w:val="0"/>
                <w:sz w:val="13"/>
              </w:rPr>
              <w:t>Replay test rejected and logged.</w:t>
            </w:r>
          </w:p>
        </w:tc>
      </w:tr>
      <w:tr>
        <w:trPr>
          <w:cantSplit/>
        </w:trPr>
        <w:tc>
          <w:tcPr>
            <w:tcW w:type="dxa" w:w="576"/>
            <w:vAlign w:val="top"/>
          </w:tcPr>
          <w:p>
            <w:pPr>
              <w:spacing w:after="0"/>
            </w:pPr>
            <w:r/>
            <w:r>
              <w:rPr>
                <w:b w:val="0"/>
                <w:sz w:val="13"/>
              </w:rPr>
              <w:t>T04</w:t>
            </w:r>
          </w:p>
        </w:tc>
        <w:tc>
          <w:tcPr>
            <w:tcW w:type="dxa" w:w="1728"/>
            <w:vAlign w:val="top"/>
          </w:tcPr>
          <w:p>
            <w:pPr>
              <w:spacing w:after="0"/>
            </w:pPr>
            <w:r/>
            <w:r>
              <w:rPr>
                <w:b w:val="0"/>
                <w:sz w:val="13"/>
              </w:rPr>
              <w:t>Policy bypass</w:t>
            </w:r>
          </w:p>
        </w:tc>
        <w:tc>
          <w:tcPr>
            <w:tcW w:type="dxa" w:w="720"/>
            <w:vAlign w:val="top"/>
          </w:tcPr>
          <w:p>
            <w:pPr>
              <w:spacing w:after="0"/>
            </w:pPr>
            <w:r/>
            <w:r>
              <w:rPr>
                <w:b w:val="0"/>
                <w:sz w:val="13"/>
              </w:rPr>
              <w:t>E</w:t>
            </w:r>
          </w:p>
        </w:tc>
        <w:tc>
          <w:tcPr>
            <w:tcW w:type="dxa" w:w="3024"/>
            <w:vAlign w:val="top"/>
          </w:tcPr>
          <w:p>
            <w:pPr>
              <w:spacing w:after="0"/>
            </w:pPr>
            <w:r/>
            <w:r>
              <w:rPr>
                <w:b w:val="0"/>
                <w:sz w:val="13"/>
              </w:rPr>
              <w:t>Service call avoids PurposeGuard or stale local policy.</w:t>
            </w:r>
          </w:p>
        </w:tc>
        <w:tc>
          <w:tcPr>
            <w:tcW w:type="dxa" w:w="3456"/>
            <w:vAlign w:val="top"/>
          </w:tcPr>
          <w:p>
            <w:pPr>
              <w:spacing w:after="0"/>
            </w:pPr>
            <w:r/>
            <w:r>
              <w:rPr>
                <w:b w:val="0"/>
                <w:sz w:val="13"/>
              </w:rPr>
              <w:t>Trust Node mandatory enforcement, signed policies, expired-config refusal, policy tests.</w:t>
            </w:r>
          </w:p>
        </w:tc>
        <w:tc>
          <w:tcPr>
            <w:tcW w:type="dxa" w:w="1728"/>
            <w:vAlign w:val="top"/>
          </w:tcPr>
          <w:p>
            <w:pPr>
              <w:spacing w:after="0"/>
            </w:pPr>
            <w:r/>
            <w:r>
              <w:rPr>
                <w:b w:val="0"/>
                <w:sz w:val="13"/>
              </w:rPr>
              <w:t>Policy enforcement test report.</w:t>
            </w:r>
          </w:p>
        </w:tc>
      </w:tr>
      <w:tr>
        <w:trPr>
          <w:cantSplit/>
        </w:trPr>
        <w:tc>
          <w:tcPr>
            <w:tcW w:type="dxa" w:w="576"/>
            <w:vAlign w:val="top"/>
          </w:tcPr>
          <w:p>
            <w:pPr>
              <w:spacing w:after="0"/>
            </w:pPr>
            <w:r/>
            <w:r>
              <w:rPr>
                <w:b w:val="0"/>
                <w:sz w:val="13"/>
              </w:rPr>
              <w:t>T05</w:t>
            </w:r>
          </w:p>
        </w:tc>
        <w:tc>
          <w:tcPr>
            <w:tcW w:type="dxa" w:w="1728"/>
            <w:vAlign w:val="top"/>
          </w:tcPr>
          <w:p>
            <w:pPr>
              <w:spacing w:after="0"/>
            </w:pPr>
            <w:r/>
            <w:r>
              <w:rPr>
                <w:b w:val="0"/>
                <w:sz w:val="13"/>
              </w:rPr>
              <w:t>Over-sharing</w:t>
            </w:r>
          </w:p>
        </w:tc>
        <w:tc>
          <w:tcPr>
            <w:tcW w:type="dxa" w:w="720"/>
            <w:vAlign w:val="top"/>
          </w:tcPr>
          <w:p>
            <w:pPr>
              <w:spacing w:after="0"/>
            </w:pPr>
            <w:r/>
            <w:r>
              <w:rPr>
                <w:b w:val="0"/>
                <w:sz w:val="13"/>
              </w:rPr>
              <w:t>I</w:t>
            </w:r>
          </w:p>
        </w:tc>
        <w:tc>
          <w:tcPr>
            <w:tcW w:type="dxa" w:w="3024"/>
            <w:vAlign w:val="top"/>
          </w:tcPr>
          <w:p>
            <w:pPr>
              <w:spacing w:after="0"/>
            </w:pPr>
            <w:r/>
            <w:r>
              <w:rPr>
                <w:b w:val="0"/>
                <w:sz w:val="13"/>
              </w:rPr>
              <w:t>Provider returns full record for a purpose needing only yes/no.</w:t>
            </w:r>
          </w:p>
        </w:tc>
        <w:tc>
          <w:tcPr>
            <w:tcW w:type="dxa" w:w="3456"/>
            <w:vAlign w:val="top"/>
          </w:tcPr>
          <w:p>
            <w:pPr>
              <w:spacing w:after="0"/>
            </w:pPr>
            <w:r/>
            <w:r>
              <w:rPr>
                <w:b w:val="0"/>
                <w:sz w:val="13"/>
              </w:rPr>
              <w:t>Minimisation rules, response shaping, data class constraints, DPIA gate.</w:t>
            </w:r>
          </w:p>
        </w:tc>
        <w:tc>
          <w:tcPr>
            <w:tcW w:type="dxa" w:w="1728"/>
            <w:vAlign w:val="top"/>
          </w:tcPr>
          <w:p>
            <w:pPr>
              <w:spacing w:after="0"/>
            </w:pPr>
            <w:r/>
            <w:r>
              <w:rPr>
                <w:b w:val="0"/>
                <w:sz w:val="13"/>
              </w:rPr>
              <w:t>Minimisation test evidence.</w:t>
            </w:r>
          </w:p>
        </w:tc>
      </w:tr>
      <w:tr>
        <w:trPr>
          <w:cantSplit/>
        </w:trPr>
        <w:tc>
          <w:tcPr>
            <w:tcW w:type="dxa" w:w="576"/>
            <w:vAlign w:val="top"/>
          </w:tcPr>
          <w:p>
            <w:pPr>
              <w:spacing w:after="0"/>
            </w:pPr>
            <w:r/>
            <w:r>
              <w:rPr>
                <w:b w:val="0"/>
                <w:sz w:val="13"/>
              </w:rPr>
              <w:t>T06</w:t>
            </w:r>
          </w:p>
        </w:tc>
        <w:tc>
          <w:tcPr>
            <w:tcW w:type="dxa" w:w="1728"/>
            <w:vAlign w:val="top"/>
          </w:tcPr>
          <w:p>
            <w:pPr>
              <w:spacing w:after="0"/>
            </w:pPr>
            <w:r/>
            <w:r>
              <w:rPr>
                <w:b w:val="0"/>
                <w:sz w:val="13"/>
              </w:rPr>
              <w:t>Audit tampering</w:t>
            </w:r>
          </w:p>
        </w:tc>
        <w:tc>
          <w:tcPr>
            <w:tcW w:type="dxa" w:w="720"/>
            <w:vAlign w:val="top"/>
          </w:tcPr>
          <w:p>
            <w:pPr>
              <w:spacing w:after="0"/>
            </w:pPr>
            <w:r/>
            <w:r>
              <w:rPr>
                <w:b w:val="0"/>
                <w:sz w:val="13"/>
              </w:rPr>
              <w:t>R/T</w:t>
            </w:r>
          </w:p>
        </w:tc>
        <w:tc>
          <w:tcPr>
            <w:tcW w:type="dxa" w:w="3024"/>
            <w:vAlign w:val="top"/>
          </w:tcPr>
          <w:p>
            <w:pPr>
              <w:spacing w:after="0"/>
            </w:pPr>
            <w:r/>
            <w:r>
              <w:rPr>
                <w:b w:val="0"/>
                <w:sz w:val="13"/>
              </w:rPr>
              <w:t>Logs modified or deleted after misuse.</w:t>
            </w:r>
          </w:p>
        </w:tc>
        <w:tc>
          <w:tcPr>
            <w:tcW w:type="dxa" w:w="3456"/>
            <w:vAlign w:val="top"/>
          </w:tcPr>
          <w:p>
            <w:pPr>
              <w:spacing w:after="0"/>
            </w:pPr>
            <w:r/>
            <w:r>
              <w:rPr>
                <w:b w:val="0"/>
                <w:sz w:val="13"/>
              </w:rPr>
              <w:t>Immutable storage, hash chain, timestamp, requester/provider reconciliation.</w:t>
            </w:r>
          </w:p>
        </w:tc>
        <w:tc>
          <w:tcPr>
            <w:tcW w:type="dxa" w:w="1728"/>
            <w:vAlign w:val="top"/>
          </w:tcPr>
          <w:p>
            <w:pPr>
              <w:spacing w:after="0"/>
            </w:pPr>
            <w:r/>
            <w:r>
              <w:rPr>
                <w:b w:val="0"/>
                <w:sz w:val="13"/>
              </w:rPr>
              <w:t>Audit integrity proof.</w:t>
            </w:r>
          </w:p>
        </w:tc>
      </w:tr>
      <w:tr>
        <w:trPr>
          <w:cantSplit/>
        </w:trPr>
        <w:tc>
          <w:tcPr>
            <w:tcW w:type="dxa" w:w="576"/>
            <w:vAlign w:val="top"/>
          </w:tcPr>
          <w:p>
            <w:pPr>
              <w:spacing w:after="0"/>
            </w:pPr>
            <w:r/>
            <w:r>
              <w:rPr>
                <w:b w:val="0"/>
                <w:sz w:val="13"/>
              </w:rPr>
              <w:t>T07</w:t>
            </w:r>
          </w:p>
        </w:tc>
        <w:tc>
          <w:tcPr>
            <w:tcW w:type="dxa" w:w="1728"/>
            <w:vAlign w:val="top"/>
          </w:tcPr>
          <w:p>
            <w:pPr>
              <w:spacing w:after="0"/>
            </w:pPr>
            <w:r/>
            <w:r>
              <w:rPr>
                <w:b w:val="0"/>
                <w:sz w:val="13"/>
              </w:rPr>
              <w:t>Insider misuse</w:t>
            </w:r>
          </w:p>
        </w:tc>
        <w:tc>
          <w:tcPr>
            <w:tcW w:type="dxa" w:w="720"/>
            <w:vAlign w:val="top"/>
          </w:tcPr>
          <w:p>
            <w:pPr>
              <w:spacing w:after="0"/>
            </w:pPr>
            <w:r/>
            <w:r>
              <w:rPr>
                <w:b w:val="0"/>
                <w:sz w:val="13"/>
              </w:rPr>
              <w:t>E/I</w:t>
            </w:r>
          </w:p>
        </w:tc>
        <w:tc>
          <w:tcPr>
            <w:tcW w:type="dxa" w:w="3024"/>
            <w:vAlign w:val="top"/>
          </w:tcPr>
          <w:p>
            <w:pPr>
              <w:spacing w:after="0"/>
            </w:pPr>
            <w:r/>
            <w:r>
              <w:rPr>
                <w:b w:val="0"/>
                <w:sz w:val="13"/>
              </w:rPr>
              <w:t>Privileged user approves or accesses data improperly.</w:t>
            </w:r>
          </w:p>
        </w:tc>
        <w:tc>
          <w:tcPr>
            <w:tcW w:type="dxa" w:w="3456"/>
            <w:vAlign w:val="top"/>
          </w:tcPr>
          <w:p>
            <w:pPr>
              <w:spacing w:after="0"/>
            </w:pPr>
            <w:r/>
            <w:r>
              <w:rPr>
                <w:b w:val="0"/>
                <w:sz w:val="13"/>
              </w:rPr>
              <w:t>RBAC/ABAC, four-eye approvals, reason codes, audit review, anomaly alerts.</w:t>
            </w:r>
          </w:p>
        </w:tc>
        <w:tc>
          <w:tcPr>
            <w:tcW w:type="dxa" w:w="1728"/>
            <w:vAlign w:val="top"/>
          </w:tcPr>
          <w:p>
            <w:pPr>
              <w:spacing w:after="0"/>
            </w:pPr>
            <w:r/>
            <w:r>
              <w:rPr>
                <w:b w:val="0"/>
                <w:sz w:val="13"/>
              </w:rPr>
              <w:t>Access review and anomaly reports.</w:t>
            </w:r>
          </w:p>
        </w:tc>
      </w:tr>
      <w:tr>
        <w:trPr>
          <w:cantSplit/>
        </w:trPr>
        <w:tc>
          <w:tcPr>
            <w:tcW w:type="dxa" w:w="576"/>
            <w:vAlign w:val="top"/>
          </w:tcPr>
          <w:p>
            <w:pPr>
              <w:spacing w:after="0"/>
            </w:pPr>
            <w:r/>
            <w:r>
              <w:rPr>
                <w:b w:val="0"/>
                <w:sz w:val="13"/>
              </w:rPr>
              <w:t>T08</w:t>
            </w:r>
          </w:p>
        </w:tc>
        <w:tc>
          <w:tcPr>
            <w:tcW w:type="dxa" w:w="1728"/>
            <w:vAlign w:val="top"/>
          </w:tcPr>
          <w:p>
            <w:pPr>
              <w:spacing w:after="0"/>
            </w:pPr>
            <w:r/>
            <w:r>
              <w:rPr>
                <w:b w:val="0"/>
                <w:sz w:val="13"/>
              </w:rPr>
              <w:t>Bulk scraping</w:t>
            </w:r>
          </w:p>
        </w:tc>
        <w:tc>
          <w:tcPr>
            <w:tcW w:type="dxa" w:w="720"/>
            <w:vAlign w:val="top"/>
          </w:tcPr>
          <w:p>
            <w:pPr>
              <w:spacing w:after="0"/>
            </w:pPr>
            <w:r/>
            <w:r>
              <w:rPr>
                <w:b w:val="0"/>
                <w:sz w:val="13"/>
              </w:rPr>
              <w:t>I/D</w:t>
            </w:r>
          </w:p>
        </w:tc>
        <w:tc>
          <w:tcPr>
            <w:tcW w:type="dxa" w:w="3024"/>
            <w:vAlign w:val="top"/>
          </w:tcPr>
          <w:p>
            <w:pPr>
              <w:spacing w:after="0"/>
            </w:pPr>
            <w:r/>
            <w:r>
              <w:rPr>
                <w:b w:val="0"/>
                <w:sz w:val="13"/>
              </w:rPr>
              <w:t>Requester extracts large volumes beyond purpose.</w:t>
            </w:r>
          </w:p>
        </w:tc>
        <w:tc>
          <w:tcPr>
            <w:tcW w:type="dxa" w:w="3456"/>
            <w:vAlign w:val="top"/>
          </w:tcPr>
          <w:p>
            <w:pPr>
              <w:spacing w:after="0"/>
            </w:pPr>
            <w:r/>
            <w:r>
              <w:rPr>
                <w:b w:val="0"/>
                <w:sz w:val="13"/>
              </w:rPr>
              <w:t>Rate limits, bulk approval, volume anomaly detection, minimised response and quotas.</w:t>
            </w:r>
          </w:p>
        </w:tc>
        <w:tc>
          <w:tcPr>
            <w:tcW w:type="dxa" w:w="1728"/>
            <w:vAlign w:val="top"/>
          </w:tcPr>
          <w:p>
            <w:pPr>
              <w:spacing w:after="0"/>
            </w:pPr>
            <w:r/>
            <w:r>
              <w:rPr>
                <w:b w:val="0"/>
                <w:sz w:val="13"/>
              </w:rPr>
              <w:t>Bulk extraction denial test.</w:t>
            </w:r>
          </w:p>
        </w:tc>
      </w:tr>
      <w:tr>
        <w:trPr>
          <w:cantSplit/>
        </w:trPr>
        <w:tc>
          <w:tcPr>
            <w:tcW w:type="dxa" w:w="576"/>
            <w:vAlign w:val="top"/>
          </w:tcPr>
          <w:p>
            <w:pPr>
              <w:spacing w:after="0"/>
            </w:pPr>
            <w:r/>
            <w:r>
              <w:rPr>
                <w:b w:val="0"/>
                <w:sz w:val="13"/>
              </w:rPr>
              <w:t>T09</w:t>
            </w:r>
          </w:p>
        </w:tc>
        <w:tc>
          <w:tcPr>
            <w:tcW w:type="dxa" w:w="1728"/>
            <w:vAlign w:val="top"/>
          </w:tcPr>
          <w:p>
            <w:pPr>
              <w:spacing w:after="0"/>
            </w:pPr>
            <w:r/>
            <w:r>
              <w:rPr>
                <w:b w:val="0"/>
                <w:sz w:val="13"/>
              </w:rPr>
              <w:t>Cloud adapter misconfiguration</w:t>
            </w:r>
          </w:p>
        </w:tc>
        <w:tc>
          <w:tcPr>
            <w:tcW w:type="dxa" w:w="720"/>
            <w:vAlign w:val="top"/>
          </w:tcPr>
          <w:p>
            <w:pPr>
              <w:spacing w:after="0"/>
            </w:pPr>
            <w:r/>
            <w:r>
              <w:rPr>
                <w:b w:val="0"/>
                <w:sz w:val="13"/>
              </w:rPr>
              <w:t>T/I</w:t>
            </w:r>
          </w:p>
        </w:tc>
        <w:tc>
          <w:tcPr>
            <w:tcW w:type="dxa" w:w="3024"/>
            <w:vAlign w:val="top"/>
          </w:tcPr>
          <w:p>
            <w:pPr>
              <w:spacing w:after="0"/>
            </w:pPr>
            <w:r/>
            <w:r>
              <w:rPr>
                <w:b w:val="0"/>
                <w:sz w:val="13"/>
              </w:rPr>
              <w:t>Storage, network or IAM exposure due to provider-specific error.</w:t>
            </w:r>
          </w:p>
        </w:tc>
        <w:tc>
          <w:tcPr>
            <w:tcW w:type="dxa" w:w="3456"/>
            <w:vAlign w:val="top"/>
          </w:tcPr>
          <w:p>
            <w:pPr>
              <w:spacing w:after="0"/>
            </w:pPr>
            <w:r/>
            <w:r>
              <w:rPr>
                <w:b w:val="0"/>
                <w:sz w:val="13"/>
              </w:rPr>
              <w:t>IaC scanning, conformance tests, private networking, least privilege, security baseline.</w:t>
            </w:r>
          </w:p>
        </w:tc>
        <w:tc>
          <w:tcPr>
            <w:tcW w:type="dxa" w:w="1728"/>
            <w:vAlign w:val="top"/>
          </w:tcPr>
          <w:p>
            <w:pPr>
              <w:spacing w:after="0"/>
            </w:pPr>
            <w:r/>
            <w:r>
              <w:rPr>
                <w:b w:val="0"/>
                <w:sz w:val="13"/>
              </w:rPr>
              <w:t>Cloud conformance pack.</w:t>
            </w:r>
          </w:p>
        </w:tc>
      </w:tr>
      <w:tr>
        <w:trPr>
          <w:cantSplit/>
        </w:trPr>
        <w:tc>
          <w:tcPr>
            <w:tcW w:type="dxa" w:w="576"/>
            <w:vAlign w:val="top"/>
          </w:tcPr>
          <w:p>
            <w:pPr>
              <w:spacing w:after="0"/>
            </w:pPr>
            <w:r/>
            <w:r>
              <w:rPr>
                <w:b w:val="0"/>
                <w:sz w:val="13"/>
              </w:rPr>
              <w:t>T10</w:t>
            </w:r>
          </w:p>
        </w:tc>
        <w:tc>
          <w:tcPr>
            <w:tcW w:type="dxa" w:w="1728"/>
            <w:vAlign w:val="top"/>
          </w:tcPr>
          <w:p>
            <w:pPr>
              <w:spacing w:after="0"/>
            </w:pPr>
            <w:r/>
            <w:r>
              <w:rPr>
                <w:b w:val="0"/>
                <w:sz w:val="13"/>
              </w:rPr>
              <w:t>Legacy adapter injection</w:t>
            </w:r>
          </w:p>
        </w:tc>
        <w:tc>
          <w:tcPr>
            <w:tcW w:type="dxa" w:w="720"/>
            <w:vAlign w:val="top"/>
          </w:tcPr>
          <w:p>
            <w:pPr>
              <w:spacing w:after="0"/>
            </w:pPr>
            <w:r/>
            <w:r>
              <w:rPr>
                <w:b w:val="0"/>
                <w:sz w:val="13"/>
              </w:rPr>
              <w:t>T/I</w:t>
            </w:r>
          </w:p>
        </w:tc>
        <w:tc>
          <w:tcPr>
            <w:tcW w:type="dxa" w:w="3024"/>
            <w:vAlign w:val="top"/>
          </w:tcPr>
          <w:p>
            <w:pPr>
              <w:spacing w:after="0"/>
            </w:pPr>
            <w:r/>
            <w:r>
              <w:rPr>
                <w:b w:val="0"/>
                <w:sz w:val="13"/>
              </w:rPr>
              <w:t>Backend adapter passes unsafe query to legacy DB/app.</w:t>
            </w:r>
          </w:p>
        </w:tc>
        <w:tc>
          <w:tcPr>
            <w:tcW w:type="dxa" w:w="3456"/>
            <w:vAlign w:val="top"/>
          </w:tcPr>
          <w:p>
            <w:pPr>
              <w:spacing w:after="0"/>
            </w:pPr>
            <w:r/>
            <w:r>
              <w:rPr>
                <w:b w:val="0"/>
                <w:sz w:val="13"/>
              </w:rPr>
              <w:t>Parameterized access, input validation, adapter SDK, WAF/API schema validation, code review.</w:t>
            </w:r>
          </w:p>
        </w:tc>
        <w:tc>
          <w:tcPr>
            <w:tcW w:type="dxa" w:w="1728"/>
            <w:vAlign w:val="top"/>
          </w:tcPr>
          <w:p>
            <w:pPr>
              <w:spacing w:after="0"/>
            </w:pPr>
            <w:r/>
            <w:r>
              <w:rPr>
                <w:b w:val="0"/>
                <w:sz w:val="13"/>
              </w:rPr>
              <w:t>Adapter security test.</w:t>
            </w:r>
          </w:p>
        </w:tc>
      </w:tr>
      <w:tr>
        <w:trPr>
          <w:cantSplit/>
        </w:trPr>
        <w:tc>
          <w:tcPr>
            <w:tcW w:type="dxa" w:w="576"/>
            <w:vAlign w:val="top"/>
          </w:tcPr>
          <w:p>
            <w:pPr>
              <w:spacing w:after="0"/>
            </w:pPr>
            <w:r/>
            <w:r>
              <w:rPr>
                <w:b w:val="0"/>
                <w:sz w:val="13"/>
              </w:rPr>
              <w:t>T11</w:t>
            </w:r>
          </w:p>
        </w:tc>
        <w:tc>
          <w:tcPr>
            <w:tcW w:type="dxa" w:w="1728"/>
            <w:vAlign w:val="top"/>
          </w:tcPr>
          <w:p>
            <w:pPr>
              <w:spacing w:after="0"/>
            </w:pPr>
            <w:r/>
            <w:r>
              <w:rPr>
                <w:b w:val="0"/>
                <w:sz w:val="13"/>
              </w:rPr>
              <w:t>Certificate revocation failure</w:t>
            </w:r>
          </w:p>
        </w:tc>
        <w:tc>
          <w:tcPr>
            <w:tcW w:type="dxa" w:w="720"/>
            <w:vAlign w:val="top"/>
          </w:tcPr>
          <w:p>
            <w:pPr>
              <w:spacing w:after="0"/>
            </w:pPr>
            <w:r/>
            <w:r>
              <w:rPr>
                <w:b w:val="0"/>
                <w:sz w:val="13"/>
              </w:rPr>
              <w:t>S</w:t>
            </w:r>
          </w:p>
        </w:tc>
        <w:tc>
          <w:tcPr>
            <w:tcW w:type="dxa" w:w="3024"/>
            <w:vAlign w:val="top"/>
          </w:tcPr>
          <w:p>
            <w:pPr>
              <w:spacing w:after="0"/>
            </w:pPr>
            <w:r/>
            <w:r>
              <w:rPr>
                <w:b w:val="0"/>
                <w:sz w:val="13"/>
              </w:rPr>
              <w:t>Revoked certificate still accepted by some nodes.</w:t>
            </w:r>
          </w:p>
        </w:tc>
        <w:tc>
          <w:tcPr>
            <w:tcW w:type="dxa" w:w="3456"/>
            <w:vAlign w:val="top"/>
          </w:tcPr>
          <w:p>
            <w:pPr>
              <w:spacing w:after="0"/>
            </w:pPr>
            <w:r/>
            <w:r>
              <w:rPr>
                <w:b w:val="0"/>
                <w:sz w:val="13"/>
              </w:rPr>
              <w:t>Revocation list/status cache, emergency channel, short cert TTL, revocation propagation test.</w:t>
            </w:r>
          </w:p>
        </w:tc>
        <w:tc>
          <w:tcPr>
            <w:tcW w:type="dxa" w:w="1728"/>
            <w:vAlign w:val="top"/>
          </w:tcPr>
          <w:p>
            <w:pPr>
              <w:spacing w:after="0"/>
            </w:pPr>
            <w:r/>
            <w:r>
              <w:rPr>
                <w:b w:val="0"/>
                <w:sz w:val="13"/>
              </w:rPr>
              <w:t>Revocation propagation SLA.</w:t>
            </w:r>
          </w:p>
        </w:tc>
      </w:tr>
      <w:tr>
        <w:trPr>
          <w:cantSplit/>
        </w:trPr>
        <w:tc>
          <w:tcPr>
            <w:tcW w:type="dxa" w:w="576"/>
            <w:vAlign w:val="top"/>
          </w:tcPr>
          <w:p>
            <w:pPr>
              <w:spacing w:after="0"/>
            </w:pPr>
            <w:r/>
            <w:r>
              <w:rPr>
                <w:b w:val="0"/>
                <w:sz w:val="13"/>
              </w:rPr>
              <w:t>T12</w:t>
            </w:r>
          </w:p>
        </w:tc>
        <w:tc>
          <w:tcPr>
            <w:tcW w:type="dxa" w:w="1728"/>
            <w:vAlign w:val="top"/>
          </w:tcPr>
          <w:p>
            <w:pPr>
              <w:spacing w:after="0"/>
            </w:pPr>
            <w:r/>
            <w:r>
              <w:rPr>
                <w:b w:val="0"/>
                <w:sz w:val="13"/>
              </w:rPr>
              <w:t>Citizen notice gap</w:t>
            </w:r>
          </w:p>
        </w:tc>
        <w:tc>
          <w:tcPr>
            <w:tcW w:type="dxa" w:w="720"/>
            <w:vAlign w:val="top"/>
          </w:tcPr>
          <w:p>
            <w:pPr>
              <w:spacing w:after="0"/>
            </w:pPr>
            <w:r/>
            <w:r>
              <w:rPr>
                <w:b w:val="0"/>
                <w:sz w:val="13"/>
              </w:rPr>
              <w:t>R/I</w:t>
            </w:r>
          </w:p>
        </w:tc>
        <w:tc>
          <w:tcPr>
            <w:tcW w:type="dxa" w:w="3024"/>
            <w:vAlign w:val="top"/>
          </w:tcPr>
          <w:p>
            <w:pPr>
              <w:spacing w:after="0"/>
            </w:pPr>
            <w:r/>
            <w:r>
              <w:rPr>
                <w:b w:val="0"/>
                <w:sz w:val="13"/>
              </w:rPr>
              <w:t>Citizen-linked data exchanged without visible purpose or route to grievance.</w:t>
            </w:r>
          </w:p>
        </w:tc>
        <w:tc>
          <w:tcPr>
            <w:tcW w:type="dxa" w:w="3456"/>
            <w:vAlign w:val="top"/>
          </w:tcPr>
          <w:p>
            <w:pPr>
              <w:spacing w:after="0"/>
            </w:pPr>
            <w:r/>
            <w:r>
              <w:rPr>
                <w:b w:val="0"/>
                <w:sz w:val="13"/>
              </w:rPr>
              <w:t>Notice registry, sharing history, grievance integration, DPIA gate.</w:t>
            </w:r>
          </w:p>
        </w:tc>
        <w:tc>
          <w:tcPr>
            <w:tcW w:type="dxa" w:w="1728"/>
            <w:vAlign w:val="top"/>
          </w:tcPr>
          <w:p>
            <w:pPr>
              <w:spacing w:after="0"/>
            </w:pPr>
            <w:r/>
            <w:r>
              <w:rPr>
                <w:b w:val="0"/>
                <w:sz w:val="13"/>
              </w:rPr>
              <w:t>Citizen flow audit sample.</w:t>
            </w:r>
          </w:p>
        </w:tc>
      </w:tr>
      <w:tr>
        <w:trPr>
          <w:cantSplit/>
        </w:trPr>
        <w:tc>
          <w:tcPr>
            <w:tcW w:type="dxa" w:w="576"/>
            <w:vAlign w:val="top"/>
          </w:tcPr>
          <w:p>
            <w:pPr>
              <w:spacing w:after="0"/>
            </w:pPr>
            <w:r/>
            <w:r>
              <w:rPr>
                <w:b w:val="0"/>
                <w:sz w:val="13"/>
              </w:rPr>
              <w:t>T13</w:t>
            </w:r>
          </w:p>
        </w:tc>
        <w:tc>
          <w:tcPr>
            <w:tcW w:type="dxa" w:w="1728"/>
            <w:vAlign w:val="top"/>
          </w:tcPr>
          <w:p>
            <w:pPr>
              <w:spacing w:after="0"/>
            </w:pPr>
            <w:r/>
            <w:r>
              <w:rPr>
                <w:b w:val="0"/>
                <w:sz w:val="13"/>
              </w:rPr>
              <w:t>Denial of service</w:t>
            </w:r>
          </w:p>
        </w:tc>
        <w:tc>
          <w:tcPr>
            <w:tcW w:type="dxa" w:w="720"/>
            <w:vAlign w:val="top"/>
          </w:tcPr>
          <w:p>
            <w:pPr>
              <w:spacing w:after="0"/>
            </w:pPr>
            <w:r/>
            <w:r>
              <w:rPr>
                <w:b w:val="0"/>
                <w:sz w:val="13"/>
              </w:rPr>
              <w:t>D</w:t>
            </w:r>
          </w:p>
        </w:tc>
        <w:tc>
          <w:tcPr>
            <w:tcW w:type="dxa" w:w="3024"/>
            <w:vAlign w:val="top"/>
          </w:tcPr>
          <w:p>
            <w:pPr>
              <w:spacing w:after="0"/>
            </w:pPr>
            <w:r/>
            <w:r>
              <w:rPr>
                <w:b w:val="0"/>
                <w:sz w:val="13"/>
              </w:rPr>
              <w:t>Node or control plane overwhelmed.</w:t>
            </w:r>
          </w:p>
        </w:tc>
        <w:tc>
          <w:tcPr>
            <w:tcW w:type="dxa" w:w="3456"/>
            <w:vAlign w:val="top"/>
          </w:tcPr>
          <w:p>
            <w:pPr>
              <w:spacing w:after="0"/>
            </w:pPr>
            <w:r/>
            <w:r>
              <w:rPr>
                <w:b w:val="0"/>
                <w:sz w:val="13"/>
              </w:rPr>
              <w:t>Autoscaling, queues, rate limits, circuit breakers, cached config, traffic shaping.</w:t>
            </w:r>
          </w:p>
        </w:tc>
        <w:tc>
          <w:tcPr>
            <w:tcW w:type="dxa" w:w="1728"/>
            <w:vAlign w:val="top"/>
          </w:tcPr>
          <w:p>
            <w:pPr>
              <w:spacing w:after="0"/>
            </w:pPr>
            <w:r/>
            <w:r>
              <w:rPr>
                <w:b w:val="0"/>
                <w:sz w:val="13"/>
              </w:rPr>
              <w:t>Load and failover test.</w:t>
            </w:r>
          </w:p>
        </w:tc>
      </w:tr>
      <w:tr>
        <w:trPr>
          <w:cantSplit/>
        </w:trPr>
        <w:tc>
          <w:tcPr>
            <w:tcW w:type="dxa" w:w="576"/>
            <w:vAlign w:val="top"/>
          </w:tcPr>
          <w:p>
            <w:pPr>
              <w:spacing w:after="0"/>
            </w:pPr>
            <w:r/>
            <w:r>
              <w:rPr>
                <w:b w:val="0"/>
                <w:sz w:val="13"/>
              </w:rPr>
              <w:t>T14</w:t>
            </w:r>
          </w:p>
        </w:tc>
        <w:tc>
          <w:tcPr>
            <w:tcW w:type="dxa" w:w="1728"/>
            <w:vAlign w:val="top"/>
          </w:tcPr>
          <w:p>
            <w:pPr>
              <w:spacing w:after="0"/>
            </w:pPr>
            <w:r/>
            <w:r>
              <w:rPr>
                <w:b w:val="0"/>
                <w:sz w:val="13"/>
              </w:rPr>
              <w:t>Provider lock-in</w:t>
            </w:r>
          </w:p>
        </w:tc>
        <w:tc>
          <w:tcPr>
            <w:tcW w:type="dxa" w:w="720"/>
            <w:vAlign w:val="top"/>
          </w:tcPr>
          <w:p>
            <w:pPr>
              <w:spacing w:after="0"/>
            </w:pPr>
            <w:r/>
            <w:r>
              <w:rPr>
                <w:b w:val="0"/>
                <w:sz w:val="13"/>
              </w:rPr>
              <w:t>T/R</w:t>
            </w:r>
          </w:p>
        </w:tc>
        <w:tc>
          <w:tcPr>
            <w:tcW w:type="dxa" w:w="3024"/>
            <w:vAlign w:val="top"/>
          </w:tcPr>
          <w:p>
            <w:pPr>
              <w:spacing w:after="0"/>
            </w:pPr>
            <w:r/>
            <w:r>
              <w:rPr>
                <w:b w:val="0"/>
                <w:sz w:val="13"/>
              </w:rPr>
              <w:t>Core logic depends on one cloud service and cannot move.</w:t>
            </w:r>
          </w:p>
        </w:tc>
        <w:tc>
          <w:tcPr>
            <w:tcW w:type="dxa" w:w="3456"/>
            <w:vAlign w:val="top"/>
          </w:tcPr>
          <w:p>
            <w:pPr>
              <w:spacing w:after="0"/>
            </w:pPr>
            <w:r/>
            <w:r>
              <w:rPr>
                <w:b w:val="0"/>
                <w:sz w:val="13"/>
              </w:rPr>
              <w:t>Cloud adapter separation, portability tests, exit architecture, open standards.</w:t>
            </w:r>
          </w:p>
        </w:tc>
        <w:tc>
          <w:tcPr>
            <w:tcW w:type="dxa" w:w="1728"/>
            <w:vAlign w:val="top"/>
          </w:tcPr>
          <w:p>
            <w:pPr>
              <w:spacing w:after="0"/>
            </w:pPr>
            <w:r/>
            <w:r>
              <w:rPr>
                <w:b w:val="0"/>
                <w:sz w:val="13"/>
              </w:rPr>
              <w:t>Two-cloud deployment evidence.</w:t>
            </w:r>
          </w:p>
        </w:tc>
      </w:tr>
      <w:tr>
        <w:trPr>
          <w:cantSplit/>
        </w:trPr>
        <w:tc>
          <w:tcPr>
            <w:tcW w:type="dxa" w:w="576"/>
            <w:vAlign w:val="top"/>
          </w:tcPr>
          <w:p>
            <w:pPr>
              <w:spacing w:after="0"/>
            </w:pPr>
            <w:r/>
            <w:r>
              <w:rPr>
                <w:b w:val="0"/>
                <w:sz w:val="13"/>
              </w:rPr>
              <w:t>T15</w:t>
            </w:r>
          </w:p>
        </w:tc>
        <w:tc>
          <w:tcPr>
            <w:tcW w:type="dxa" w:w="1728"/>
            <w:vAlign w:val="top"/>
          </w:tcPr>
          <w:p>
            <w:pPr>
              <w:spacing w:after="0"/>
            </w:pPr>
            <w:r/>
            <w:r>
              <w:rPr>
                <w:b w:val="0"/>
                <w:sz w:val="13"/>
              </w:rPr>
              <w:t>Unauthorized object access</w:t>
            </w:r>
          </w:p>
        </w:tc>
        <w:tc>
          <w:tcPr>
            <w:tcW w:type="dxa" w:w="720"/>
            <w:vAlign w:val="top"/>
          </w:tcPr>
          <w:p>
            <w:pPr>
              <w:spacing w:after="0"/>
            </w:pPr>
            <w:r/>
            <w:r>
              <w:rPr>
                <w:b w:val="0"/>
                <w:sz w:val="13"/>
              </w:rPr>
              <w:t>E/I</w:t>
            </w:r>
          </w:p>
        </w:tc>
        <w:tc>
          <w:tcPr>
            <w:tcW w:type="dxa" w:w="3024"/>
            <w:vAlign w:val="top"/>
          </w:tcPr>
          <w:p>
            <w:pPr>
              <w:spacing w:after="0"/>
            </w:pPr>
            <w:r/>
            <w:r>
              <w:rPr>
                <w:b w:val="0"/>
                <w:sz w:val="13"/>
              </w:rPr>
              <w:t>Consumer manipulates identifiers to access another citizen/context.</w:t>
            </w:r>
          </w:p>
        </w:tc>
        <w:tc>
          <w:tcPr>
            <w:tcW w:type="dxa" w:w="3456"/>
            <w:vAlign w:val="top"/>
          </w:tcPr>
          <w:p>
            <w:pPr>
              <w:spacing w:after="0"/>
            </w:pPr>
            <w:r/>
            <w:r>
              <w:rPr>
                <w:b w:val="0"/>
                <w:sz w:val="13"/>
              </w:rPr>
              <w:t>Object-level authorisation, purpose/context binding, ABAC, test cases for ID tampering.</w:t>
            </w:r>
          </w:p>
        </w:tc>
        <w:tc>
          <w:tcPr>
            <w:tcW w:type="dxa" w:w="1728"/>
            <w:vAlign w:val="top"/>
          </w:tcPr>
          <w:p>
            <w:pPr>
              <w:spacing w:after="0"/>
            </w:pPr>
            <w:r/>
            <w:r>
              <w:rPr>
                <w:b w:val="0"/>
                <w:sz w:val="13"/>
              </w:rPr>
              <w:t>BOLA-style negative tests.</w:t>
            </w:r>
          </w:p>
        </w:tc>
      </w:tr>
    </w:tbl>
    <w:p>
      <w:pPr>
        <w:pStyle w:val="Heading2"/>
      </w:pPr>
      <w:r>
        <w:t>23.2 Threat-model acceptance gates</w:t>
      </w:r>
    </w:p>
    <w:p>
      <w:pPr>
        <w:pStyle w:val="ListBullet"/>
        <w:spacing w:after="40"/>
      </w:pPr>
      <w:r>
        <w:t>No production onboarding without completed threat model for service and adapter.</w:t>
      </w:r>
    </w:p>
    <w:p>
      <w:pPr>
        <w:pStyle w:val="ListBullet"/>
        <w:spacing w:after="40"/>
      </w:pPr>
      <w:r>
        <w:t>No personal-data exchange without DPIA and minimisation design.</w:t>
      </w:r>
    </w:p>
    <w:p>
      <w:pPr>
        <w:pStyle w:val="ListBullet"/>
        <w:spacing w:after="40"/>
      </w:pPr>
      <w:r>
        <w:t>No production Trust Node without key lifecycle and revocation drill.</w:t>
      </w:r>
    </w:p>
    <w:p>
      <w:pPr>
        <w:pStyle w:val="ListBullet"/>
        <w:spacing w:after="40"/>
      </w:pPr>
      <w:r>
        <w:t>No cloud environment without conformance evidence and security baseline approval.</w:t>
      </w:r>
    </w:p>
    <w:p>
      <w:pPr>
        <w:pStyle w:val="ListBullet"/>
        <w:spacing w:after="40"/>
      </w:pPr>
      <w:r>
        <w:t>No audit launch without tamper-evidence and log reconciliation test.</w:t>
      </w:r>
    </w:p>
    <w:p>
      <w:r>
        <w:br w:type="page"/>
      </w:r>
    </w:p>
    <w:p>
      <w:pPr>
        <w:pStyle w:val="Heading1"/>
      </w:pPr>
      <w:r>
        <w:t>24. Annexure B - Privacy impact assessment</w:t>
      </w:r>
    </w:p>
    <w:p>
      <w:pPr>
        <w:spacing w:after="100"/>
      </w:pPr>
      <w:r>
        <w:t>This DPIA template converts privacy and governance expectations into go-live evidence. It should be completed per service, dataset or citizen-linked flow.</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cantSplit/>
          <w:tblHeader/>
        </w:trPr>
        <w:tc>
          <w:tcPr>
            <w:tcW w:type="dxa" w:w="720"/>
            <w:vAlign w:val="top"/>
            <w:shd w:fill="17365D"/>
          </w:tcPr>
          <w:p>
            <w:pPr>
              <w:spacing w:after="0"/>
            </w:pPr>
            <w:r/>
            <w:r>
              <w:rPr>
                <w:b/>
                <w:color w:val="FFFFFF"/>
                <w:sz w:val="16"/>
              </w:rPr>
              <w:t>Step</w:t>
            </w:r>
          </w:p>
        </w:tc>
        <w:tc>
          <w:tcPr>
            <w:tcW w:type="dxa" w:w="2880"/>
            <w:vAlign w:val="top"/>
            <w:shd w:fill="17365D"/>
          </w:tcPr>
          <w:p>
            <w:pPr>
              <w:spacing w:after="0"/>
            </w:pPr>
            <w:r/>
            <w:r>
              <w:rPr>
                <w:b/>
                <w:color w:val="FFFFFF"/>
                <w:sz w:val="16"/>
              </w:rPr>
              <w:t>DPIA element</w:t>
            </w:r>
          </w:p>
        </w:tc>
        <w:tc>
          <w:tcPr>
            <w:tcW w:type="dxa" w:w="7632"/>
            <w:vAlign w:val="top"/>
            <w:shd w:fill="17365D"/>
          </w:tcPr>
          <w:p>
            <w:pPr>
              <w:spacing w:after="0"/>
            </w:pPr>
            <w:r/>
            <w:r>
              <w:rPr>
                <w:b/>
                <w:color w:val="FFFFFF"/>
                <w:sz w:val="16"/>
              </w:rPr>
              <w:t>Required evidence</w:t>
            </w:r>
          </w:p>
        </w:tc>
      </w:tr>
      <w:tr>
        <w:trPr>
          <w:cantSplit/>
        </w:trPr>
        <w:tc>
          <w:tcPr>
            <w:tcW w:type="dxa" w:w="720"/>
            <w:vAlign w:val="top"/>
          </w:tcPr>
          <w:p>
            <w:pPr>
              <w:spacing w:after="0"/>
            </w:pPr>
            <w:r/>
            <w:r>
              <w:rPr>
                <w:b w:val="0"/>
                <w:sz w:val="16"/>
              </w:rPr>
              <w:t>1</w:t>
            </w:r>
          </w:p>
        </w:tc>
        <w:tc>
          <w:tcPr>
            <w:tcW w:type="dxa" w:w="2880"/>
            <w:vAlign w:val="top"/>
          </w:tcPr>
          <w:p>
            <w:pPr>
              <w:spacing w:after="0"/>
            </w:pPr>
            <w:r/>
            <w:r>
              <w:rPr>
                <w:b w:val="0"/>
                <w:sz w:val="16"/>
              </w:rPr>
              <w:t>Service / dataset name</w:t>
            </w:r>
          </w:p>
        </w:tc>
        <w:tc>
          <w:tcPr>
            <w:tcW w:type="dxa" w:w="7632"/>
            <w:vAlign w:val="top"/>
          </w:tcPr>
          <w:p>
            <w:pPr>
              <w:spacing w:after="0"/>
            </w:pPr>
            <w:r/>
            <w:r>
              <w:rPr>
                <w:b w:val="0"/>
                <w:sz w:val="16"/>
              </w:rPr>
              <w:t>Name, owner, service ID, provider member, requester members and environment.</w:t>
            </w:r>
          </w:p>
        </w:tc>
      </w:tr>
      <w:tr>
        <w:trPr>
          <w:cantSplit/>
        </w:trPr>
        <w:tc>
          <w:tcPr>
            <w:tcW w:type="dxa" w:w="720"/>
            <w:vAlign w:val="top"/>
          </w:tcPr>
          <w:p>
            <w:pPr>
              <w:spacing w:after="0"/>
            </w:pPr>
            <w:r/>
            <w:r>
              <w:rPr>
                <w:b w:val="0"/>
                <w:sz w:val="16"/>
              </w:rPr>
              <w:t>2</w:t>
            </w:r>
          </w:p>
        </w:tc>
        <w:tc>
          <w:tcPr>
            <w:tcW w:type="dxa" w:w="2880"/>
            <w:vAlign w:val="top"/>
          </w:tcPr>
          <w:p>
            <w:pPr>
              <w:spacing w:after="0"/>
            </w:pPr>
            <w:r/>
            <w:r>
              <w:rPr>
                <w:b w:val="0"/>
                <w:sz w:val="16"/>
              </w:rPr>
              <w:t>Data class</w:t>
            </w:r>
          </w:p>
        </w:tc>
        <w:tc>
          <w:tcPr>
            <w:tcW w:type="dxa" w:w="7632"/>
            <w:vAlign w:val="top"/>
          </w:tcPr>
          <w:p>
            <w:pPr>
              <w:spacing w:after="0"/>
            </w:pPr>
            <w:r/>
            <w:r>
              <w:rPr>
                <w:b w:val="0"/>
                <w:sz w:val="16"/>
              </w:rPr>
              <w:t>Open, operational, citizen-portable, restricted/high-risk or non-shareable.</w:t>
            </w:r>
          </w:p>
        </w:tc>
      </w:tr>
      <w:tr>
        <w:trPr>
          <w:cantSplit/>
        </w:trPr>
        <w:tc>
          <w:tcPr>
            <w:tcW w:type="dxa" w:w="720"/>
            <w:vAlign w:val="top"/>
          </w:tcPr>
          <w:p>
            <w:pPr>
              <w:spacing w:after="0"/>
            </w:pPr>
            <w:r/>
            <w:r>
              <w:rPr>
                <w:b w:val="0"/>
                <w:sz w:val="16"/>
              </w:rPr>
              <w:t>3</w:t>
            </w:r>
          </w:p>
        </w:tc>
        <w:tc>
          <w:tcPr>
            <w:tcW w:type="dxa" w:w="2880"/>
            <w:vAlign w:val="top"/>
          </w:tcPr>
          <w:p>
            <w:pPr>
              <w:spacing w:after="0"/>
            </w:pPr>
            <w:r/>
            <w:r>
              <w:rPr>
                <w:b w:val="0"/>
                <w:sz w:val="16"/>
              </w:rPr>
              <w:t>Purpose</w:t>
            </w:r>
          </w:p>
        </w:tc>
        <w:tc>
          <w:tcPr>
            <w:tcW w:type="dxa" w:w="7632"/>
            <w:vAlign w:val="top"/>
          </w:tcPr>
          <w:p>
            <w:pPr>
              <w:spacing w:after="0"/>
            </w:pPr>
            <w:r/>
            <w:r>
              <w:rPr>
                <w:b w:val="0"/>
                <w:sz w:val="16"/>
              </w:rPr>
              <w:t>Purpose code, plain-language purpose text and policy owner.</w:t>
            </w:r>
          </w:p>
        </w:tc>
      </w:tr>
      <w:tr>
        <w:trPr>
          <w:cantSplit/>
        </w:trPr>
        <w:tc>
          <w:tcPr>
            <w:tcW w:type="dxa" w:w="720"/>
            <w:vAlign w:val="top"/>
          </w:tcPr>
          <w:p>
            <w:pPr>
              <w:spacing w:after="0"/>
            </w:pPr>
            <w:r/>
            <w:r>
              <w:rPr>
                <w:b w:val="0"/>
                <w:sz w:val="16"/>
              </w:rPr>
              <w:t>4</w:t>
            </w:r>
          </w:p>
        </w:tc>
        <w:tc>
          <w:tcPr>
            <w:tcW w:type="dxa" w:w="2880"/>
            <w:vAlign w:val="top"/>
          </w:tcPr>
          <w:p>
            <w:pPr>
              <w:spacing w:after="0"/>
            </w:pPr>
            <w:r/>
            <w:r>
              <w:rPr>
                <w:b w:val="0"/>
                <w:sz w:val="16"/>
              </w:rPr>
              <w:t>Lawful basis / consent / notice</w:t>
            </w:r>
          </w:p>
        </w:tc>
        <w:tc>
          <w:tcPr>
            <w:tcW w:type="dxa" w:w="7632"/>
            <w:vAlign w:val="top"/>
          </w:tcPr>
          <w:p>
            <w:pPr>
              <w:spacing w:after="0"/>
            </w:pPr>
            <w:r/>
            <w:r>
              <w:rPr>
                <w:b w:val="0"/>
                <w:sz w:val="16"/>
              </w:rPr>
              <w:t>Applicable lawful basis, consent requirement, notice text, exception path and legal reviewer.</w:t>
            </w:r>
          </w:p>
        </w:tc>
      </w:tr>
      <w:tr>
        <w:trPr>
          <w:cantSplit/>
        </w:trPr>
        <w:tc>
          <w:tcPr>
            <w:tcW w:type="dxa" w:w="720"/>
            <w:vAlign w:val="top"/>
          </w:tcPr>
          <w:p>
            <w:pPr>
              <w:spacing w:after="0"/>
            </w:pPr>
            <w:r/>
            <w:r>
              <w:rPr>
                <w:b w:val="0"/>
                <w:sz w:val="16"/>
              </w:rPr>
              <w:t>5</w:t>
            </w:r>
          </w:p>
        </w:tc>
        <w:tc>
          <w:tcPr>
            <w:tcW w:type="dxa" w:w="2880"/>
            <w:vAlign w:val="top"/>
          </w:tcPr>
          <w:p>
            <w:pPr>
              <w:spacing w:after="0"/>
            </w:pPr>
            <w:r/>
            <w:r>
              <w:rPr>
                <w:b w:val="0"/>
                <w:sz w:val="16"/>
              </w:rPr>
              <w:t>Data elements</w:t>
            </w:r>
          </w:p>
        </w:tc>
        <w:tc>
          <w:tcPr>
            <w:tcW w:type="dxa" w:w="7632"/>
            <w:vAlign w:val="top"/>
          </w:tcPr>
          <w:p>
            <w:pPr>
              <w:spacing w:after="0"/>
            </w:pPr>
            <w:r/>
            <w:r>
              <w:rPr>
                <w:b w:val="0"/>
                <w:sz w:val="16"/>
              </w:rPr>
              <w:t>Field list, sensitivity, source of truth, whether each field is necessary.</w:t>
            </w:r>
          </w:p>
        </w:tc>
      </w:tr>
      <w:tr>
        <w:trPr>
          <w:cantSplit/>
        </w:trPr>
        <w:tc>
          <w:tcPr>
            <w:tcW w:type="dxa" w:w="720"/>
            <w:vAlign w:val="top"/>
          </w:tcPr>
          <w:p>
            <w:pPr>
              <w:spacing w:after="0"/>
            </w:pPr>
            <w:r/>
            <w:r>
              <w:rPr>
                <w:b w:val="0"/>
                <w:sz w:val="16"/>
              </w:rPr>
              <w:t>6</w:t>
            </w:r>
          </w:p>
        </w:tc>
        <w:tc>
          <w:tcPr>
            <w:tcW w:type="dxa" w:w="2880"/>
            <w:vAlign w:val="top"/>
          </w:tcPr>
          <w:p>
            <w:pPr>
              <w:spacing w:after="0"/>
            </w:pPr>
            <w:r/>
            <w:r>
              <w:rPr>
                <w:b w:val="0"/>
                <w:sz w:val="16"/>
              </w:rPr>
              <w:t>Minimisation</w:t>
            </w:r>
          </w:p>
        </w:tc>
        <w:tc>
          <w:tcPr>
            <w:tcW w:type="dxa" w:w="7632"/>
            <w:vAlign w:val="top"/>
          </w:tcPr>
          <w:p>
            <w:pPr>
              <w:spacing w:after="0"/>
            </w:pPr>
            <w:r/>
            <w:r>
              <w:rPr>
                <w:b w:val="0"/>
                <w:sz w:val="16"/>
              </w:rPr>
              <w:t>Full response, masked response, yes/no assertion, signed claim or selective disclosure.</w:t>
            </w:r>
          </w:p>
        </w:tc>
      </w:tr>
      <w:tr>
        <w:trPr>
          <w:cantSplit/>
        </w:trPr>
        <w:tc>
          <w:tcPr>
            <w:tcW w:type="dxa" w:w="720"/>
            <w:vAlign w:val="top"/>
          </w:tcPr>
          <w:p>
            <w:pPr>
              <w:spacing w:after="0"/>
            </w:pPr>
            <w:r/>
            <w:r>
              <w:rPr>
                <w:b w:val="0"/>
                <w:sz w:val="16"/>
              </w:rPr>
              <w:t>7</w:t>
            </w:r>
          </w:p>
        </w:tc>
        <w:tc>
          <w:tcPr>
            <w:tcW w:type="dxa" w:w="2880"/>
            <w:vAlign w:val="top"/>
          </w:tcPr>
          <w:p>
            <w:pPr>
              <w:spacing w:after="0"/>
            </w:pPr>
            <w:r/>
            <w:r>
              <w:rPr>
                <w:b w:val="0"/>
                <w:sz w:val="16"/>
              </w:rPr>
              <w:t>Retention</w:t>
            </w:r>
          </w:p>
        </w:tc>
        <w:tc>
          <w:tcPr>
            <w:tcW w:type="dxa" w:w="7632"/>
            <w:vAlign w:val="top"/>
          </w:tcPr>
          <w:p>
            <w:pPr>
              <w:spacing w:after="0"/>
            </w:pPr>
            <w:r/>
            <w:r>
              <w:rPr>
                <w:b w:val="0"/>
                <w:sz w:val="16"/>
              </w:rPr>
              <w:t>Requester retention period, cache rule, deletion trigger and audit retention.</w:t>
            </w:r>
          </w:p>
        </w:tc>
      </w:tr>
      <w:tr>
        <w:trPr>
          <w:cantSplit/>
        </w:trPr>
        <w:tc>
          <w:tcPr>
            <w:tcW w:type="dxa" w:w="720"/>
            <w:vAlign w:val="top"/>
          </w:tcPr>
          <w:p>
            <w:pPr>
              <w:spacing w:after="0"/>
            </w:pPr>
            <w:r/>
            <w:r>
              <w:rPr>
                <w:b w:val="0"/>
                <w:sz w:val="16"/>
              </w:rPr>
              <w:t>8</w:t>
            </w:r>
          </w:p>
        </w:tc>
        <w:tc>
          <w:tcPr>
            <w:tcW w:type="dxa" w:w="2880"/>
            <w:vAlign w:val="top"/>
          </w:tcPr>
          <w:p>
            <w:pPr>
              <w:spacing w:after="0"/>
            </w:pPr>
            <w:r/>
            <w:r>
              <w:rPr>
                <w:b w:val="0"/>
                <w:sz w:val="16"/>
              </w:rPr>
              <w:t>Citizen visibility</w:t>
            </w:r>
          </w:p>
        </w:tc>
        <w:tc>
          <w:tcPr>
            <w:tcW w:type="dxa" w:w="7632"/>
            <w:vAlign w:val="top"/>
          </w:tcPr>
          <w:p>
            <w:pPr>
              <w:spacing w:after="0"/>
            </w:pPr>
            <w:r/>
            <w:r>
              <w:rPr>
                <w:b w:val="0"/>
                <w:sz w:val="16"/>
              </w:rPr>
              <w:t>Sharing history, notification, grievance, correction and escalation route.</w:t>
            </w:r>
          </w:p>
        </w:tc>
      </w:tr>
      <w:tr>
        <w:trPr>
          <w:cantSplit/>
        </w:trPr>
        <w:tc>
          <w:tcPr>
            <w:tcW w:type="dxa" w:w="720"/>
            <w:vAlign w:val="top"/>
          </w:tcPr>
          <w:p>
            <w:pPr>
              <w:spacing w:after="0"/>
            </w:pPr>
            <w:r/>
            <w:r>
              <w:rPr>
                <w:b w:val="0"/>
                <w:sz w:val="16"/>
              </w:rPr>
              <w:t>9</w:t>
            </w:r>
          </w:p>
        </w:tc>
        <w:tc>
          <w:tcPr>
            <w:tcW w:type="dxa" w:w="2880"/>
            <w:vAlign w:val="top"/>
          </w:tcPr>
          <w:p>
            <w:pPr>
              <w:spacing w:after="0"/>
            </w:pPr>
            <w:r/>
            <w:r>
              <w:rPr>
                <w:b w:val="0"/>
                <w:sz w:val="16"/>
              </w:rPr>
              <w:t>Risk assessment</w:t>
            </w:r>
          </w:p>
        </w:tc>
        <w:tc>
          <w:tcPr>
            <w:tcW w:type="dxa" w:w="7632"/>
            <w:vAlign w:val="top"/>
          </w:tcPr>
          <w:p>
            <w:pPr>
              <w:spacing w:after="0"/>
            </w:pPr>
            <w:r/>
            <w:r>
              <w:rPr>
                <w:b w:val="0"/>
                <w:sz w:val="16"/>
              </w:rPr>
              <w:t>Likelihood, impact, vulnerable groups, children, exclusion risks, misuse risks.</w:t>
            </w:r>
          </w:p>
        </w:tc>
      </w:tr>
      <w:tr>
        <w:trPr>
          <w:cantSplit/>
        </w:trPr>
        <w:tc>
          <w:tcPr>
            <w:tcW w:type="dxa" w:w="720"/>
            <w:vAlign w:val="top"/>
          </w:tcPr>
          <w:p>
            <w:pPr>
              <w:spacing w:after="0"/>
            </w:pPr>
            <w:r/>
            <w:r>
              <w:rPr>
                <w:b w:val="0"/>
                <w:sz w:val="16"/>
              </w:rPr>
              <w:t>10</w:t>
            </w:r>
          </w:p>
        </w:tc>
        <w:tc>
          <w:tcPr>
            <w:tcW w:type="dxa" w:w="2880"/>
            <w:vAlign w:val="top"/>
          </w:tcPr>
          <w:p>
            <w:pPr>
              <w:spacing w:after="0"/>
            </w:pPr>
            <w:r/>
            <w:r>
              <w:rPr>
                <w:b w:val="0"/>
                <w:sz w:val="16"/>
              </w:rPr>
              <w:t>Mitigations</w:t>
            </w:r>
          </w:p>
        </w:tc>
        <w:tc>
          <w:tcPr>
            <w:tcW w:type="dxa" w:w="7632"/>
            <w:vAlign w:val="top"/>
          </w:tcPr>
          <w:p>
            <w:pPr>
              <w:spacing w:after="0"/>
            </w:pPr>
            <w:r/>
            <w:r>
              <w:rPr>
                <w:b w:val="0"/>
                <w:sz w:val="16"/>
              </w:rPr>
              <w:t>Technical, policy, operational and human review controls.</w:t>
            </w:r>
          </w:p>
        </w:tc>
      </w:tr>
      <w:tr>
        <w:trPr>
          <w:cantSplit/>
        </w:trPr>
        <w:tc>
          <w:tcPr>
            <w:tcW w:type="dxa" w:w="720"/>
            <w:vAlign w:val="top"/>
          </w:tcPr>
          <w:p>
            <w:pPr>
              <w:spacing w:after="0"/>
            </w:pPr>
            <w:r/>
            <w:r>
              <w:rPr>
                <w:b w:val="0"/>
                <w:sz w:val="16"/>
              </w:rPr>
              <w:t>11</w:t>
            </w:r>
          </w:p>
        </w:tc>
        <w:tc>
          <w:tcPr>
            <w:tcW w:type="dxa" w:w="2880"/>
            <w:vAlign w:val="top"/>
          </w:tcPr>
          <w:p>
            <w:pPr>
              <w:spacing w:after="0"/>
            </w:pPr>
            <w:r/>
            <w:r>
              <w:rPr>
                <w:b w:val="0"/>
                <w:sz w:val="16"/>
              </w:rPr>
              <w:t>Approval</w:t>
            </w:r>
          </w:p>
        </w:tc>
        <w:tc>
          <w:tcPr>
            <w:tcW w:type="dxa" w:w="7632"/>
            <w:vAlign w:val="top"/>
          </w:tcPr>
          <w:p>
            <w:pPr>
              <w:spacing w:after="0"/>
            </w:pPr>
            <w:r/>
            <w:r>
              <w:rPr>
                <w:b w:val="0"/>
                <w:sz w:val="16"/>
              </w:rPr>
              <w:t>Data steward, privacy/legal, security, provider, requester and review date.</w:t>
            </w:r>
          </w:p>
        </w:tc>
      </w:tr>
    </w:tbl>
    <w:p>
      <w:pPr>
        <w:pStyle w:val="Heading2"/>
      </w:pPr>
      <w:r>
        <w:t>24.1 Privacy design rules</w:t>
      </w:r>
    </w:p>
    <w:p>
      <w:pPr>
        <w:pStyle w:val="ListBullet"/>
        <w:spacing w:after="40"/>
      </w:pPr>
      <w:r>
        <w:t>Classify before sharing.</w:t>
      </w:r>
    </w:p>
    <w:p>
      <w:pPr>
        <w:pStyle w:val="ListBullet"/>
        <w:spacing w:after="40"/>
      </w:pPr>
      <w:r>
        <w:t>Approve purpose before access.</w:t>
      </w:r>
    </w:p>
    <w:p>
      <w:pPr>
        <w:pStyle w:val="ListBullet"/>
        <w:spacing w:after="40"/>
      </w:pPr>
      <w:r>
        <w:t>Minimise before responding.</w:t>
      </w:r>
    </w:p>
    <w:p>
      <w:pPr>
        <w:pStyle w:val="ListBullet"/>
        <w:spacing w:after="40"/>
      </w:pPr>
      <w:r>
        <w:t>Log before returning response.</w:t>
      </w:r>
    </w:p>
    <w:p>
      <w:pPr>
        <w:pStyle w:val="ListBullet"/>
        <w:spacing w:after="40"/>
      </w:pPr>
      <w:r>
        <w:t>Show citizen-readable purpose where citizen-linked data is involved.</w:t>
      </w:r>
    </w:p>
    <w:p>
      <w:pPr>
        <w:pStyle w:val="ListBullet"/>
        <w:spacing w:after="40"/>
      </w:pPr>
      <w:r>
        <w:t>Attach retention and onward-use constraints to every response.</w:t>
      </w:r>
    </w:p>
    <w:p>
      <w:pPr>
        <w:pStyle w:val="ListBullet"/>
        <w:spacing w:after="40"/>
      </w:pPr>
      <w:r>
        <w:t>Review approvals periodically and revoke stale access.</w:t>
      </w:r>
    </w:p>
    <w:p>
      <w:pPr>
        <w:pStyle w:val="Heading1"/>
      </w:pPr>
      <w:r>
        <w:t>25. Annexure C - Cloud deployment blueprints</w:t>
      </w:r>
    </w:p>
    <w:p>
      <w:pPr>
        <w:pStyle w:val="Heading2"/>
      </w:pPr>
      <w:r>
        <w:t>25.1 Common portable runtime</w:t>
      </w:r>
    </w:p>
    <w:p>
      <w:r>
        <w:rPr>
          <w:b/>
          <w:color w:val="17365D"/>
        </w:rPr>
        <w:t>Figure 4 - Cloud-neutral platform baseline</w:t>
      </w:r>
    </w:p>
    <w:tbl>
      <w:tblPr>
        <w:tblW w:type="auto" w:w="0"/>
        <w:jc w:val="center"/>
        <w:tblLook w:firstColumn="1" w:firstRow="1" w:lastColumn="0" w:lastRow="0" w:noHBand="0" w:noVBand="1" w:val="04A0"/>
        <w:tblBorders>
          <w:top w:val="single" w:sz="6" w:space="0" w:color="B8C9DA"/>
          <w:left w:val="single" w:sz="6" w:space="0" w:color="B8C9DA"/>
          <w:bottom w:val="single" w:sz="6" w:space="0" w:color="B8C9DA"/>
          <w:right w:val="single" w:sz="6" w:space="0" w:color="B8C9DA"/>
          <w:insideH w:val="single" w:sz="6" w:space="0" w:color="B8C9DA"/>
          <w:insideV w:val="single" w:sz="6" w:space="0" w:color="B8C9DA"/>
        </w:tblBorders>
      </w:tblPr>
      <w:tblGrid>
        <w:gridCol w:w="10368"/>
      </w:tblGrid>
      <w:tr>
        <w:tc>
          <w:tcPr>
            <w:tcW w:type="dxa" w:w="10368"/>
            <w:shd w:fill="F4F7FA"/>
          </w:tcPr>
          <w:p>
            <w:pPr>
              <w:spacing w:after="0"/>
            </w:pPr>
            <w:r>
              <w:rPr>
                <w:rFonts w:ascii="Courier New" w:hAnsi="Courier New" w:eastAsia="Courier New"/>
                <w:sz w:val="15"/>
              </w:rPr>
              <w:t>Portable BTX runtime baseline</w:t>
            </w:r>
            <w:r>
              <w:br/>
            </w:r>
            <w:r>
              <w:rPr>
                <w:rFonts w:ascii="Courier New" w:hAnsi="Courier New" w:eastAsia="Courier New"/>
                <w:sz w:val="15"/>
              </w:rPr>
              <w:t xml:space="preserve">  - Kubernetes or OpenShift cluster</w:t>
            </w:r>
            <w:r>
              <w:br/>
            </w:r>
            <w:r>
              <w:rPr>
                <w:rFonts w:ascii="Courier New" w:hAnsi="Courier New" w:eastAsia="Courier New"/>
                <w:sz w:val="15"/>
              </w:rPr>
              <w:t xml:space="preserve">  - GitOps deployment controller</w:t>
            </w:r>
            <w:r>
              <w:br/>
            </w:r>
            <w:r>
              <w:rPr>
                <w:rFonts w:ascii="Courier New" w:hAnsi="Courier New" w:eastAsia="Courier New"/>
                <w:sz w:val="15"/>
              </w:rPr>
              <w:t xml:space="preserve">  - Ingress / service mesh with mTLS support</w:t>
            </w:r>
            <w:r>
              <w:br/>
            </w:r>
            <w:r>
              <w:rPr>
                <w:rFonts w:ascii="Courier New" w:hAnsi="Courier New" w:eastAsia="Courier New"/>
                <w:sz w:val="15"/>
              </w:rPr>
              <w:t xml:space="preserve">  - OPA or equivalent policy decision layer</w:t>
            </w:r>
            <w:r>
              <w:br/>
            </w:r>
            <w:r>
              <w:rPr>
                <w:rFonts w:ascii="Courier New" w:hAnsi="Courier New" w:eastAsia="Courier New"/>
                <w:sz w:val="15"/>
              </w:rPr>
              <w:t xml:space="preserve">  - PostgreSQL-compatible database</w:t>
            </w:r>
            <w:r>
              <w:br/>
            </w:r>
            <w:r>
              <w:rPr>
                <w:rFonts w:ascii="Courier New" w:hAnsi="Courier New" w:eastAsia="Courier New"/>
                <w:sz w:val="15"/>
              </w:rPr>
              <w:t xml:space="preserve">  - Kafka/NATS/AMQP-compatible message layer</w:t>
            </w:r>
            <w:r>
              <w:br/>
            </w:r>
            <w:r>
              <w:rPr>
                <w:rFonts w:ascii="Courier New" w:hAnsi="Courier New" w:eastAsia="Courier New"/>
                <w:sz w:val="15"/>
              </w:rPr>
              <w:t xml:space="preserve">  - S3-compatible object storage abstraction</w:t>
            </w:r>
            <w:r>
              <w:br/>
            </w:r>
            <w:r>
              <w:rPr>
                <w:rFonts w:ascii="Courier New" w:hAnsi="Courier New" w:eastAsia="Courier New"/>
                <w:sz w:val="15"/>
              </w:rPr>
              <w:t xml:space="preserve">  - OpenTelemetry metrics/traces/log export</w:t>
            </w:r>
            <w:r>
              <w:br/>
            </w:r>
            <w:r>
              <w:rPr>
                <w:rFonts w:ascii="Courier New" w:hAnsi="Courier New" w:eastAsia="Courier New"/>
                <w:sz w:val="15"/>
              </w:rPr>
              <w:t xml:space="preserve">  - Vault/External Secrets or KMS abstraction</w:t>
            </w:r>
            <w:r>
              <w:br/>
            </w:r>
            <w:r>
              <w:rPr>
                <w:rFonts w:ascii="Courier New" w:hAnsi="Courier New" w:eastAsia="Courier New"/>
                <w:sz w:val="15"/>
              </w:rPr>
              <w:t xml:space="preserve">  - SIEM export connector</w:t>
            </w:r>
            <w:r>
              <w:br/>
            </w:r>
            <w:r>
              <w:rPr>
                <w:rFonts w:ascii="Courier New" w:hAnsi="Courier New" w:eastAsia="Courier New"/>
                <w:sz w:val="15"/>
              </w:rPr>
              <w:t xml:space="preserve">  - IaC module: Terraform/OpenTofu + Helm/Kustomize</w:t>
            </w:r>
            <w:r>
              <w:br/>
            </w:r>
          </w:p>
        </w:tc>
        <w:trPr>
          <w:tblHeader/>
        </w:trPr>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cantSplit/>
          <w:tblHeader/>
        </w:trPr>
        <w:tc>
          <w:tcPr>
            <w:tcW w:type="dxa" w:w="1872"/>
            <w:vAlign w:val="top"/>
            <w:shd w:fill="17365D"/>
          </w:tcPr>
          <w:p>
            <w:pPr>
              <w:spacing w:after="0"/>
            </w:pPr>
            <w:r/>
            <w:r>
              <w:rPr>
                <w:b/>
                <w:color w:val="FFFFFF"/>
                <w:sz w:val="14"/>
              </w:rPr>
              <w:t>Hosting model</w:t>
            </w:r>
          </w:p>
        </w:tc>
        <w:tc>
          <w:tcPr>
            <w:tcW w:type="dxa" w:w="2592"/>
            <w:vAlign w:val="top"/>
            <w:shd w:fill="17365D"/>
          </w:tcPr>
          <w:p>
            <w:pPr>
              <w:spacing w:after="0"/>
            </w:pPr>
            <w:r/>
            <w:r>
              <w:rPr>
                <w:b/>
                <w:color w:val="FFFFFF"/>
                <w:sz w:val="14"/>
              </w:rPr>
              <w:t>Best fit</w:t>
            </w:r>
          </w:p>
        </w:tc>
        <w:tc>
          <w:tcPr>
            <w:tcW w:type="dxa" w:w="4320"/>
            <w:vAlign w:val="top"/>
            <w:shd w:fill="17365D"/>
          </w:tcPr>
          <w:p>
            <w:pPr>
              <w:spacing w:after="0"/>
            </w:pPr>
            <w:r/>
            <w:r>
              <w:rPr>
                <w:b/>
                <w:color w:val="FFFFFF"/>
                <w:sz w:val="14"/>
              </w:rPr>
              <w:t>Blueprint</w:t>
            </w:r>
          </w:p>
        </w:tc>
        <w:tc>
          <w:tcPr>
            <w:tcW w:type="dxa" w:w="2448"/>
            <w:vAlign w:val="top"/>
            <w:shd w:fill="17365D"/>
          </w:tcPr>
          <w:p>
            <w:pPr>
              <w:spacing w:after="0"/>
            </w:pPr>
            <w:r/>
            <w:r>
              <w:rPr>
                <w:b/>
                <w:color w:val="FFFFFF"/>
                <w:sz w:val="14"/>
              </w:rPr>
              <w:t>Watch-outs</w:t>
            </w:r>
          </w:p>
        </w:tc>
      </w:tr>
      <w:tr>
        <w:trPr>
          <w:cantSplit/>
        </w:trPr>
        <w:tc>
          <w:tcPr>
            <w:tcW w:type="dxa" w:w="1872"/>
            <w:vAlign w:val="top"/>
          </w:tcPr>
          <w:p>
            <w:pPr>
              <w:spacing w:after="0"/>
            </w:pPr>
            <w:r/>
            <w:r>
              <w:rPr>
                <w:b w:val="0"/>
                <w:sz w:val="14"/>
              </w:rPr>
              <w:t>NIC/MeghRaj</w:t>
            </w:r>
          </w:p>
        </w:tc>
        <w:tc>
          <w:tcPr>
            <w:tcW w:type="dxa" w:w="2592"/>
            <w:vAlign w:val="top"/>
          </w:tcPr>
          <w:p>
            <w:pPr>
              <w:spacing w:after="0"/>
            </w:pPr>
            <w:r/>
            <w:r>
              <w:rPr>
                <w:b w:val="0"/>
                <w:sz w:val="14"/>
              </w:rPr>
              <w:t>Preferred for national government hosting and policy-sensitive workloads.</w:t>
            </w:r>
          </w:p>
        </w:tc>
        <w:tc>
          <w:tcPr>
            <w:tcW w:type="dxa" w:w="4320"/>
            <w:vAlign w:val="top"/>
          </w:tcPr>
          <w:p>
            <w:pPr>
              <w:spacing w:after="0"/>
            </w:pPr>
            <w:r/>
            <w:r>
              <w:rPr>
                <w:b w:val="0"/>
                <w:sz w:val="14"/>
              </w:rPr>
              <w:t>Use managed/private Kubernetes or OpenShift, NIC-approved PKI/HSM, private networking and government SOC integration.</w:t>
            </w:r>
          </w:p>
        </w:tc>
        <w:tc>
          <w:tcPr>
            <w:tcW w:type="dxa" w:w="2448"/>
            <w:vAlign w:val="top"/>
          </w:tcPr>
          <w:p>
            <w:pPr>
              <w:spacing w:after="0"/>
            </w:pPr>
            <w:r/>
            <w:r>
              <w:rPr>
                <w:b w:val="0"/>
                <w:sz w:val="14"/>
              </w:rPr>
              <w:t>Validate managed service equivalence, DR and cloud adapter API maturity.</w:t>
            </w:r>
          </w:p>
        </w:tc>
      </w:tr>
      <w:tr>
        <w:trPr>
          <w:cantSplit/>
        </w:trPr>
        <w:tc>
          <w:tcPr>
            <w:tcW w:type="dxa" w:w="1872"/>
            <w:vAlign w:val="top"/>
          </w:tcPr>
          <w:p>
            <w:pPr>
              <w:spacing w:after="0"/>
            </w:pPr>
            <w:r/>
            <w:r>
              <w:rPr>
                <w:b w:val="0"/>
                <w:sz w:val="14"/>
              </w:rPr>
              <w:t>State cloud/private cloud</w:t>
            </w:r>
          </w:p>
        </w:tc>
        <w:tc>
          <w:tcPr>
            <w:tcW w:type="dxa" w:w="2592"/>
            <w:vAlign w:val="top"/>
          </w:tcPr>
          <w:p>
            <w:pPr>
              <w:spacing w:after="0"/>
            </w:pPr>
            <w:r/>
            <w:r>
              <w:rPr>
                <w:b w:val="0"/>
                <w:sz w:val="14"/>
              </w:rPr>
              <w:t>State-led federation and local department onboarding.</w:t>
            </w:r>
          </w:p>
        </w:tc>
        <w:tc>
          <w:tcPr>
            <w:tcW w:type="dxa" w:w="4320"/>
            <w:vAlign w:val="top"/>
          </w:tcPr>
          <w:p>
            <w:pPr>
              <w:spacing w:after="0"/>
            </w:pPr>
            <w:r/>
            <w:r>
              <w:rPr>
                <w:b w:val="0"/>
                <w:sz w:val="14"/>
              </w:rPr>
              <w:t>Use state-certified runtime, local SOC, state network, domain policies and local-language support.</w:t>
            </w:r>
          </w:p>
        </w:tc>
        <w:tc>
          <w:tcPr>
            <w:tcW w:type="dxa" w:w="2448"/>
            <w:vAlign w:val="top"/>
          </w:tcPr>
          <w:p>
            <w:pPr>
              <w:spacing w:after="0"/>
            </w:pPr>
            <w:r/>
            <w:r>
              <w:rPr>
                <w:b w:val="0"/>
                <w:sz w:val="14"/>
              </w:rPr>
              <w:t>Avoid drift from national schemas and purpose taxonomy.</w:t>
            </w:r>
          </w:p>
        </w:tc>
      </w:tr>
      <w:tr>
        <w:trPr>
          <w:cantSplit/>
        </w:trPr>
        <w:tc>
          <w:tcPr>
            <w:tcW w:type="dxa" w:w="1872"/>
            <w:vAlign w:val="top"/>
          </w:tcPr>
          <w:p>
            <w:pPr>
              <w:spacing w:after="0"/>
            </w:pPr>
            <w:r/>
            <w:r>
              <w:rPr>
                <w:b w:val="0"/>
                <w:sz w:val="14"/>
              </w:rPr>
              <w:t>AWS</w:t>
            </w:r>
          </w:p>
        </w:tc>
        <w:tc>
          <w:tcPr>
            <w:tcW w:type="dxa" w:w="2592"/>
            <w:vAlign w:val="top"/>
          </w:tcPr>
          <w:p>
            <w:pPr>
              <w:spacing w:after="0"/>
            </w:pPr>
            <w:r/>
            <w:r>
              <w:rPr>
                <w:b w:val="0"/>
                <w:sz w:val="14"/>
              </w:rPr>
              <w:t>High-scale pilot, managed services and rapid cloud-native deployment.</w:t>
            </w:r>
          </w:p>
        </w:tc>
        <w:tc>
          <w:tcPr>
            <w:tcW w:type="dxa" w:w="4320"/>
            <w:vAlign w:val="top"/>
          </w:tcPr>
          <w:p>
            <w:pPr>
              <w:spacing w:after="0"/>
            </w:pPr>
            <w:r/>
            <w:r>
              <w:rPr>
                <w:b w:val="0"/>
                <w:sz w:val="14"/>
              </w:rPr>
              <w:t>Use EKS/OpenShift, RDS PostgreSQL/Aurora-compatible pattern, S3-compatible abstraction, KMS/CloudHSM adapter and Transit Gateway/PrivateLink patterns.</w:t>
            </w:r>
          </w:p>
        </w:tc>
        <w:tc>
          <w:tcPr>
            <w:tcW w:type="dxa" w:w="2448"/>
            <w:vAlign w:val="top"/>
          </w:tcPr>
          <w:p>
            <w:pPr>
              <w:spacing w:after="0"/>
            </w:pPr>
            <w:r/>
            <w:r>
              <w:rPr>
                <w:b w:val="0"/>
                <w:sz w:val="14"/>
              </w:rPr>
              <w:t>Keep AWS services behind adapter boundaries; do not put core logic in proprietary-only services.</w:t>
            </w:r>
          </w:p>
        </w:tc>
      </w:tr>
      <w:tr>
        <w:trPr>
          <w:cantSplit/>
        </w:trPr>
        <w:tc>
          <w:tcPr>
            <w:tcW w:type="dxa" w:w="1872"/>
            <w:vAlign w:val="top"/>
          </w:tcPr>
          <w:p>
            <w:pPr>
              <w:spacing w:after="0"/>
            </w:pPr>
            <w:r/>
            <w:r>
              <w:rPr>
                <w:b w:val="0"/>
                <w:sz w:val="14"/>
              </w:rPr>
              <w:t>Azure</w:t>
            </w:r>
          </w:p>
        </w:tc>
        <w:tc>
          <w:tcPr>
            <w:tcW w:type="dxa" w:w="2592"/>
            <w:vAlign w:val="top"/>
          </w:tcPr>
          <w:p>
            <w:pPr>
              <w:spacing w:after="0"/>
            </w:pPr>
            <w:r/>
            <w:r>
              <w:rPr>
                <w:b w:val="0"/>
                <w:sz w:val="14"/>
              </w:rPr>
              <w:t>Departments already standardised on Microsoft stack.</w:t>
            </w:r>
          </w:p>
        </w:tc>
        <w:tc>
          <w:tcPr>
            <w:tcW w:type="dxa" w:w="4320"/>
            <w:vAlign w:val="top"/>
          </w:tcPr>
          <w:p>
            <w:pPr>
              <w:spacing w:after="0"/>
            </w:pPr>
            <w:r/>
            <w:r>
              <w:rPr>
                <w:b w:val="0"/>
                <w:sz w:val="14"/>
              </w:rPr>
              <w:t>Use AKS/OpenShift, PostgreSQL, Key Vault/HSM adapter, Monitor/Sentinel connector and Private Link equivalents.</w:t>
            </w:r>
          </w:p>
        </w:tc>
        <w:tc>
          <w:tcPr>
            <w:tcW w:type="dxa" w:w="2448"/>
            <w:vAlign w:val="top"/>
          </w:tcPr>
          <w:p>
            <w:pPr>
              <w:spacing w:after="0"/>
            </w:pPr>
            <w:r/>
            <w:r>
              <w:rPr>
                <w:b w:val="0"/>
                <w:sz w:val="14"/>
              </w:rPr>
              <w:t>Validate workload identity and cross-cloud audit schema parity.</w:t>
            </w:r>
          </w:p>
        </w:tc>
      </w:tr>
      <w:tr>
        <w:trPr>
          <w:cantSplit/>
        </w:trPr>
        <w:tc>
          <w:tcPr>
            <w:tcW w:type="dxa" w:w="1872"/>
            <w:vAlign w:val="top"/>
          </w:tcPr>
          <w:p>
            <w:pPr>
              <w:spacing w:after="0"/>
            </w:pPr>
            <w:r/>
            <w:r>
              <w:rPr>
                <w:b w:val="0"/>
                <w:sz w:val="14"/>
              </w:rPr>
              <w:t>GCP</w:t>
            </w:r>
          </w:p>
        </w:tc>
        <w:tc>
          <w:tcPr>
            <w:tcW w:type="dxa" w:w="2592"/>
            <w:vAlign w:val="top"/>
          </w:tcPr>
          <w:p>
            <w:pPr>
              <w:spacing w:after="0"/>
            </w:pPr>
            <w:r/>
            <w:r>
              <w:rPr>
                <w:b w:val="0"/>
                <w:sz w:val="14"/>
              </w:rPr>
              <w:t>Analytics-heavy or cloud-native teams needing GKE/OpenShift.</w:t>
            </w:r>
          </w:p>
        </w:tc>
        <w:tc>
          <w:tcPr>
            <w:tcW w:type="dxa" w:w="4320"/>
            <w:vAlign w:val="top"/>
          </w:tcPr>
          <w:p>
            <w:pPr>
              <w:spacing w:after="0"/>
            </w:pPr>
            <w:r/>
            <w:r>
              <w:rPr>
                <w:b w:val="0"/>
                <w:sz w:val="14"/>
              </w:rPr>
              <w:t>Use GKE/OpenShift, Cloud SQL-compatible adapter, KMS/HSM adapter, Pub/Sub adapter only behind messaging abstraction.</w:t>
            </w:r>
          </w:p>
        </w:tc>
        <w:tc>
          <w:tcPr>
            <w:tcW w:type="dxa" w:w="2448"/>
            <w:vAlign w:val="top"/>
          </w:tcPr>
          <w:p>
            <w:pPr>
              <w:spacing w:after="0"/>
            </w:pPr>
            <w:r/>
            <w:r>
              <w:rPr>
                <w:b w:val="0"/>
                <w:sz w:val="14"/>
              </w:rPr>
              <w:t>Ensure no lock-in to provider-only event semantics.</w:t>
            </w:r>
          </w:p>
        </w:tc>
      </w:tr>
      <w:tr>
        <w:trPr>
          <w:cantSplit/>
        </w:trPr>
        <w:tc>
          <w:tcPr>
            <w:tcW w:type="dxa" w:w="1872"/>
            <w:vAlign w:val="top"/>
          </w:tcPr>
          <w:p>
            <w:pPr>
              <w:spacing w:after="0"/>
            </w:pPr>
            <w:r/>
            <w:r>
              <w:rPr>
                <w:b w:val="0"/>
                <w:sz w:val="14"/>
              </w:rPr>
              <w:t>Hybrid/on-prem</w:t>
            </w:r>
          </w:p>
        </w:tc>
        <w:tc>
          <w:tcPr>
            <w:tcW w:type="dxa" w:w="2592"/>
            <w:vAlign w:val="top"/>
          </w:tcPr>
          <w:p>
            <w:pPr>
              <w:spacing w:after="0"/>
            </w:pPr>
            <w:r/>
            <w:r>
              <w:rPr>
                <w:b w:val="0"/>
                <w:sz w:val="14"/>
              </w:rPr>
              <w:t>Sensitive or legacy systems that cannot move to cloud.</w:t>
            </w:r>
          </w:p>
        </w:tc>
        <w:tc>
          <w:tcPr>
            <w:tcW w:type="dxa" w:w="4320"/>
            <w:vAlign w:val="top"/>
          </w:tcPr>
          <w:p>
            <w:pPr>
              <w:spacing w:after="0"/>
            </w:pPr>
            <w:r/>
            <w:r>
              <w:rPr>
                <w:b w:val="0"/>
                <w:sz w:val="14"/>
              </w:rPr>
              <w:t>Run Trust Node in cloud or local DC with secure VPN/direct link to backend adapter and source system.</w:t>
            </w:r>
          </w:p>
        </w:tc>
        <w:tc>
          <w:tcPr>
            <w:tcW w:type="dxa" w:w="2448"/>
            <w:vAlign w:val="top"/>
          </w:tcPr>
          <w:p>
            <w:pPr>
              <w:spacing w:after="0"/>
            </w:pPr>
            <w:r/>
            <w:r>
              <w:rPr>
                <w:b w:val="0"/>
                <w:sz w:val="14"/>
              </w:rPr>
              <w:t>Strong network segmentation, offline config TTL and local monitoring required.</w:t>
            </w:r>
          </w:p>
        </w:tc>
      </w:tr>
    </w:tbl>
    <w:p>
      <w:pPr>
        <w:pStyle w:val="Heading2"/>
      </w:pPr>
      <w:r>
        <w:t>25.2 Deployment patterns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cantSplit/>
          <w:tblHeader/>
        </w:trPr>
        <w:tc>
          <w:tcPr>
            <w:tcW w:type="dxa" w:w="2304"/>
            <w:vAlign w:val="top"/>
            <w:shd w:fill="17365D"/>
          </w:tcPr>
          <w:p>
            <w:pPr>
              <w:spacing w:after="0"/>
            </w:pPr>
            <w:r/>
            <w:r>
              <w:rPr>
                <w:b/>
                <w:color w:val="FFFFFF"/>
                <w:sz w:val="15"/>
              </w:rPr>
              <w:t>Pattern</w:t>
            </w:r>
          </w:p>
        </w:tc>
        <w:tc>
          <w:tcPr>
            <w:tcW w:type="dxa" w:w="3024"/>
            <w:vAlign w:val="top"/>
            <w:shd w:fill="17365D"/>
          </w:tcPr>
          <w:p>
            <w:pPr>
              <w:spacing w:after="0"/>
            </w:pPr>
            <w:r/>
            <w:r>
              <w:rPr>
                <w:b/>
                <w:color w:val="FFFFFF"/>
                <w:sz w:val="15"/>
              </w:rPr>
              <w:t>Use case</w:t>
            </w:r>
          </w:p>
        </w:tc>
        <w:tc>
          <w:tcPr>
            <w:tcW w:type="dxa" w:w="3600"/>
            <w:vAlign w:val="top"/>
            <w:shd w:fill="17365D"/>
          </w:tcPr>
          <w:p>
            <w:pPr>
              <w:spacing w:after="0"/>
            </w:pPr>
            <w:r/>
            <w:r>
              <w:rPr>
                <w:b/>
                <w:color w:val="FFFFFF"/>
                <w:sz w:val="15"/>
              </w:rPr>
              <w:t>Isolation model</w:t>
            </w:r>
          </w:p>
        </w:tc>
        <w:tc>
          <w:tcPr>
            <w:tcW w:type="dxa" w:w="2592"/>
            <w:vAlign w:val="top"/>
            <w:shd w:fill="17365D"/>
          </w:tcPr>
          <w:p>
            <w:pPr>
              <w:spacing w:after="0"/>
            </w:pPr>
            <w:r/>
            <w:r>
              <w:rPr>
                <w:b/>
                <w:color w:val="FFFFFF"/>
                <w:sz w:val="15"/>
              </w:rPr>
              <w:t>Go-live condition</w:t>
            </w:r>
          </w:p>
        </w:tc>
      </w:tr>
      <w:tr>
        <w:trPr>
          <w:cantSplit/>
        </w:trPr>
        <w:tc>
          <w:tcPr>
            <w:tcW w:type="dxa" w:w="2304"/>
            <w:vAlign w:val="top"/>
          </w:tcPr>
          <w:p>
            <w:pPr>
              <w:spacing w:after="0"/>
            </w:pPr>
            <w:r/>
            <w:r>
              <w:rPr>
                <w:b w:val="0"/>
                <w:sz w:val="15"/>
              </w:rPr>
              <w:t>Dedicated Trust Node</w:t>
            </w:r>
          </w:p>
        </w:tc>
        <w:tc>
          <w:tcPr>
            <w:tcW w:type="dxa" w:w="3024"/>
            <w:vAlign w:val="top"/>
          </w:tcPr>
          <w:p>
            <w:pPr>
              <w:spacing w:after="0"/>
            </w:pPr>
            <w:r/>
            <w:r>
              <w:rPr>
                <w:b w:val="0"/>
                <w:sz w:val="15"/>
              </w:rPr>
              <w:t>Large ministry/state/high-volume service.</w:t>
            </w:r>
          </w:p>
        </w:tc>
        <w:tc>
          <w:tcPr>
            <w:tcW w:type="dxa" w:w="3600"/>
            <w:vAlign w:val="top"/>
          </w:tcPr>
          <w:p>
            <w:pPr>
              <w:spacing w:after="0"/>
            </w:pPr>
            <w:r/>
            <w:r>
              <w:rPr>
                <w:b w:val="0"/>
                <w:sz w:val="15"/>
              </w:rPr>
              <w:t>Dedicated account/VPC/namespace, per-member keys and logs.</w:t>
            </w:r>
          </w:p>
        </w:tc>
        <w:tc>
          <w:tcPr>
            <w:tcW w:type="dxa" w:w="2592"/>
            <w:vAlign w:val="top"/>
          </w:tcPr>
          <w:p>
            <w:pPr>
              <w:spacing w:after="0"/>
            </w:pPr>
            <w:r/>
            <w:r>
              <w:rPr>
                <w:b w:val="0"/>
                <w:sz w:val="15"/>
              </w:rPr>
              <w:t>Security, performance and DR tests pass.</w:t>
            </w:r>
          </w:p>
        </w:tc>
      </w:tr>
      <w:tr>
        <w:trPr>
          <w:cantSplit/>
        </w:trPr>
        <w:tc>
          <w:tcPr>
            <w:tcW w:type="dxa" w:w="2304"/>
            <w:vAlign w:val="top"/>
          </w:tcPr>
          <w:p>
            <w:pPr>
              <w:spacing w:after="0"/>
            </w:pPr>
            <w:r/>
            <w:r>
              <w:rPr>
                <w:b w:val="0"/>
                <w:sz w:val="15"/>
              </w:rPr>
              <w:t>Managed tenant Trust Node</w:t>
            </w:r>
          </w:p>
        </w:tc>
        <w:tc>
          <w:tcPr>
            <w:tcW w:type="dxa" w:w="3024"/>
            <w:vAlign w:val="top"/>
          </w:tcPr>
          <w:p>
            <w:pPr>
              <w:spacing w:after="0"/>
            </w:pPr>
            <w:r/>
            <w:r>
              <w:rPr>
                <w:b w:val="0"/>
                <w:sz w:val="15"/>
              </w:rPr>
              <w:t>Small departments, boards, local bodies.</w:t>
            </w:r>
          </w:p>
        </w:tc>
        <w:tc>
          <w:tcPr>
            <w:tcW w:type="dxa" w:w="3600"/>
            <w:vAlign w:val="top"/>
          </w:tcPr>
          <w:p>
            <w:pPr>
              <w:spacing w:after="0"/>
            </w:pPr>
            <w:r/>
            <w:r>
              <w:rPr>
                <w:b w:val="0"/>
                <w:sz w:val="15"/>
              </w:rPr>
              <w:t>Shared platform, separate tenant identity, certs, KMS keys, policies and logs.</w:t>
            </w:r>
          </w:p>
        </w:tc>
        <w:tc>
          <w:tcPr>
            <w:tcW w:type="dxa" w:w="2592"/>
            <w:vAlign w:val="top"/>
          </w:tcPr>
          <w:p>
            <w:pPr>
              <w:spacing w:after="0"/>
            </w:pPr>
            <w:r/>
            <w:r>
              <w:rPr>
                <w:b w:val="0"/>
                <w:sz w:val="15"/>
              </w:rPr>
              <w:t>Tenant separation and audit isolation tests pass.</w:t>
            </w:r>
          </w:p>
        </w:tc>
      </w:tr>
      <w:tr>
        <w:trPr>
          <w:cantSplit/>
        </w:trPr>
        <w:tc>
          <w:tcPr>
            <w:tcW w:type="dxa" w:w="2304"/>
            <w:vAlign w:val="top"/>
          </w:tcPr>
          <w:p>
            <w:pPr>
              <w:spacing w:after="0"/>
            </w:pPr>
            <w:r/>
            <w:r>
              <w:rPr>
                <w:b w:val="0"/>
                <w:sz w:val="15"/>
              </w:rPr>
              <w:t>Hybrid Trust Node</w:t>
            </w:r>
          </w:p>
        </w:tc>
        <w:tc>
          <w:tcPr>
            <w:tcW w:type="dxa" w:w="3024"/>
            <w:vAlign w:val="top"/>
          </w:tcPr>
          <w:p>
            <w:pPr>
              <w:spacing w:after="0"/>
            </w:pPr>
            <w:r/>
            <w:r>
              <w:rPr>
                <w:b w:val="0"/>
                <w:sz w:val="15"/>
              </w:rPr>
              <w:t>Sensitive/legacy source systems.</w:t>
            </w:r>
          </w:p>
        </w:tc>
        <w:tc>
          <w:tcPr>
            <w:tcW w:type="dxa" w:w="3600"/>
            <w:vAlign w:val="top"/>
          </w:tcPr>
          <w:p>
            <w:pPr>
              <w:spacing w:after="0"/>
            </w:pPr>
            <w:r/>
            <w:r>
              <w:rPr>
                <w:b w:val="0"/>
                <w:sz w:val="15"/>
              </w:rPr>
              <w:t>Node in cloud or local DC, private link/VPN to adapter, no direct DB exposure.</w:t>
            </w:r>
          </w:p>
        </w:tc>
        <w:tc>
          <w:tcPr>
            <w:tcW w:type="dxa" w:w="2592"/>
            <w:vAlign w:val="top"/>
          </w:tcPr>
          <w:p>
            <w:pPr>
              <w:spacing w:after="0"/>
            </w:pPr>
            <w:r/>
            <w:r>
              <w:rPr>
                <w:b w:val="0"/>
                <w:sz w:val="15"/>
              </w:rPr>
              <w:t>Network, latency, outage and key-management tests pass.</w:t>
            </w:r>
          </w:p>
        </w:tc>
      </w:tr>
      <w:tr>
        <w:trPr>
          <w:cantSplit/>
        </w:trPr>
        <w:tc>
          <w:tcPr>
            <w:tcW w:type="dxa" w:w="2304"/>
            <w:vAlign w:val="top"/>
          </w:tcPr>
          <w:p>
            <w:pPr>
              <w:spacing w:after="0"/>
            </w:pPr>
            <w:r/>
            <w:r>
              <w:rPr>
                <w:b w:val="0"/>
                <w:sz w:val="15"/>
              </w:rPr>
              <w:t>Air-gapped/high-assurance node</w:t>
            </w:r>
          </w:p>
        </w:tc>
        <w:tc>
          <w:tcPr>
            <w:tcW w:type="dxa" w:w="3024"/>
            <w:vAlign w:val="top"/>
          </w:tcPr>
          <w:p>
            <w:pPr>
              <w:spacing w:after="0"/>
            </w:pPr>
            <w:r/>
            <w:r>
              <w:rPr>
                <w:b w:val="0"/>
                <w:sz w:val="15"/>
              </w:rPr>
              <w:t>Restricted/high-risk datasets.</w:t>
            </w:r>
          </w:p>
        </w:tc>
        <w:tc>
          <w:tcPr>
            <w:tcW w:type="dxa" w:w="3600"/>
            <w:vAlign w:val="top"/>
          </w:tcPr>
          <w:p>
            <w:pPr>
              <w:spacing w:after="0"/>
            </w:pPr>
            <w:r/>
            <w:r>
              <w:rPr>
                <w:b w:val="0"/>
                <w:sz w:val="15"/>
              </w:rPr>
              <w:t>Strictly controlled connectivity, offline config packages, manual review gates.</w:t>
            </w:r>
          </w:p>
        </w:tc>
        <w:tc>
          <w:tcPr>
            <w:tcW w:type="dxa" w:w="2592"/>
            <w:vAlign w:val="top"/>
          </w:tcPr>
          <w:p>
            <w:pPr>
              <w:spacing w:after="0"/>
            </w:pPr>
            <w:r/>
            <w:r>
              <w:rPr>
                <w:b w:val="0"/>
                <w:sz w:val="15"/>
              </w:rPr>
              <w:t>Special security review and legal authority required.</w:t>
            </w:r>
          </w:p>
        </w:tc>
      </w:tr>
    </w:tbl>
    <w:p>
      <w:r>
        <w:br w:type="page"/>
      </w:r>
    </w:p>
    <w:p>
      <w:pPr>
        <w:pStyle w:val="Heading1"/>
      </w:pPr>
      <w:r>
        <w:t>26. Annexure D - Conformance test suite</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cantSplit/>
          <w:tblHeader/>
        </w:trPr>
        <w:tc>
          <w:tcPr>
            <w:tcW w:type="dxa" w:w="1008"/>
            <w:vAlign w:val="top"/>
            <w:shd w:fill="17365D"/>
          </w:tcPr>
          <w:p>
            <w:pPr>
              <w:spacing w:after="0"/>
            </w:pPr>
            <w:r/>
            <w:r>
              <w:rPr>
                <w:b/>
                <w:color w:val="FFFFFF"/>
                <w:sz w:val="14"/>
              </w:rPr>
              <w:t>ID</w:t>
            </w:r>
          </w:p>
        </w:tc>
        <w:tc>
          <w:tcPr>
            <w:tcW w:type="dxa" w:w="3168"/>
            <w:vAlign w:val="top"/>
            <w:shd w:fill="17365D"/>
          </w:tcPr>
          <w:p>
            <w:pPr>
              <w:spacing w:after="0"/>
            </w:pPr>
            <w:r/>
            <w:r>
              <w:rPr>
                <w:b/>
                <w:color w:val="FFFFFF"/>
                <w:sz w:val="14"/>
              </w:rPr>
              <w:t>Test</w:t>
            </w:r>
          </w:p>
        </w:tc>
        <w:tc>
          <w:tcPr>
            <w:tcW w:type="dxa" w:w="5760"/>
            <w:vAlign w:val="top"/>
            <w:shd w:fill="17365D"/>
          </w:tcPr>
          <w:p>
            <w:pPr>
              <w:spacing w:after="0"/>
            </w:pPr>
            <w:r/>
            <w:r>
              <w:rPr>
                <w:b/>
                <w:color w:val="FFFFFF"/>
                <w:sz w:val="14"/>
              </w:rPr>
              <w:t>Pass condition</w:t>
            </w:r>
          </w:p>
        </w:tc>
        <w:tc>
          <w:tcPr>
            <w:tcW w:type="dxa" w:w="1152"/>
            <w:vAlign w:val="top"/>
            <w:shd w:fill="17365D"/>
          </w:tcPr>
          <w:p>
            <w:pPr>
              <w:spacing w:after="0"/>
            </w:pPr>
            <w:r/>
            <w:r>
              <w:rPr>
                <w:b/>
                <w:color w:val="FFFFFF"/>
                <w:sz w:val="14"/>
              </w:rPr>
              <w:t>Priority</w:t>
            </w:r>
          </w:p>
        </w:tc>
      </w:tr>
      <w:tr>
        <w:trPr>
          <w:cantSplit/>
        </w:trPr>
        <w:tc>
          <w:tcPr>
            <w:tcW w:type="dxa" w:w="1008"/>
            <w:vAlign w:val="top"/>
          </w:tcPr>
          <w:p>
            <w:pPr>
              <w:spacing w:after="0"/>
            </w:pPr>
            <w:r/>
            <w:r>
              <w:rPr>
                <w:b w:val="0"/>
                <w:sz w:val="14"/>
              </w:rPr>
              <w:t>CT-001</w:t>
            </w:r>
          </w:p>
        </w:tc>
        <w:tc>
          <w:tcPr>
            <w:tcW w:type="dxa" w:w="3168"/>
            <w:vAlign w:val="top"/>
          </w:tcPr>
          <w:p>
            <w:pPr>
              <w:spacing w:after="0"/>
            </w:pPr>
            <w:r/>
            <w:r>
              <w:rPr>
                <w:b w:val="0"/>
                <w:sz w:val="14"/>
              </w:rPr>
              <w:t>Runtime portability</w:t>
            </w:r>
          </w:p>
        </w:tc>
        <w:tc>
          <w:tcPr>
            <w:tcW w:type="dxa" w:w="5760"/>
            <w:vAlign w:val="top"/>
          </w:tcPr>
          <w:p>
            <w:pPr>
              <w:spacing w:after="0"/>
            </w:pPr>
            <w:r/>
            <w:r>
              <w:rPr>
                <w:b w:val="0"/>
                <w:sz w:val="14"/>
              </w:rPr>
              <w:t>Deploy core services on two different certified environments without code change.</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CT-002</w:t>
            </w:r>
          </w:p>
        </w:tc>
        <w:tc>
          <w:tcPr>
            <w:tcW w:type="dxa" w:w="3168"/>
            <w:vAlign w:val="top"/>
          </w:tcPr>
          <w:p>
            <w:pPr>
              <w:spacing w:after="0"/>
            </w:pPr>
            <w:r/>
            <w:r>
              <w:rPr>
                <w:b w:val="0"/>
                <w:sz w:val="14"/>
              </w:rPr>
              <w:t>mTLS enforcement</w:t>
            </w:r>
          </w:p>
        </w:tc>
        <w:tc>
          <w:tcPr>
            <w:tcW w:type="dxa" w:w="5760"/>
            <w:vAlign w:val="top"/>
          </w:tcPr>
          <w:p>
            <w:pPr>
              <w:spacing w:after="0"/>
            </w:pPr>
            <w:r/>
            <w:r>
              <w:rPr>
                <w:b w:val="0"/>
                <w:sz w:val="14"/>
              </w:rPr>
              <w:t>Reject node-to-node calls without valid certificate.</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CT-003</w:t>
            </w:r>
          </w:p>
        </w:tc>
        <w:tc>
          <w:tcPr>
            <w:tcW w:type="dxa" w:w="3168"/>
            <w:vAlign w:val="top"/>
          </w:tcPr>
          <w:p>
            <w:pPr>
              <w:spacing w:after="0"/>
            </w:pPr>
            <w:r/>
            <w:r>
              <w:rPr>
                <w:b w:val="0"/>
                <w:sz w:val="14"/>
              </w:rPr>
              <w:t>Request signing</w:t>
            </w:r>
          </w:p>
        </w:tc>
        <w:tc>
          <w:tcPr>
            <w:tcW w:type="dxa" w:w="5760"/>
            <w:vAlign w:val="top"/>
          </w:tcPr>
          <w:p>
            <w:pPr>
              <w:spacing w:after="0"/>
            </w:pPr>
            <w:r/>
            <w:r>
              <w:rPr>
                <w:b w:val="0"/>
                <w:sz w:val="14"/>
              </w:rPr>
              <w:t>Reject unsigned or tampered request.</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CT-004</w:t>
            </w:r>
          </w:p>
        </w:tc>
        <w:tc>
          <w:tcPr>
            <w:tcW w:type="dxa" w:w="3168"/>
            <w:vAlign w:val="top"/>
          </w:tcPr>
          <w:p>
            <w:pPr>
              <w:spacing w:after="0"/>
            </w:pPr>
            <w:r/>
            <w:r>
              <w:rPr>
                <w:b w:val="0"/>
                <w:sz w:val="14"/>
              </w:rPr>
              <w:t>Response signing</w:t>
            </w:r>
          </w:p>
        </w:tc>
        <w:tc>
          <w:tcPr>
            <w:tcW w:type="dxa" w:w="5760"/>
            <w:vAlign w:val="top"/>
          </w:tcPr>
          <w:p>
            <w:pPr>
              <w:spacing w:after="0"/>
            </w:pPr>
            <w:r/>
            <w:r>
              <w:rPr>
                <w:b w:val="0"/>
                <w:sz w:val="14"/>
              </w:rPr>
              <w:t>Reject altered response.</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CT-005</w:t>
            </w:r>
          </w:p>
        </w:tc>
        <w:tc>
          <w:tcPr>
            <w:tcW w:type="dxa" w:w="3168"/>
            <w:vAlign w:val="top"/>
          </w:tcPr>
          <w:p>
            <w:pPr>
              <w:spacing w:after="0"/>
            </w:pPr>
            <w:r/>
            <w:r>
              <w:rPr>
                <w:b w:val="0"/>
                <w:sz w:val="14"/>
              </w:rPr>
              <w:t>Timestamp freshness</w:t>
            </w:r>
          </w:p>
        </w:tc>
        <w:tc>
          <w:tcPr>
            <w:tcW w:type="dxa" w:w="5760"/>
            <w:vAlign w:val="top"/>
          </w:tcPr>
          <w:p>
            <w:pPr>
              <w:spacing w:after="0"/>
            </w:pPr>
            <w:r/>
            <w:r>
              <w:rPr>
                <w:b w:val="0"/>
                <w:sz w:val="14"/>
              </w:rPr>
              <w:t>Reject stale request beyond TTL.</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CT-006</w:t>
            </w:r>
          </w:p>
        </w:tc>
        <w:tc>
          <w:tcPr>
            <w:tcW w:type="dxa" w:w="3168"/>
            <w:vAlign w:val="top"/>
          </w:tcPr>
          <w:p>
            <w:pPr>
              <w:spacing w:after="0"/>
            </w:pPr>
            <w:r/>
            <w:r>
              <w:rPr>
                <w:b w:val="0"/>
                <w:sz w:val="14"/>
              </w:rPr>
              <w:t>Replay protection</w:t>
            </w:r>
          </w:p>
        </w:tc>
        <w:tc>
          <w:tcPr>
            <w:tcW w:type="dxa" w:w="5760"/>
            <w:vAlign w:val="top"/>
          </w:tcPr>
          <w:p>
            <w:pPr>
              <w:spacing w:after="0"/>
            </w:pPr>
            <w:r/>
            <w:r>
              <w:rPr>
                <w:b w:val="0"/>
                <w:sz w:val="14"/>
              </w:rPr>
              <w:t>Reject reused nonce/transaction ID.</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CT-007</w:t>
            </w:r>
          </w:p>
        </w:tc>
        <w:tc>
          <w:tcPr>
            <w:tcW w:type="dxa" w:w="3168"/>
            <w:vAlign w:val="top"/>
          </w:tcPr>
          <w:p>
            <w:pPr>
              <w:spacing w:after="0"/>
            </w:pPr>
            <w:r/>
            <w:r>
              <w:rPr>
                <w:b w:val="0"/>
                <w:sz w:val="14"/>
              </w:rPr>
              <w:t>Purpose enforcement</w:t>
            </w:r>
          </w:p>
        </w:tc>
        <w:tc>
          <w:tcPr>
            <w:tcW w:type="dxa" w:w="5760"/>
            <w:vAlign w:val="top"/>
          </w:tcPr>
          <w:p>
            <w:pPr>
              <w:spacing w:after="0"/>
            </w:pPr>
            <w:r/>
            <w:r>
              <w:rPr>
                <w:b w:val="0"/>
                <w:sz w:val="14"/>
              </w:rPr>
              <w:t>Reject request with invalid/missing purpose code.</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CT-008</w:t>
            </w:r>
          </w:p>
        </w:tc>
        <w:tc>
          <w:tcPr>
            <w:tcW w:type="dxa" w:w="3168"/>
            <w:vAlign w:val="top"/>
          </w:tcPr>
          <w:p>
            <w:pPr>
              <w:spacing w:after="0"/>
            </w:pPr>
            <w:r/>
            <w:r>
              <w:rPr>
                <w:b w:val="0"/>
                <w:sz w:val="14"/>
              </w:rPr>
              <w:t>Member suspension</w:t>
            </w:r>
          </w:p>
        </w:tc>
        <w:tc>
          <w:tcPr>
            <w:tcW w:type="dxa" w:w="5760"/>
            <w:vAlign w:val="top"/>
          </w:tcPr>
          <w:p>
            <w:pPr>
              <w:spacing w:after="0"/>
            </w:pPr>
            <w:r/>
            <w:r>
              <w:rPr>
                <w:b w:val="0"/>
                <w:sz w:val="14"/>
              </w:rPr>
              <w:t>Suspended member cannot exchange in production.</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CT-009</w:t>
            </w:r>
          </w:p>
        </w:tc>
        <w:tc>
          <w:tcPr>
            <w:tcW w:type="dxa" w:w="3168"/>
            <w:vAlign w:val="top"/>
          </w:tcPr>
          <w:p>
            <w:pPr>
              <w:spacing w:after="0"/>
            </w:pPr>
            <w:r/>
            <w:r>
              <w:rPr>
                <w:b w:val="0"/>
                <w:sz w:val="14"/>
              </w:rPr>
              <w:t>Certificate revocation</w:t>
            </w:r>
          </w:p>
        </w:tc>
        <w:tc>
          <w:tcPr>
            <w:tcW w:type="dxa" w:w="5760"/>
            <w:vAlign w:val="top"/>
          </w:tcPr>
          <w:p>
            <w:pPr>
              <w:spacing w:after="0"/>
            </w:pPr>
            <w:r/>
            <w:r>
              <w:rPr>
                <w:b w:val="0"/>
                <w:sz w:val="14"/>
              </w:rPr>
              <w:t>Revoked certificate is rejected within revocation SLA.</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CT-010</w:t>
            </w:r>
          </w:p>
        </w:tc>
        <w:tc>
          <w:tcPr>
            <w:tcW w:type="dxa" w:w="3168"/>
            <w:vAlign w:val="top"/>
          </w:tcPr>
          <w:p>
            <w:pPr>
              <w:spacing w:after="0"/>
            </w:pPr>
            <w:r/>
            <w:r>
              <w:rPr>
                <w:b w:val="0"/>
                <w:sz w:val="14"/>
              </w:rPr>
              <w:t>Signed config validation</w:t>
            </w:r>
          </w:p>
        </w:tc>
        <w:tc>
          <w:tcPr>
            <w:tcW w:type="dxa" w:w="5760"/>
            <w:vAlign w:val="top"/>
          </w:tcPr>
          <w:p>
            <w:pPr>
              <w:spacing w:after="0"/>
            </w:pPr>
            <w:r/>
            <w:r>
              <w:rPr>
                <w:b w:val="0"/>
                <w:sz w:val="14"/>
              </w:rPr>
              <w:t>Node refuses unsigned or expired config.</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CT-011</w:t>
            </w:r>
          </w:p>
        </w:tc>
        <w:tc>
          <w:tcPr>
            <w:tcW w:type="dxa" w:w="3168"/>
            <w:vAlign w:val="top"/>
          </w:tcPr>
          <w:p>
            <w:pPr>
              <w:spacing w:after="0"/>
            </w:pPr>
            <w:r/>
            <w:r>
              <w:rPr>
                <w:b w:val="0"/>
                <w:sz w:val="14"/>
              </w:rPr>
              <w:t>Control-plane outage</w:t>
            </w:r>
          </w:p>
        </w:tc>
        <w:tc>
          <w:tcPr>
            <w:tcW w:type="dxa" w:w="5760"/>
            <w:vAlign w:val="top"/>
          </w:tcPr>
          <w:p>
            <w:pPr>
              <w:spacing w:after="0"/>
            </w:pPr>
            <w:r/>
            <w:r>
              <w:rPr>
                <w:b w:val="0"/>
                <w:sz w:val="14"/>
              </w:rPr>
              <w:t>Existing approved traffic continues using signed cached config for TTL.</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CT-012</w:t>
            </w:r>
          </w:p>
        </w:tc>
        <w:tc>
          <w:tcPr>
            <w:tcW w:type="dxa" w:w="3168"/>
            <w:vAlign w:val="top"/>
          </w:tcPr>
          <w:p>
            <w:pPr>
              <w:spacing w:after="0"/>
            </w:pPr>
            <w:r/>
            <w:r>
              <w:rPr>
                <w:b w:val="0"/>
                <w:sz w:val="14"/>
              </w:rPr>
              <w:t>Emergency revocation</w:t>
            </w:r>
          </w:p>
        </w:tc>
        <w:tc>
          <w:tcPr>
            <w:tcW w:type="dxa" w:w="5760"/>
            <w:vAlign w:val="top"/>
          </w:tcPr>
          <w:p>
            <w:pPr>
              <w:spacing w:after="0"/>
            </w:pPr>
            <w:r/>
            <w:r>
              <w:rPr>
                <w:b w:val="0"/>
                <w:sz w:val="14"/>
              </w:rPr>
              <w:t>Revocation propagates despite normal control-plane degradation.</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CT-013</w:t>
            </w:r>
          </w:p>
        </w:tc>
        <w:tc>
          <w:tcPr>
            <w:tcW w:type="dxa" w:w="3168"/>
            <w:vAlign w:val="top"/>
          </w:tcPr>
          <w:p>
            <w:pPr>
              <w:spacing w:after="0"/>
            </w:pPr>
            <w:r/>
            <w:r>
              <w:rPr>
                <w:b w:val="0"/>
                <w:sz w:val="14"/>
              </w:rPr>
              <w:t>Minimisation</w:t>
            </w:r>
          </w:p>
        </w:tc>
        <w:tc>
          <w:tcPr>
            <w:tcW w:type="dxa" w:w="5760"/>
            <w:vAlign w:val="top"/>
          </w:tcPr>
          <w:p>
            <w:pPr>
              <w:spacing w:after="0"/>
            </w:pPr>
            <w:r/>
            <w:r>
              <w:rPr>
                <w:b w:val="0"/>
                <w:sz w:val="14"/>
              </w:rPr>
              <w:t>Provider returns masked/yes-no assertion according to policy.</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CT-014</w:t>
            </w:r>
          </w:p>
        </w:tc>
        <w:tc>
          <w:tcPr>
            <w:tcW w:type="dxa" w:w="3168"/>
            <w:vAlign w:val="top"/>
          </w:tcPr>
          <w:p>
            <w:pPr>
              <w:spacing w:after="0"/>
            </w:pPr>
            <w:r/>
            <w:r>
              <w:rPr>
                <w:b w:val="0"/>
                <w:sz w:val="14"/>
              </w:rPr>
              <w:t>Bulk extraction block</w:t>
            </w:r>
          </w:p>
        </w:tc>
        <w:tc>
          <w:tcPr>
            <w:tcW w:type="dxa" w:w="5760"/>
            <w:vAlign w:val="top"/>
          </w:tcPr>
          <w:p>
            <w:pPr>
              <w:spacing w:after="0"/>
            </w:pPr>
            <w:r/>
            <w:r>
              <w:rPr>
                <w:b w:val="0"/>
                <w:sz w:val="14"/>
              </w:rPr>
              <w:t>Unauthorised bulk request is denied and alerted.</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CT-015</w:t>
            </w:r>
          </w:p>
        </w:tc>
        <w:tc>
          <w:tcPr>
            <w:tcW w:type="dxa" w:w="3168"/>
            <w:vAlign w:val="top"/>
          </w:tcPr>
          <w:p>
            <w:pPr>
              <w:spacing w:after="0"/>
            </w:pPr>
            <w:r/>
            <w:r>
              <w:rPr>
                <w:b w:val="0"/>
                <w:sz w:val="14"/>
              </w:rPr>
              <w:t>Audit completeness</w:t>
            </w:r>
          </w:p>
        </w:tc>
        <w:tc>
          <w:tcPr>
            <w:tcW w:type="dxa" w:w="5760"/>
            <w:vAlign w:val="top"/>
          </w:tcPr>
          <w:p>
            <w:pPr>
              <w:spacing w:after="0"/>
            </w:pPr>
            <w:r/>
            <w:r>
              <w:rPr>
                <w:b w:val="0"/>
                <w:sz w:val="14"/>
              </w:rPr>
              <w:t>Requester, provider and central audit records reconcile.</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CT-016</w:t>
            </w:r>
          </w:p>
        </w:tc>
        <w:tc>
          <w:tcPr>
            <w:tcW w:type="dxa" w:w="3168"/>
            <w:vAlign w:val="top"/>
          </w:tcPr>
          <w:p>
            <w:pPr>
              <w:spacing w:after="0"/>
            </w:pPr>
            <w:r/>
            <w:r>
              <w:rPr>
                <w:b w:val="0"/>
                <w:sz w:val="14"/>
              </w:rPr>
              <w:t>Audit integrity</w:t>
            </w:r>
          </w:p>
        </w:tc>
        <w:tc>
          <w:tcPr>
            <w:tcW w:type="dxa" w:w="5760"/>
            <w:vAlign w:val="top"/>
          </w:tcPr>
          <w:p>
            <w:pPr>
              <w:spacing w:after="0"/>
            </w:pPr>
            <w:r/>
            <w:r>
              <w:rPr>
                <w:b w:val="0"/>
                <w:sz w:val="14"/>
              </w:rPr>
              <w:t>Tampered audit record is detected through hash/digest check.</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CT-017</w:t>
            </w:r>
          </w:p>
        </w:tc>
        <w:tc>
          <w:tcPr>
            <w:tcW w:type="dxa" w:w="3168"/>
            <w:vAlign w:val="top"/>
          </w:tcPr>
          <w:p>
            <w:pPr>
              <w:spacing w:after="0"/>
            </w:pPr>
            <w:r/>
            <w:r>
              <w:rPr>
                <w:b w:val="0"/>
                <w:sz w:val="14"/>
              </w:rPr>
              <w:t>BOLA negative test</w:t>
            </w:r>
          </w:p>
        </w:tc>
        <w:tc>
          <w:tcPr>
            <w:tcW w:type="dxa" w:w="5760"/>
            <w:vAlign w:val="top"/>
          </w:tcPr>
          <w:p>
            <w:pPr>
              <w:spacing w:after="0"/>
            </w:pPr>
            <w:r/>
            <w:r>
              <w:rPr>
                <w:b w:val="0"/>
                <w:sz w:val="14"/>
              </w:rPr>
              <w:t>Manipulated citizen/context ID is denied.</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CT-018</w:t>
            </w:r>
          </w:p>
        </w:tc>
        <w:tc>
          <w:tcPr>
            <w:tcW w:type="dxa" w:w="3168"/>
            <w:vAlign w:val="top"/>
          </w:tcPr>
          <w:p>
            <w:pPr>
              <w:spacing w:after="0"/>
            </w:pPr>
            <w:r/>
            <w:r>
              <w:rPr>
                <w:b w:val="0"/>
                <w:sz w:val="14"/>
              </w:rPr>
              <w:t>DPIA gate</w:t>
            </w:r>
          </w:p>
        </w:tc>
        <w:tc>
          <w:tcPr>
            <w:tcW w:type="dxa" w:w="5760"/>
            <w:vAlign w:val="top"/>
          </w:tcPr>
          <w:p>
            <w:pPr>
              <w:spacing w:after="0"/>
            </w:pPr>
            <w:r/>
            <w:r>
              <w:rPr>
                <w:b w:val="0"/>
                <w:sz w:val="14"/>
              </w:rPr>
              <w:t>Personal-data service cannot go live without DPIA evidence.</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CT-019</w:t>
            </w:r>
          </w:p>
        </w:tc>
        <w:tc>
          <w:tcPr>
            <w:tcW w:type="dxa" w:w="3168"/>
            <w:vAlign w:val="top"/>
          </w:tcPr>
          <w:p>
            <w:pPr>
              <w:spacing w:after="0"/>
            </w:pPr>
            <w:r/>
            <w:r>
              <w:rPr>
                <w:b w:val="0"/>
                <w:sz w:val="14"/>
              </w:rPr>
              <w:t>Accessibility</w:t>
            </w:r>
          </w:p>
        </w:tc>
        <w:tc>
          <w:tcPr>
            <w:tcW w:type="dxa" w:w="5760"/>
            <w:vAlign w:val="top"/>
          </w:tcPr>
          <w:p>
            <w:pPr>
              <w:spacing w:after="0"/>
            </w:pPr>
            <w:r/>
            <w:r>
              <w:rPr>
                <w:b w:val="0"/>
                <w:sz w:val="14"/>
              </w:rPr>
              <w:t>Governance UI passes keyboard/screen-reader/contrast/language tests.</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CT-020</w:t>
            </w:r>
          </w:p>
        </w:tc>
        <w:tc>
          <w:tcPr>
            <w:tcW w:type="dxa" w:w="3168"/>
            <w:vAlign w:val="top"/>
          </w:tcPr>
          <w:p>
            <w:pPr>
              <w:spacing w:after="0"/>
            </w:pPr>
            <w:r/>
            <w:r>
              <w:rPr>
                <w:b w:val="0"/>
                <w:sz w:val="14"/>
              </w:rPr>
              <w:t>Legacy adapter security</w:t>
            </w:r>
          </w:p>
        </w:tc>
        <w:tc>
          <w:tcPr>
            <w:tcW w:type="dxa" w:w="5760"/>
            <w:vAlign w:val="top"/>
          </w:tcPr>
          <w:p>
            <w:pPr>
              <w:spacing w:after="0"/>
            </w:pPr>
            <w:r/>
            <w:r>
              <w:rPr>
                <w:b w:val="0"/>
                <w:sz w:val="14"/>
              </w:rPr>
              <w:t>Adapter input validation and safe backend access tests pass.</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CT-021</w:t>
            </w:r>
          </w:p>
        </w:tc>
        <w:tc>
          <w:tcPr>
            <w:tcW w:type="dxa" w:w="3168"/>
            <w:vAlign w:val="top"/>
          </w:tcPr>
          <w:p>
            <w:pPr>
              <w:spacing w:after="0"/>
            </w:pPr>
            <w:r/>
            <w:r>
              <w:rPr>
                <w:b w:val="0"/>
                <w:sz w:val="14"/>
              </w:rPr>
              <w:t>SIEM export</w:t>
            </w:r>
          </w:p>
        </w:tc>
        <w:tc>
          <w:tcPr>
            <w:tcW w:type="dxa" w:w="5760"/>
            <w:vAlign w:val="top"/>
          </w:tcPr>
          <w:p>
            <w:pPr>
              <w:spacing w:after="0"/>
            </w:pPr>
            <w:r/>
            <w:r>
              <w:rPr>
                <w:b w:val="0"/>
                <w:sz w:val="14"/>
              </w:rPr>
              <w:t>Security alerts export to SOC/SIEM connector.</w:t>
            </w:r>
          </w:p>
        </w:tc>
        <w:tc>
          <w:tcPr>
            <w:tcW w:type="dxa" w:w="1152"/>
            <w:vAlign w:val="top"/>
          </w:tcPr>
          <w:p>
            <w:pPr>
              <w:spacing w:after="0"/>
            </w:pPr>
            <w:r/>
            <w:r>
              <w:rPr>
                <w:b w:val="0"/>
                <w:sz w:val="14"/>
              </w:rPr>
              <w:t>Should</w:t>
            </w:r>
          </w:p>
        </w:tc>
      </w:tr>
      <w:tr>
        <w:trPr>
          <w:cantSplit/>
        </w:trPr>
        <w:tc>
          <w:tcPr>
            <w:tcW w:type="dxa" w:w="1008"/>
            <w:vAlign w:val="top"/>
          </w:tcPr>
          <w:p>
            <w:pPr>
              <w:spacing w:after="0"/>
            </w:pPr>
            <w:r/>
            <w:r>
              <w:rPr>
                <w:b w:val="0"/>
                <w:sz w:val="14"/>
              </w:rPr>
              <w:t>CT-022</w:t>
            </w:r>
          </w:p>
        </w:tc>
        <w:tc>
          <w:tcPr>
            <w:tcW w:type="dxa" w:w="3168"/>
            <w:vAlign w:val="top"/>
          </w:tcPr>
          <w:p>
            <w:pPr>
              <w:spacing w:after="0"/>
            </w:pPr>
            <w:r/>
            <w:r>
              <w:rPr>
                <w:b w:val="0"/>
                <w:sz w:val="14"/>
              </w:rPr>
              <w:t>Schema validation</w:t>
            </w:r>
          </w:p>
        </w:tc>
        <w:tc>
          <w:tcPr>
            <w:tcW w:type="dxa" w:w="5760"/>
            <w:vAlign w:val="top"/>
          </w:tcPr>
          <w:p>
            <w:pPr>
              <w:spacing w:after="0"/>
            </w:pPr>
            <w:r/>
            <w:r>
              <w:rPr>
                <w:b w:val="0"/>
                <w:sz w:val="14"/>
              </w:rPr>
              <w:t>Service publication fails on invalid contract/schema.</w:t>
            </w:r>
          </w:p>
        </w:tc>
        <w:tc>
          <w:tcPr>
            <w:tcW w:type="dxa" w:w="1152"/>
            <w:vAlign w:val="top"/>
          </w:tcPr>
          <w:p>
            <w:pPr>
              <w:spacing w:after="0"/>
            </w:pPr>
            <w:r/>
            <w:r>
              <w:rPr>
                <w:b w:val="0"/>
                <w:sz w:val="14"/>
              </w:rPr>
              <w:t>Should</w:t>
            </w:r>
          </w:p>
        </w:tc>
      </w:tr>
      <w:tr>
        <w:trPr>
          <w:cantSplit/>
        </w:trPr>
        <w:tc>
          <w:tcPr>
            <w:tcW w:type="dxa" w:w="1008"/>
            <w:vAlign w:val="top"/>
          </w:tcPr>
          <w:p>
            <w:pPr>
              <w:spacing w:after="0"/>
            </w:pPr>
            <w:r/>
            <w:r>
              <w:rPr>
                <w:b w:val="0"/>
                <w:sz w:val="14"/>
              </w:rPr>
              <w:t>CT-023</w:t>
            </w:r>
          </w:p>
        </w:tc>
        <w:tc>
          <w:tcPr>
            <w:tcW w:type="dxa" w:w="3168"/>
            <w:vAlign w:val="top"/>
          </w:tcPr>
          <w:p>
            <w:pPr>
              <w:spacing w:after="0"/>
            </w:pPr>
            <w:r/>
            <w:r>
              <w:rPr>
                <w:b w:val="0"/>
                <w:sz w:val="14"/>
              </w:rPr>
              <w:t>Multilingual metadata</w:t>
            </w:r>
          </w:p>
        </w:tc>
        <w:tc>
          <w:tcPr>
            <w:tcW w:type="dxa" w:w="5760"/>
            <w:vAlign w:val="top"/>
          </w:tcPr>
          <w:p>
            <w:pPr>
              <w:spacing w:after="0"/>
            </w:pPr>
            <w:r/>
            <w:r>
              <w:rPr>
                <w:b w:val="0"/>
                <w:sz w:val="14"/>
              </w:rPr>
              <w:t>Local-language service descriptions render correctly.</w:t>
            </w:r>
          </w:p>
        </w:tc>
        <w:tc>
          <w:tcPr>
            <w:tcW w:type="dxa" w:w="1152"/>
            <w:vAlign w:val="top"/>
          </w:tcPr>
          <w:p>
            <w:pPr>
              <w:spacing w:after="0"/>
            </w:pPr>
            <w:r/>
            <w:r>
              <w:rPr>
                <w:b w:val="0"/>
                <w:sz w:val="14"/>
              </w:rPr>
              <w:t>Should</w:t>
            </w:r>
          </w:p>
        </w:tc>
      </w:tr>
      <w:tr>
        <w:trPr>
          <w:cantSplit/>
        </w:trPr>
        <w:tc>
          <w:tcPr>
            <w:tcW w:type="dxa" w:w="1008"/>
            <w:vAlign w:val="top"/>
          </w:tcPr>
          <w:p>
            <w:pPr>
              <w:spacing w:after="0"/>
            </w:pPr>
            <w:r/>
            <w:r>
              <w:rPr>
                <w:b w:val="0"/>
                <w:sz w:val="14"/>
              </w:rPr>
              <w:t>CT-024</w:t>
            </w:r>
          </w:p>
        </w:tc>
        <w:tc>
          <w:tcPr>
            <w:tcW w:type="dxa" w:w="3168"/>
            <w:vAlign w:val="top"/>
          </w:tcPr>
          <w:p>
            <w:pPr>
              <w:spacing w:after="0"/>
            </w:pPr>
            <w:r/>
            <w:r>
              <w:rPr>
                <w:b w:val="0"/>
                <w:sz w:val="14"/>
              </w:rPr>
              <w:t>DR drill</w:t>
            </w:r>
          </w:p>
        </w:tc>
        <w:tc>
          <w:tcPr>
            <w:tcW w:type="dxa" w:w="5760"/>
            <w:vAlign w:val="top"/>
          </w:tcPr>
          <w:p>
            <w:pPr>
              <w:spacing w:after="0"/>
            </w:pPr>
            <w:r/>
            <w:r>
              <w:rPr>
                <w:b w:val="0"/>
                <w:sz w:val="14"/>
              </w:rPr>
              <w:t>Control plane restores within defined RTO/RPO.</w:t>
            </w:r>
          </w:p>
        </w:tc>
        <w:tc>
          <w:tcPr>
            <w:tcW w:type="dxa" w:w="1152"/>
            <w:vAlign w:val="top"/>
          </w:tcPr>
          <w:p>
            <w:pPr>
              <w:spacing w:after="0"/>
            </w:pPr>
            <w:r/>
            <w:r>
              <w:rPr>
                <w:b w:val="0"/>
                <w:sz w:val="14"/>
              </w:rPr>
              <w:t>Must</w:t>
            </w:r>
          </w:p>
        </w:tc>
      </w:tr>
      <w:tr>
        <w:trPr>
          <w:cantSplit/>
        </w:trPr>
        <w:tc>
          <w:tcPr>
            <w:tcW w:type="dxa" w:w="1008"/>
            <w:vAlign w:val="top"/>
          </w:tcPr>
          <w:p>
            <w:pPr>
              <w:spacing w:after="0"/>
            </w:pPr>
            <w:r/>
            <w:r>
              <w:rPr>
                <w:b w:val="0"/>
                <w:sz w:val="14"/>
              </w:rPr>
              <w:t>CT-025</w:t>
            </w:r>
          </w:p>
        </w:tc>
        <w:tc>
          <w:tcPr>
            <w:tcW w:type="dxa" w:w="3168"/>
            <w:vAlign w:val="top"/>
          </w:tcPr>
          <w:p>
            <w:pPr>
              <w:spacing w:after="0"/>
            </w:pPr>
            <w:r/>
            <w:r>
              <w:rPr>
                <w:b w:val="0"/>
                <w:sz w:val="14"/>
              </w:rPr>
              <w:t>Exit test</w:t>
            </w:r>
          </w:p>
        </w:tc>
        <w:tc>
          <w:tcPr>
            <w:tcW w:type="dxa" w:w="5760"/>
            <w:vAlign w:val="top"/>
          </w:tcPr>
          <w:p>
            <w:pPr>
              <w:spacing w:after="0"/>
            </w:pPr>
            <w:r/>
            <w:r>
              <w:rPr>
                <w:b w:val="0"/>
                <w:sz w:val="14"/>
              </w:rPr>
              <w:t>Move one service to another certified cloud without core code change.</w:t>
            </w:r>
          </w:p>
        </w:tc>
        <w:tc>
          <w:tcPr>
            <w:tcW w:type="dxa" w:w="1152"/>
            <w:vAlign w:val="top"/>
          </w:tcPr>
          <w:p>
            <w:pPr>
              <w:spacing w:after="0"/>
            </w:pPr>
            <w:r/>
            <w:r>
              <w:rPr>
                <w:b w:val="0"/>
                <w:sz w:val="14"/>
              </w:rPr>
              <w:t>Should</w:t>
            </w:r>
          </w:p>
        </w:tc>
      </w:tr>
    </w:tbl>
    <w:p>
      <w:pPr>
        <w:pStyle w:val="Heading1"/>
      </w:pPr>
      <w:r>
        <w:t>27. Annexure E - API, policy and audit schemas</w:t>
      </w:r>
    </w:p>
    <w:p>
      <w:pPr>
        <w:pStyle w:val="Heading2"/>
      </w:pPr>
      <w:r>
        <w:t>27.1 Sample policy decision request</w:t>
      </w:r>
    </w:p>
    <w:p>
      <w:r>
        <w:rPr>
          <w:b/>
          <w:color w:val="17365D"/>
        </w:rPr>
        <w:t>Example - PurposeGuard decision request</w:t>
      </w:r>
    </w:p>
    <w:tbl>
      <w:tblPr>
        <w:tblW w:type="auto" w:w="0"/>
        <w:jc w:val="center"/>
        <w:tblLook w:firstColumn="1" w:firstRow="1" w:lastColumn="0" w:lastRow="0" w:noHBand="0" w:noVBand="1" w:val="04A0"/>
        <w:tblBorders>
          <w:top w:val="single" w:sz="6" w:space="0" w:color="B8C9DA"/>
          <w:left w:val="single" w:sz="6" w:space="0" w:color="B8C9DA"/>
          <w:bottom w:val="single" w:sz="6" w:space="0" w:color="B8C9DA"/>
          <w:right w:val="single" w:sz="6" w:space="0" w:color="B8C9DA"/>
          <w:insideH w:val="single" w:sz="6" w:space="0" w:color="B8C9DA"/>
          <w:insideV w:val="single" w:sz="6" w:space="0" w:color="B8C9DA"/>
        </w:tblBorders>
      </w:tblPr>
      <w:tblGrid>
        <w:gridCol w:w="10368"/>
      </w:tblGrid>
      <w:tr>
        <w:tc>
          <w:tcPr>
            <w:tcW w:type="dxa" w:w="10368"/>
            <w:shd w:fill="F4F7FA"/>
          </w:tcPr>
          <w:p>
            <w:pPr>
              <w:spacing w:after="0"/>
            </w:pPr>
            <w:r>
              <w:rPr>
                <w:rFonts w:ascii="Courier New" w:hAnsi="Courier New" w:eastAsia="Courier New"/>
                <w:sz w:val="15"/>
              </w:rPr>
              <w:t>{</w:t>
            </w:r>
            <w:r>
              <w:br/>
            </w:r>
            <w:r>
              <w:rPr>
                <w:rFonts w:ascii="Courier New" w:hAnsi="Courier New" w:eastAsia="Courier New"/>
                <w:sz w:val="15"/>
              </w:rPr>
              <w:t xml:space="preserve">  "transaction_id": "btx-txn-2026-000001",</w:t>
            </w:r>
            <w:r>
              <w:br/>
            </w:r>
            <w:r>
              <w:rPr>
                <w:rFonts w:ascii="Courier New" w:hAnsi="Courier New" w:eastAsia="Courier New"/>
                <w:sz w:val="15"/>
              </w:rPr>
              <w:t xml:space="preserve">  "requester_member_id": "STATE-WELFARE-001",</w:t>
            </w:r>
            <w:r>
              <w:br/>
            </w:r>
            <w:r>
              <w:rPr>
                <w:rFonts w:ascii="Courier New" w:hAnsi="Courier New" w:eastAsia="Courier New"/>
                <w:sz w:val="15"/>
              </w:rPr>
              <w:t xml:space="preserve">  "provider_member_id": "CENTRAL-TRANSPORT-001",</w:t>
            </w:r>
            <w:r>
              <w:br/>
            </w:r>
            <w:r>
              <w:rPr>
                <w:rFonts w:ascii="Courier New" w:hAnsi="Courier New" w:eastAsia="Courier New"/>
                <w:sz w:val="15"/>
              </w:rPr>
              <w:t xml:space="preserve">  "requester_node_id": "tn-state-welfare-prod-01",</w:t>
            </w:r>
            <w:r>
              <w:br/>
            </w:r>
            <w:r>
              <w:rPr>
                <w:rFonts w:ascii="Courier New" w:hAnsi="Courier New" w:eastAsia="Courier New"/>
                <w:sz w:val="15"/>
              </w:rPr>
              <w:t xml:space="preserve">  "service_id": "vehicle-ownership-verify-v1",</w:t>
            </w:r>
            <w:r>
              <w:br/>
            </w:r>
            <w:r>
              <w:rPr>
                <w:rFonts w:ascii="Courier New" w:hAnsi="Courier New" w:eastAsia="Courier New"/>
                <w:sz w:val="15"/>
              </w:rPr>
              <w:t xml:space="preserve">  "purpose_code": "BENEFIT_ELIGIBILITY_CHECK",</w:t>
            </w:r>
            <w:r>
              <w:br/>
            </w:r>
            <w:r>
              <w:rPr>
                <w:rFonts w:ascii="Courier New" w:hAnsi="Courier New" w:eastAsia="Courier New"/>
                <w:sz w:val="15"/>
              </w:rPr>
              <w:t xml:space="preserve">  "data_class": "personal_record",</w:t>
            </w:r>
            <w:r>
              <w:br/>
            </w:r>
            <w:r>
              <w:rPr>
                <w:rFonts w:ascii="Courier New" w:hAnsi="Courier New" w:eastAsia="Courier New"/>
                <w:sz w:val="15"/>
              </w:rPr>
              <w:t xml:space="preserve">  "citizen_context_ref": "opaque-context-token",</w:t>
            </w:r>
            <w:r>
              <w:br/>
            </w:r>
            <w:r>
              <w:rPr>
                <w:rFonts w:ascii="Courier New" w:hAnsi="Courier New" w:eastAsia="Courier New"/>
                <w:sz w:val="15"/>
              </w:rPr>
              <w:t xml:space="preserve">  "lawful_basis_ref": "scheme-rule-ref-2026-01",</w:t>
            </w:r>
            <w:r>
              <w:br/>
            </w:r>
            <w:r>
              <w:rPr>
                <w:rFonts w:ascii="Courier New" w:hAnsi="Courier New" w:eastAsia="Courier New"/>
                <w:sz w:val="15"/>
              </w:rPr>
              <w:t xml:space="preserve">  "consent_ref": null,</w:t>
            </w:r>
            <w:r>
              <w:br/>
            </w:r>
            <w:r>
              <w:rPr>
                <w:rFonts w:ascii="Courier New" w:hAnsi="Courier New" w:eastAsia="Courier New"/>
                <w:sz w:val="15"/>
              </w:rPr>
              <w:t xml:space="preserve">  "requested_fields": [</w:t>
            </w:r>
            <w:r>
              <w:br/>
            </w:r>
            <w:r>
              <w:rPr>
                <w:rFonts w:ascii="Courier New" w:hAnsi="Courier New" w:eastAsia="Courier New"/>
                <w:sz w:val="15"/>
              </w:rPr>
              <w:t xml:space="preserve">    "ownership_status"</w:t>
            </w:r>
            <w:r>
              <w:br/>
            </w:r>
            <w:r>
              <w:rPr>
                <w:rFonts w:ascii="Courier New" w:hAnsi="Courier New" w:eastAsia="Courier New"/>
                <w:sz w:val="15"/>
              </w:rPr>
              <w:t xml:space="preserve">  ],</w:t>
            </w:r>
            <w:r>
              <w:br/>
            </w:r>
            <w:r>
              <w:rPr>
                <w:rFonts w:ascii="Courier New" w:hAnsi="Courier New" w:eastAsia="Courier New"/>
                <w:sz w:val="15"/>
              </w:rPr>
              <w:t xml:space="preserve">  "environment": "production",</w:t>
            </w:r>
            <w:r>
              <w:br/>
            </w:r>
            <w:r>
              <w:rPr>
                <w:rFonts w:ascii="Courier New" w:hAnsi="Courier New" w:eastAsia="Courier New"/>
                <w:sz w:val="15"/>
              </w:rPr>
              <w:t xml:space="preserve">  "risk_context": {</w:t>
            </w:r>
            <w:r>
              <w:br/>
            </w:r>
            <w:r>
              <w:rPr>
                <w:rFonts w:ascii="Courier New" w:hAnsi="Courier New" w:eastAsia="Courier New"/>
                <w:sz w:val="15"/>
              </w:rPr>
              <w:t xml:space="preserve">    "channel": "department_workflow",</w:t>
            </w:r>
            <w:r>
              <w:br/>
            </w:r>
            <w:r>
              <w:rPr>
                <w:rFonts w:ascii="Courier New" w:hAnsi="Courier New" w:eastAsia="Courier New"/>
                <w:sz w:val="15"/>
              </w:rPr>
              <w:t xml:space="preserve">    "bulk": false</w:t>
            </w:r>
            <w:r>
              <w:br/>
            </w:r>
            <w:r>
              <w:rPr>
                <w:rFonts w:ascii="Courier New" w:hAnsi="Courier New" w:eastAsia="Courier New"/>
                <w:sz w:val="15"/>
              </w:rPr>
              <w:t xml:space="preserve">  }</w:t>
            </w:r>
            <w:r>
              <w:br/>
            </w:r>
            <w:r>
              <w:rPr>
                <w:rFonts w:ascii="Courier New" w:hAnsi="Courier New" w:eastAsia="Courier New"/>
                <w:sz w:val="15"/>
              </w:rPr>
              <w:t>}</w:t>
            </w:r>
            <w:r>
              <w:br/>
            </w:r>
          </w:p>
        </w:tc>
        <w:trPr>
          <w:tblHeader/>
        </w:trPr>
      </w:tr>
    </w:tbl>
    <w:p>
      <w:pPr>
        <w:pStyle w:val="Heading2"/>
      </w:pPr>
      <w:r>
        <w:t>27.2 Sample policy decision response</w:t>
      </w:r>
    </w:p>
    <w:p>
      <w:r>
        <w:rPr>
          <w:b/>
          <w:color w:val="17365D"/>
        </w:rPr>
        <w:t>Example - PurposeGuard decision response</w:t>
      </w:r>
    </w:p>
    <w:tbl>
      <w:tblPr>
        <w:tblW w:type="auto" w:w="0"/>
        <w:jc w:val="center"/>
        <w:tblLook w:firstColumn="1" w:firstRow="1" w:lastColumn="0" w:lastRow="0" w:noHBand="0" w:noVBand="1" w:val="04A0"/>
        <w:tblBorders>
          <w:top w:val="single" w:sz="6" w:space="0" w:color="B8C9DA"/>
          <w:left w:val="single" w:sz="6" w:space="0" w:color="B8C9DA"/>
          <w:bottom w:val="single" w:sz="6" w:space="0" w:color="B8C9DA"/>
          <w:right w:val="single" w:sz="6" w:space="0" w:color="B8C9DA"/>
          <w:insideH w:val="single" w:sz="6" w:space="0" w:color="B8C9DA"/>
          <w:insideV w:val="single" w:sz="6" w:space="0" w:color="B8C9DA"/>
        </w:tblBorders>
      </w:tblPr>
      <w:tblGrid>
        <w:gridCol w:w="10368"/>
      </w:tblGrid>
      <w:tr>
        <w:tc>
          <w:tcPr>
            <w:tcW w:type="dxa" w:w="10368"/>
            <w:shd w:fill="F4F7FA"/>
          </w:tcPr>
          <w:p>
            <w:pPr>
              <w:spacing w:after="0"/>
            </w:pPr>
            <w:r>
              <w:rPr>
                <w:rFonts w:ascii="Courier New" w:hAnsi="Courier New" w:eastAsia="Courier New"/>
                <w:sz w:val="15"/>
              </w:rPr>
              <w:t>{</w:t>
            </w:r>
            <w:r>
              <w:br/>
            </w:r>
            <w:r>
              <w:rPr>
                <w:rFonts w:ascii="Courier New" w:hAnsi="Courier New" w:eastAsia="Courier New"/>
                <w:sz w:val="15"/>
              </w:rPr>
              <w:t xml:space="preserve">  "decision": "ALLOW_WITH_MINIMISATION",</w:t>
            </w:r>
            <w:r>
              <w:br/>
            </w:r>
            <w:r>
              <w:rPr>
                <w:rFonts w:ascii="Courier New" w:hAnsi="Courier New" w:eastAsia="Courier New"/>
                <w:sz w:val="15"/>
              </w:rPr>
              <w:t xml:space="preserve">  "policy_version": "purposeguard-policy-2026.05.16",</w:t>
            </w:r>
            <w:r>
              <w:br/>
            </w:r>
            <w:r>
              <w:rPr>
                <w:rFonts w:ascii="Courier New" w:hAnsi="Courier New" w:eastAsia="Courier New"/>
                <w:sz w:val="15"/>
              </w:rPr>
              <w:t xml:space="preserve">  "allowed_fields": [</w:t>
            </w:r>
            <w:r>
              <w:br/>
            </w:r>
            <w:r>
              <w:rPr>
                <w:rFonts w:ascii="Courier New" w:hAnsi="Courier New" w:eastAsia="Courier New"/>
                <w:sz w:val="15"/>
              </w:rPr>
              <w:t xml:space="preserve">    "ownership_status"</w:t>
            </w:r>
            <w:r>
              <w:br/>
            </w:r>
            <w:r>
              <w:rPr>
                <w:rFonts w:ascii="Courier New" w:hAnsi="Courier New" w:eastAsia="Courier New"/>
                <w:sz w:val="15"/>
              </w:rPr>
              <w:t xml:space="preserve">  ],</w:t>
            </w:r>
            <w:r>
              <w:br/>
            </w:r>
            <w:r>
              <w:rPr>
                <w:rFonts w:ascii="Courier New" w:hAnsi="Courier New" w:eastAsia="Courier New"/>
                <w:sz w:val="15"/>
              </w:rPr>
              <w:t xml:space="preserve">  "response_shape": "yes_no_assertion",</w:t>
            </w:r>
            <w:r>
              <w:br/>
            </w:r>
            <w:r>
              <w:rPr>
                <w:rFonts w:ascii="Courier New" w:hAnsi="Courier New" w:eastAsia="Courier New"/>
                <w:sz w:val="15"/>
              </w:rPr>
              <w:t xml:space="preserve">  "retention": {</w:t>
            </w:r>
            <w:r>
              <w:br/>
            </w:r>
            <w:r>
              <w:rPr>
                <w:rFonts w:ascii="Courier New" w:hAnsi="Courier New" w:eastAsia="Courier New"/>
                <w:sz w:val="15"/>
              </w:rPr>
              <w:t xml:space="preserve">    "requester_cache_ttl": "0 days",</w:t>
            </w:r>
            <w:r>
              <w:br/>
            </w:r>
            <w:r>
              <w:rPr>
                <w:rFonts w:ascii="Courier New" w:hAnsi="Courier New" w:eastAsia="Courier New"/>
                <w:sz w:val="15"/>
              </w:rPr>
              <w:t xml:space="preserve">    "audit_retention": "as per policy"</w:t>
            </w:r>
            <w:r>
              <w:br/>
            </w:r>
            <w:r>
              <w:rPr>
                <w:rFonts w:ascii="Courier New" w:hAnsi="Courier New" w:eastAsia="Courier New"/>
                <w:sz w:val="15"/>
              </w:rPr>
              <w:t xml:space="preserve">  },</w:t>
            </w:r>
            <w:r>
              <w:br/>
            </w:r>
            <w:r>
              <w:rPr>
                <w:rFonts w:ascii="Courier New" w:hAnsi="Courier New" w:eastAsia="Courier New"/>
                <w:sz w:val="15"/>
              </w:rPr>
              <w:t xml:space="preserve">  "obligations": [</w:t>
            </w:r>
            <w:r>
              <w:br/>
            </w:r>
            <w:r>
              <w:rPr>
                <w:rFonts w:ascii="Courier New" w:hAnsi="Courier New" w:eastAsia="Courier New"/>
                <w:sz w:val="15"/>
              </w:rPr>
              <w:t xml:space="preserve">    "log_requester",</w:t>
            </w:r>
            <w:r>
              <w:br/>
            </w:r>
            <w:r>
              <w:rPr>
                <w:rFonts w:ascii="Courier New" w:hAnsi="Courier New" w:eastAsia="Courier New"/>
                <w:sz w:val="15"/>
              </w:rPr>
              <w:t xml:space="preserve">    "log_provider",</w:t>
            </w:r>
            <w:r>
              <w:br/>
            </w:r>
            <w:r>
              <w:rPr>
                <w:rFonts w:ascii="Courier New" w:hAnsi="Courier New" w:eastAsia="Courier New"/>
                <w:sz w:val="15"/>
              </w:rPr>
              <w:t xml:space="preserve">    "show_purpose_if_citizen_visible"</w:t>
            </w:r>
            <w:r>
              <w:br/>
            </w:r>
            <w:r>
              <w:rPr>
                <w:rFonts w:ascii="Courier New" w:hAnsi="Courier New" w:eastAsia="Courier New"/>
                <w:sz w:val="15"/>
              </w:rPr>
              <w:t xml:space="preserve">  ],</w:t>
            </w:r>
            <w:r>
              <w:br/>
            </w:r>
            <w:r>
              <w:rPr>
                <w:rFonts w:ascii="Courier New" w:hAnsi="Courier New" w:eastAsia="Courier New"/>
                <w:sz w:val="15"/>
              </w:rPr>
              <w:t xml:space="preserve">  "reason_codes": [</w:t>
            </w:r>
            <w:r>
              <w:br/>
            </w:r>
            <w:r>
              <w:rPr>
                <w:rFonts w:ascii="Courier New" w:hAnsi="Courier New" w:eastAsia="Courier New"/>
                <w:sz w:val="15"/>
              </w:rPr>
              <w:t xml:space="preserve">    "valid_member",</w:t>
            </w:r>
            <w:r>
              <w:br/>
            </w:r>
            <w:r>
              <w:rPr>
                <w:rFonts w:ascii="Courier New" w:hAnsi="Courier New" w:eastAsia="Courier New"/>
                <w:sz w:val="15"/>
              </w:rPr>
              <w:t xml:space="preserve">    "approved_purpose",</w:t>
            </w:r>
            <w:r>
              <w:br/>
            </w:r>
            <w:r>
              <w:rPr>
                <w:rFonts w:ascii="Courier New" w:hAnsi="Courier New" w:eastAsia="Courier New"/>
                <w:sz w:val="15"/>
              </w:rPr>
              <w:t xml:space="preserve">    "minimal_response_required"</w:t>
            </w:r>
            <w:r>
              <w:br/>
            </w:r>
            <w:r>
              <w:rPr>
                <w:rFonts w:ascii="Courier New" w:hAnsi="Courier New" w:eastAsia="Courier New"/>
                <w:sz w:val="15"/>
              </w:rPr>
              <w:t xml:space="preserve">  ]</w:t>
            </w:r>
            <w:r>
              <w:br/>
            </w:r>
            <w:r>
              <w:rPr>
                <w:rFonts w:ascii="Courier New" w:hAnsi="Courier New" w:eastAsia="Courier New"/>
                <w:sz w:val="15"/>
              </w:rPr>
              <w:t>}</w:t>
            </w:r>
            <w:r>
              <w:br/>
            </w:r>
          </w:p>
        </w:tc>
        <w:trPr>
          <w:tblHeader/>
        </w:trPr>
      </w:tr>
    </w:tbl>
    <w:p>
      <w:pPr>
        <w:pStyle w:val="Heading2"/>
      </w:pPr>
      <w:r>
        <w:t>27.3 Canonical audit event</w:t>
      </w:r>
    </w:p>
    <w:p>
      <w:r>
        <w:rPr>
          <w:b/>
          <w:color w:val="17365D"/>
        </w:rPr>
        <w:t>Example - Canonical AuditLedger event</w:t>
      </w:r>
    </w:p>
    <w:tbl>
      <w:tblPr>
        <w:tblW w:type="auto" w:w="0"/>
        <w:jc w:val="center"/>
        <w:tblLook w:firstColumn="1" w:firstRow="1" w:lastColumn="0" w:lastRow="0" w:noHBand="0" w:noVBand="1" w:val="04A0"/>
        <w:tblBorders>
          <w:top w:val="single" w:sz="6" w:space="0" w:color="B8C9DA"/>
          <w:left w:val="single" w:sz="6" w:space="0" w:color="B8C9DA"/>
          <w:bottom w:val="single" w:sz="6" w:space="0" w:color="B8C9DA"/>
          <w:right w:val="single" w:sz="6" w:space="0" w:color="B8C9DA"/>
          <w:insideH w:val="single" w:sz="6" w:space="0" w:color="B8C9DA"/>
          <w:insideV w:val="single" w:sz="6" w:space="0" w:color="B8C9DA"/>
        </w:tblBorders>
      </w:tblPr>
      <w:tblGrid>
        <w:gridCol w:w="10368"/>
      </w:tblGrid>
      <w:tr>
        <w:tc>
          <w:tcPr>
            <w:tcW w:type="dxa" w:w="10368"/>
            <w:shd w:fill="F4F7FA"/>
          </w:tcPr>
          <w:p>
            <w:pPr>
              <w:spacing w:after="0"/>
            </w:pPr>
            <w:r>
              <w:rPr>
                <w:rFonts w:ascii="Courier New" w:hAnsi="Courier New" w:eastAsia="Courier New"/>
                <w:sz w:val="15"/>
              </w:rPr>
              <w:t>{</w:t>
            </w:r>
            <w:r>
              <w:br/>
            </w:r>
            <w:r>
              <w:rPr>
                <w:rFonts w:ascii="Courier New" w:hAnsi="Courier New" w:eastAsia="Courier New"/>
                <w:sz w:val="15"/>
              </w:rPr>
              <w:t xml:space="preserve">  "event_type": "BTX_EXCHANGE_COMPLETED",</w:t>
            </w:r>
            <w:r>
              <w:br/>
            </w:r>
            <w:r>
              <w:rPr>
                <w:rFonts w:ascii="Courier New" w:hAnsi="Courier New" w:eastAsia="Courier New"/>
                <w:sz w:val="15"/>
              </w:rPr>
              <w:t xml:space="preserve">  "transaction_id": "btx-txn-2026-000001",</w:t>
            </w:r>
            <w:r>
              <w:br/>
            </w:r>
            <w:r>
              <w:rPr>
                <w:rFonts w:ascii="Courier New" w:hAnsi="Courier New" w:eastAsia="Courier New"/>
                <w:sz w:val="15"/>
              </w:rPr>
              <w:t xml:space="preserve">  "correlation_id": "corr-abc-123",</w:t>
            </w:r>
            <w:r>
              <w:br/>
            </w:r>
            <w:r>
              <w:rPr>
                <w:rFonts w:ascii="Courier New" w:hAnsi="Courier New" w:eastAsia="Courier New"/>
                <w:sz w:val="15"/>
              </w:rPr>
              <w:t xml:space="preserve">  "timestamp_utc": "2026-05-16T10:30:00Z",</w:t>
            </w:r>
            <w:r>
              <w:br/>
            </w:r>
            <w:r>
              <w:rPr>
                <w:rFonts w:ascii="Courier New" w:hAnsi="Courier New" w:eastAsia="Courier New"/>
                <w:sz w:val="15"/>
              </w:rPr>
              <w:t xml:space="preserve">  "requester_member_id": "STATE-WELFARE-001",</w:t>
            </w:r>
            <w:r>
              <w:br/>
            </w:r>
            <w:r>
              <w:rPr>
                <w:rFonts w:ascii="Courier New" w:hAnsi="Courier New" w:eastAsia="Courier New"/>
                <w:sz w:val="15"/>
              </w:rPr>
              <w:t xml:space="preserve">  "provider_member_id": "CENTRAL-TRANSPORT-001",</w:t>
            </w:r>
            <w:r>
              <w:br/>
            </w:r>
            <w:r>
              <w:rPr>
                <w:rFonts w:ascii="Courier New" w:hAnsi="Courier New" w:eastAsia="Courier New"/>
                <w:sz w:val="15"/>
              </w:rPr>
              <w:t xml:space="preserve">  "requester_node_id": "tn-state-welfare-prod-01",</w:t>
            </w:r>
            <w:r>
              <w:br/>
            </w:r>
            <w:r>
              <w:rPr>
                <w:rFonts w:ascii="Courier New" w:hAnsi="Courier New" w:eastAsia="Courier New"/>
                <w:sz w:val="15"/>
              </w:rPr>
              <w:t xml:space="preserve">  "provider_node_id": "tn-transport-prod-01",</w:t>
            </w:r>
            <w:r>
              <w:br/>
            </w:r>
            <w:r>
              <w:rPr>
                <w:rFonts w:ascii="Courier New" w:hAnsi="Courier New" w:eastAsia="Courier New"/>
                <w:sz w:val="15"/>
              </w:rPr>
              <w:t xml:space="preserve">  "service_id": "vehicle-ownership-verify-v1",</w:t>
            </w:r>
            <w:r>
              <w:br/>
            </w:r>
            <w:r>
              <w:rPr>
                <w:rFonts w:ascii="Courier New" w:hAnsi="Courier New" w:eastAsia="Courier New"/>
                <w:sz w:val="15"/>
              </w:rPr>
              <w:t xml:space="preserve">  "purpose_code": "BENEFIT_ELIGIBILITY_CHECK",</w:t>
            </w:r>
            <w:r>
              <w:br/>
            </w:r>
            <w:r>
              <w:rPr>
                <w:rFonts w:ascii="Courier New" w:hAnsi="Courier New" w:eastAsia="Courier New"/>
                <w:sz w:val="15"/>
              </w:rPr>
              <w:t xml:space="preserve">  "data_class": "personal_record",</w:t>
            </w:r>
            <w:r>
              <w:br/>
            </w:r>
            <w:r>
              <w:rPr>
                <w:rFonts w:ascii="Courier New" w:hAnsi="Courier New" w:eastAsia="Courier New"/>
                <w:sz w:val="15"/>
              </w:rPr>
              <w:t xml:space="preserve">  "policy_decision": "ALLOW_WITH_MINIMISATION",</w:t>
            </w:r>
            <w:r>
              <w:br/>
            </w:r>
            <w:r>
              <w:rPr>
                <w:rFonts w:ascii="Courier New" w:hAnsi="Courier New" w:eastAsia="Courier New"/>
                <w:sz w:val="15"/>
              </w:rPr>
              <w:t xml:space="preserve">  "response_shape": "yes_no_assertion",</w:t>
            </w:r>
            <w:r>
              <w:br/>
            </w:r>
            <w:r>
              <w:rPr>
                <w:rFonts w:ascii="Courier New" w:hAnsi="Courier New" w:eastAsia="Courier New"/>
                <w:sz w:val="15"/>
              </w:rPr>
              <w:t xml:space="preserve">  "status": "success",</w:t>
            </w:r>
            <w:r>
              <w:br/>
            </w:r>
            <w:r>
              <w:rPr>
                <w:rFonts w:ascii="Courier New" w:hAnsi="Courier New" w:eastAsia="Courier New"/>
                <w:sz w:val="15"/>
              </w:rPr>
              <w:t xml:space="preserve">  "latency_ms": 183,</w:t>
            </w:r>
            <w:r>
              <w:br/>
            </w:r>
            <w:r>
              <w:rPr>
                <w:rFonts w:ascii="Courier New" w:hAnsi="Courier New" w:eastAsia="Courier New"/>
                <w:sz w:val="15"/>
              </w:rPr>
              <w:t xml:space="preserve">  "signature_validation": "passed",</w:t>
            </w:r>
            <w:r>
              <w:br/>
            </w:r>
            <w:r>
              <w:rPr>
                <w:rFonts w:ascii="Courier New" w:hAnsi="Courier New" w:eastAsia="Courier New"/>
                <w:sz w:val="15"/>
              </w:rPr>
              <w:t xml:space="preserve">  "timestamp_validation": "passed",</w:t>
            </w:r>
            <w:r>
              <w:br/>
            </w:r>
            <w:r>
              <w:rPr>
                <w:rFonts w:ascii="Courier New" w:hAnsi="Courier New" w:eastAsia="Courier New"/>
                <w:sz w:val="15"/>
              </w:rPr>
              <w:t xml:space="preserve">  "replay_check": "passed",</w:t>
            </w:r>
            <w:r>
              <w:br/>
            </w:r>
            <w:r>
              <w:rPr>
                <w:rFonts w:ascii="Courier New" w:hAnsi="Courier New" w:eastAsia="Courier New"/>
                <w:sz w:val="15"/>
              </w:rPr>
              <w:t xml:space="preserve">  "audit_hash": "sha256:exampledigest",</w:t>
            </w:r>
            <w:r>
              <w:br/>
            </w:r>
            <w:r>
              <w:rPr>
                <w:rFonts w:ascii="Courier New" w:hAnsi="Courier New" w:eastAsia="Courier New"/>
                <w:sz w:val="15"/>
              </w:rPr>
              <w:t xml:space="preserve">  "retention_class": "policy_personal_record_audit"</w:t>
            </w:r>
            <w:r>
              <w:br/>
            </w:r>
            <w:r>
              <w:rPr>
                <w:rFonts w:ascii="Courier New" w:hAnsi="Courier New" w:eastAsia="Courier New"/>
                <w:sz w:val="15"/>
              </w:rPr>
              <w:t>}</w:t>
            </w:r>
            <w:r>
              <w:br/>
            </w:r>
          </w:p>
        </w:tc>
        <w:trPr>
          <w:tblHeader/>
        </w:trPr>
      </w:tr>
    </w:tbl>
    <w:p>
      <w:pPr>
        <w:pStyle w:val="Heading1"/>
      </w:pPr>
      <w:r>
        <w:t>28. Annexure F - RACI matrix</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152"/>
        <w:gridCol w:w="1152"/>
        <w:gridCol w:w="1152"/>
        <w:gridCol w:w="1152"/>
        <w:gridCol w:w="1152"/>
        <w:gridCol w:w="1152"/>
        <w:gridCol w:w="1152"/>
        <w:gridCol w:w="1152"/>
        <w:gridCol w:w="1152"/>
      </w:tblGrid>
      <w:tr>
        <w:trPr>
          <w:cantSplit/>
          <w:tblHeader/>
        </w:trPr>
        <w:tc>
          <w:tcPr>
            <w:tcW w:type="dxa" w:w="2592"/>
            <w:vAlign w:val="top"/>
            <w:shd w:fill="17365D"/>
          </w:tcPr>
          <w:p>
            <w:pPr>
              <w:spacing w:after="0"/>
            </w:pPr>
            <w:r/>
            <w:r>
              <w:rPr>
                <w:b/>
                <w:color w:val="FFFFFF"/>
                <w:sz w:val="12"/>
              </w:rPr>
              <w:t>Activity</w:t>
            </w:r>
          </w:p>
        </w:tc>
        <w:tc>
          <w:tcPr>
            <w:tcW w:type="dxa" w:w="1008"/>
            <w:vAlign w:val="top"/>
            <w:shd w:fill="17365D"/>
          </w:tcPr>
          <w:p>
            <w:pPr>
              <w:spacing w:after="0"/>
            </w:pPr>
            <w:r/>
            <w:r>
              <w:rPr>
                <w:b/>
                <w:color w:val="FFFFFF"/>
                <w:sz w:val="12"/>
              </w:rPr>
              <w:t>National</w:t>
            </w:r>
          </w:p>
        </w:tc>
        <w:tc>
          <w:tcPr>
            <w:tcW w:type="dxa" w:w="1008"/>
            <w:vAlign w:val="top"/>
            <w:shd w:fill="17365D"/>
          </w:tcPr>
          <w:p>
            <w:pPr>
              <w:spacing w:after="0"/>
            </w:pPr>
            <w:r/>
            <w:r>
              <w:rPr>
                <w:b/>
                <w:color w:val="FFFFFF"/>
                <w:sz w:val="12"/>
              </w:rPr>
              <w:t>State</w:t>
            </w:r>
          </w:p>
        </w:tc>
        <w:tc>
          <w:tcPr>
            <w:tcW w:type="dxa" w:w="1440"/>
            <w:vAlign w:val="top"/>
            <w:shd w:fill="17365D"/>
          </w:tcPr>
          <w:p>
            <w:pPr>
              <w:spacing w:after="0"/>
            </w:pPr>
            <w:r/>
            <w:r>
              <w:rPr>
                <w:b/>
                <w:color w:val="FFFFFF"/>
                <w:sz w:val="12"/>
              </w:rPr>
              <w:t>Provider steward</w:t>
            </w:r>
          </w:p>
        </w:tc>
        <w:tc>
          <w:tcPr>
            <w:tcW w:type="dxa" w:w="1152"/>
            <w:vAlign w:val="top"/>
            <w:shd w:fill="17365D"/>
          </w:tcPr>
          <w:p>
            <w:pPr>
              <w:spacing w:after="0"/>
            </w:pPr>
            <w:r/>
            <w:r>
              <w:rPr>
                <w:b/>
                <w:color w:val="FFFFFF"/>
                <w:sz w:val="12"/>
              </w:rPr>
              <w:t>Requester</w:t>
            </w:r>
          </w:p>
        </w:tc>
        <w:tc>
          <w:tcPr>
            <w:tcW w:type="dxa" w:w="1296"/>
            <w:vAlign w:val="top"/>
            <w:shd w:fill="17365D"/>
          </w:tcPr>
          <w:p>
            <w:pPr>
              <w:spacing w:after="0"/>
            </w:pPr>
            <w:r/>
            <w:r>
              <w:rPr>
                <w:b/>
                <w:color w:val="FFFFFF"/>
                <w:sz w:val="12"/>
              </w:rPr>
              <w:t>Privacy/legal</w:t>
            </w:r>
          </w:p>
        </w:tc>
        <w:tc>
          <w:tcPr>
            <w:tcW w:type="dxa" w:w="1152"/>
            <w:vAlign w:val="top"/>
            <w:shd w:fill="17365D"/>
          </w:tcPr>
          <w:p>
            <w:pPr>
              <w:spacing w:after="0"/>
            </w:pPr>
            <w:r/>
            <w:r>
              <w:rPr>
                <w:b/>
                <w:color w:val="FFFFFF"/>
                <w:sz w:val="12"/>
              </w:rPr>
              <w:t>Security</w:t>
            </w:r>
          </w:p>
        </w:tc>
        <w:tc>
          <w:tcPr>
            <w:tcW w:type="dxa" w:w="1008"/>
            <w:vAlign w:val="top"/>
            <w:shd w:fill="17365D"/>
          </w:tcPr>
          <w:p>
            <w:pPr>
              <w:spacing w:after="0"/>
            </w:pPr>
            <w:r/>
            <w:r>
              <w:rPr>
                <w:b/>
                <w:color w:val="FFFFFF"/>
                <w:sz w:val="12"/>
              </w:rPr>
              <w:t>Auditor</w:t>
            </w:r>
          </w:p>
        </w:tc>
        <w:tc>
          <w:tcPr>
            <w:tcW w:type="dxa" w:w="1296"/>
            <w:vAlign w:val="top"/>
            <w:shd w:fill="17365D"/>
          </w:tcPr>
          <w:p>
            <w:pPr>
              <w:spacing w:after="0"/>
            </w:pPr>
            <w:r/>
            <w:r>
              <w:rPr>
                <w:b/>
                <w:color w:val="FFFFFF"/>
                <w:sz w:val="12"/>
              </w:rPr>
              <w:t>Cloud operator</w:t>
            </w:r>
          </w:p>
        </w:tc>
      </w:tr>
      <w:tr>
        <w:trPr>
          <w:cantSplit/>
        </w:trPr>
        <w:tc>
          <w:tcPr>
            <w:tcW w:type="dxa" w:w="2592"/>
            <w:vAlign w:val="top"/>
          </w:tcPr>
          <w:p>
            <w:pPr>
              <w:spacing w:after="0"/>
            </w:pPr>
            <w:r/>
            <w:r>
              <w:rPr>
                <w:b w:val="0"/>
                <w:sz w:val="12"/>
              </w:rPr>
              <w:t>National standards</w:t>
            </w:r>
          </w:p>
        </w:tc>
        <w:tc>
          <w:tcPr>
            <w:tcW w:type="dxa" w:w="1008"/>
            <w:vAlign w:val="top"/>
          </w:tcPr>
          <w:p>
            <w:pPr>
              <w:spacing w:after="0"/>
            </w:pPr>
            <w:r/>
            <w:r>
              <w:rPr>
                <w:b w:val="0"/>
                <w:sz w:val="12"/>
              </w:rPr>
              <w:t>A</w:t>
            </w:r>
          </w:p>
        </w:tc>
        <w:tc>
          <w:tcPr>
            <w:tcW w:type="dxa" w:w="1008"/>
            <w:vAlign w:val="top"/>
          </w:tcPr>
          <w:p>
            <w:pPr>
              <w:spacing w:after="0"/>
            </w:pPr>
            <w:r/>
            <w:r>
              <w:rPr>
                <w:b w:val="0"/>
                <w:sz w:val="12"/>
              </w:rPr>
              <w:t>C</w:t>
            </w:r>
          </w:p>
        </w:tc>
        <w:tc>
          <w:tcPr>
            <w:tcW w:type="dxa" w:w="1440"/>
            <w:vAlign w:val="top"/>
          </w:tcPr>
          <w:p>
            <w:pPr>
              <w:spacing w:after="0"/>
            </w:pPr>
            <w:r/>
            <w:r>
              <w:rPr>
                <w:b w:val="0"/>
                <w:sz w:val="12"/>
              </w:rPr>
              <w:t>C</w:t>
            </w:r>
          </w:p>
        </w:tc>
        <w:tc>
          <w:tcPr>
            <w:tcW w:type="dxa" w:w="1152"/>
            <w:vAlign w:val="top"/>
          </w:tcPr>
          <w:p>
            <w:pPr>
              <w:spacing w:after="0"/>
            </w:pPr>
            <w:r/>
            <w:r>
              <w:rPr>
                <w:b w:val="0"/>
                <w:sz w:val="12"/>
              </w:rPr>
              <w:t>C</w:t>
            </w:r>
          </w:p>
        </w:tc>
        <w:tc>
          <w:tcPr>
            <w:tcW w:type="dxa" w:w="1296"/>
            <w:vAlign w:val="top"/>
          </w:tcPr>
          <w:p>
            <w:pPr>
              <w:spacing w:after="0"/>
            </w:pPr>
            <w:r/>
            <w:r>
              <w:rPr>
                <w:b w:val="0"/>
                <w:sz w:val="12"/>
              </w:rPr>
              <w:t>C</w:t>
            </w:r>
          </w:p>
        </w:tc>
        <w:tc>
          <w:tcPr>
            <w:tcW w:type="dxa" w:w="1152"/>
            <w:vAlign w:val="top"/>
          </w:tcPr>
          <w:p>
            <w:pPr>
              <w:spacing w:after="0"/>
            </w:pPr>
            <w:r/>
            <w:r>
              <w:rPr>
                <w:b w:val="0"/>
                <w:sz w:val="12"/>
              </w:rPr>
              <w:t>C</w:t>
            </w:r>
          </w:p>
        </w:tc>
        <w:tc>
          <w:tcPr>
            <w:tcW w:type="dxa" w:w="1008"/>
            <w:vAlign w:val="top"/>
          </w:tcPr>
          <w:p>
            <w:pPr>
              <w:spacing w:after="0"/>
            </w:pPr>
            <w:r/>
            <w:r>
              <w:rPr>
                <w:b w:val="0"/>
                <w:sz w:val="12"/>
              </w:rPr>
              <w:t>I</w:t>
            </w:r>
          </w:p>
        </w:tc>
        <w:tc>
          <w:tcPr>
            <w:tcW w:type="dxa" w:w="1296"/>
            <w:vAlign w:val="top"/>
          </w:tcPr>
          <w:p>
            <w:pPr>
              <w:spacing w:after="0"/>
            </w:pPr>
            <w:r/>
            <w:r>
              <w:rPr>
                <w:b w:val="0"/>
                <w:sz w:val="12"/>
              </w:rPr>
              <w:t>C</w:t>
            </w:r>
          </w:p>
        </w:tc>
      </w:tr>
      <w:tr>
        <w:trPr>
          <w:cantSplit/>
        </w:trPr>
        <w:tc>
          <w:tcPr>
            <w:tcW w:type="dxa" w:w="2592"/>
            <w:vAlign w:val="top"/>
          </w:tcPr>
          <w:p>
            <w:pPr>
              <w:spacing w:after="0"/>
            </w:pPr>
            <w:r/>
            <w:r>
              <w:rPr>
                <w:b w:val="0"/>
                <w:sz w:val="12"/>
              </w:rPr>
              <w:t>State onboarding</w:t>
            </w:r>
          </w:p>
        </w:tc>
        <w:tc>
          <w:tcPr>
            <w:tcW w:type="dxa" w:w="1008"/>
            <w:vAlign w:val="top"/>
          </w:tcPr>
          <w:p>
            <w:pPr>
              <w:spacing w:after="0"/>
            </w:pPr>
            <w:r/>
            <w:r>
              <w:rPr>
                <w:b w:val="0"/>
                <w:sz w:val="12"/>
              </w:rPr>
              <w:t>C</w:t>
            </w:r>
          </w:p>
        </w:tc>
        <w:tc>
          <w:tcPr>
            <w:tcW w:type="dxa" w:w="1008"/>
            <w:vAlign w:val="top"/>
          </w:tcPr>
          <w:p>
            <w:pPr>
              <w:spacing w:after="0"/>
            </w:pPr>
            <w:r/>
            <w:r>
              <w:rPr>
                <w:b w:val="0"/>
                <w:sz w:val="12"/>
              </w:rPr>
              <w:t>A/R</w:t>
            </w:r>
          </w:p>
        </w:tc>
        <w:tc>
          <w:tcPr>
            <w:tcW w:type="dxa" w:w="1440"/>
            <w:vAlign w:val="top"/>
          </w:tcPr>
          <w:p>
            <w:pPr>
              <w:spacing w:after="0"/>
            </w:pPr>
            <w:r/>
            <w:r>
              <w:rPr>
                <w:b w:val="0"/>
                <w:sz w:val="12"/>
              </w:rPr>
              <w:t>C</w:t>
            </w:r>
          </w:p>
        </w:tc>
        <w:tc>
          <w:tcPr>
            <w:tcW w:type="dxa" w:w="1152"/>
            <w:vAlign w:val="top"/>
          </w:tcPr>
          <w:p>
            <w:pPr>
              <w:spacing w:after="0"/>
            </w:pPr>
            <w:r/>
            <w:r>
              <w:rPr>
                <w:b w:val="0"/>
                <w:sz w:val="12"/>
              </w:rPr>
              <w:t>C</w:t>
            </w:r>
          </w:p>
        </w:tc>
        <w:tc>
          <w:tcPr>
            <w:tcW w:type="dxa" w:w="1296"/>
            <w:vAlign w:val="top"/>
          </w:tcPr>
          <w:p>
            <w:pPr>
              <w:spacing w:after="0"/>
            </w:pPr>
            <w:r/>
            <w:r>
              <w:rPr>
                <w:b w:val="0"/>
                <w:sz w:val="12"/>
              </w:rPr>
              <w:t>C</w:t>
            </w:r>
          </w:p>
        </w:tc>
        <w:tc>
          <w:tcPr>
            <w:tcW w:type="dxa" w:w="1152"/>
            <w:vAlign w:val="top"/>
          </w:tcPr>
          <w:p>
            <w:pPr>
              <w:spacing w:after="0"/>
            </w:pPr>
            <w:r/>
            <w:r>
              <w:rPr>
                <w:b w:val="0"/>
                <w:sz w:val="12"/>
              </w:rPr>
              <w:t>C</w:t>
            </w:r>
          </w:p>
        </w:tc>
        <w:tc>
          <w:tcPr>
            <w:tcW w:type="dxa" w:w="1008"/>
            <w:vAlign w:val="top"/>
          </w:tcPr>
          <w:p>
            <w:pPr>
              <w:spacing w:after="0"/>
            </w:pPr>
            <w:r/>
            <w:r>
              <w:rPr>
                <w:b w:val="0"/>
                <w:sz w:val="12"/>
              </w:rPr>
              <w:t>I</w:t>
            </w:r>
          </w:p>
        </w:tc>
        <w:tc>
          <w:tcPr>
            <w:tcW w:type="dxa" w:w="1296"/>
            <w:vAlign w:val="top"/>
          </w:tcPr>
          <w:p>
            <w:pPr>
              <w:spacing w:after="0"/>
            </w:pPr>
            <w:r/>
            <w:r>
              <w:rPr>
                <w:b w:val="0"/>
                <w:sz w:val="12"/>
              </w:rPr>
              <w:t>R</w:t>
            </w:r>
          </w:p>
        </w:tc>
      </w:tr>
      <w:tr>
        <w:trPr>
          <w:cantSplit/>
        </w:trPr>
        <w:tc>
          <w:tcPr>
            <w:tcW w:type="dxa" w:w="2592"/>
            <w:vAlign w:val="top"/>
          </w:tcPr>
          <w:p>
            <w:pPr>
              <w:spacing w:after="0"/>
            </w:pPr>
            <w:r/>
            <w:r>
              <w:rPr>
                <w:b w:val="0"/>
                <w:sz w:val="12"/>
              </w:rPr>
              <w:t>Member approval</w:t>
            </w:r>
          </w:p>
        </w:tc>
        <w:tc>
          <w:tcPr>
            <w:tcW w:type="dxa" w:w="1008"/>
            <w:vAlign w:val="top"/>
          </w:tcPr>
          <w:p>
            <w:pPr>
              <w:spacing w:after="0"/>
            </w:pPr>
            <w:r/>
            <w:r>
              <w:rPr>
                <w:b w:val="0"/>
                <w:sz w:val="12"/>
              </w:rPr>
              <w:t>A</w:t>
            </w:r>
          </w:p>
        </w:tc>
        <w:tc>
          <w:tcPr>
            <w:tcW w:type="dxa" w:w="1008"/>
            <w:vAlign w:val="top"/>
          </w:tcPr>
          <w:p>
            <w:pPr>
              <w:spacing w:after="0"/>
            </w:pPr>
            <w:r/>
            <w:r>
              <w:rPr>
                <w:b w:val="0"/>
                <w:sz w:val="12"/>
              </w:rPr>
              <w:t>R</w:t>
            </w:r>
          </w:p>
        </w:tc>
        <w:tc>
          <w:tcPr>
            <w:tcW w:type="dxa" w:w="1440"/>
            <w:vAlign w:val="top"/>
          </w:tcPr>
          <w:p>
            <w:pPr>
              <w:spacing w:after="0"/>
            </w:pPr>
            <w:r/>
            <w:r>
              <w:rPr>
                <w:b w:val="0"/>
                <w:sz w:val="12"/>
              </w:rPr>
              <w:t>C</w:t>
            </w:r>
          </w:p>
        </w:tc>
        <w:tc>
          <w:tcPr>
            <w:tcW w:type="dxa" w:w="1152"/>
            <w:vAlign w:val="top"/>
          </w:tcPr>
          <w:p>
            <w:pPr>
              <w:spacing w:after="0"/>
            </w:pPr>
            <w:r/>
            <w:r>
              <w:rPr>
                <w:b w:val="0"/>
                <w:sz w:val="12"/>
              </w:rPr>
              <w:t>C</w:t>
            </w:r>
          </w:p>
        </w:tc>
        <w:tc>
          <w:tcPr>
            <w:tcW w:type="dxa" w:w="1296"/>
            <w:vAlign w:val="top"/>
          </w:tcPr>
          <w:p>
            <w:pPr>
              <w:spacing w:after="0"/>
            </w:pPr>
            <w:r/>
            <w:r>
              <w:rPr>
                <w:b w:val="0"/>
                <w:sz w:val="12"/>
              </w:rPr>
              <w:t>C</w:t>
            </w:r>
          </w:p>
        </w:tc>
        <w:tc>
          <w:tcPr>
            <w:tcW w:type="dxa" w:w="1152"/>
            <w:vAlign w:val="top"/>
          </w:tcPr>
          <w:p>
            <w:pPr>
              <w:spacing w:after="0"/>
            </w:pPr>
            <w:r/>
            <w:r>
              <w:rPr>
                <w:b w:val="0"/>
                <w:sz w:val="12"/>
              </w:rPr>
              <w:t>C</w:t>
            </w:r>
          </w:p>
        </w:tc>
        <w:tc>
          <w:tcPr>
            <w:tcW w:type="dxa" w:w="1008"/>
            <w:vAlign w:val="top"/>
          </w:tcPr>
          <w:p>
            <w:pPr>
              <w:spacing w:after="0"/>
            </w:pPr>
            <w:r/>
            <w:r>
              <w:rPr>
                <w:b w:val="0"/>
                <w:sz w:val="12"/>
              </w:rPr>
              <w:t>I</w:t>
            </w:r>
          </w:p>
        </w:tc>
        <w:tc>
          <w:tcPr>
            <w:tcW w:type="dxa" w:w="1296"/>
            <w:vAlign w:val="top"/>
          </w:tcPr>
          <w:p>
            <w:pPr>
              <w:spacing w:after="0"/>
            </w:pPr>
            <w:r/>
            <w:r>
              <w:rPr>
                <w:b w:val="0"/>
                <w:sz w:val="12"/>
              </w:rPr>
              <w:t>I</w:t>
            </w:r>
          </w:p>
        </w:tc>
      </w:tr>
      <w:tr>
        <w:trPr>
          <w:cantSplit/>
        </w:trPr>
        <w:tc>
          <w:tcPr>
            <w:tcW w:type="dxa" w:w="2592"/>
            <w:vAlign w:val="top"/>
          </w:tcPr>
          <w:p>
            <w:pPr>
              <w:spacing w:after="0"/>
            </w:pPr>
            <w:r/>
            <w:r>
              <w:rPr>
                <w:b w:val="0"/>
                <w:sz w:val="12"/>
              </w:rPr>
              <w:t>Dataset classification</w:t>
            </w:r>
          </w:p>
        </w:tc>
        <w:tc>
          <w:tcPr>
            <w:tcW w:type="dxa" w:w="1008"/>
            <w:vAlign w:val="top"/>
          </w:tcPr>
          <w:p>
            <w:pPr>
              <w:spacing w:after="0"/>
            </w:pPr>
            <w:r/>
            <w:r>
              <w:rPr>
                <w:b w:val="0"/>
                <w:sz w:val="12"/>
              </w:rPr>
              <w:t>C</w:t>
            </w:r>
          </w:p>
        </w:tc>
        <w:tc>
          <w:tcPr>
            <w:tcW w:type="dxa" w:w="1008"/>
            <w:vAlign w:val="top"/>
          </w:tcPr>
          <w:p>
            <w:pPr>
              <w:spacing w:after="0"/>
            </w:pPr>
            <w:r/>
            <w:r>
              <w:rPr>
                <w:b w:val="0"/>
                <w:sz w:val="12"/>
              </w:rPr>
              <w:t>C</w:t>
            </w:r>
          </w:p>
        </w:tc>
        <w:tc>
          <w:tcPr>
            <w:tcW w:type="dxa" w:w="1440"/>
            <w:vAlign w:val="top"/>
          </w:tcPr>
          <w:p>
            <w:pPr>
              <w:spacing w:after="0"/>
            </w:pPr>
            <w:r/>
            <w:r>
              <w:rPr>
                <w:b w:val="0"/>
                <w:sz w:val="12"/>
              </w:rPr>
              <w:t>A/R</w:t>
            </w:r>
          </w:p>
        </w:tc>
        <w:tc>
          <w:tcPr>
            <w:tcW w:type="dxa" w:w="1152"/>
            <w:vAlign w:val="top"/>
          </w:tcPr>
          <w:p>
            <w:pPr>
              <w:spacing w:after="0"/>
            </w:pPr>
            <w:r/>
            <w:r>
              <w:rPr>
                <w:b w:val="0"/>
                <w:sz w:val="12"/>
              </w:rPr>
              <w:t>C</w:t>
            </w:r>
          </w:p>
        </w:tc>
        <w:tc>
          <w:tcPr>
            <w:tcW w:type="dxa" w:w="1296"/>
            <w:vAlign w:val="top"/>
          </w:tcPr>
          <w:p>
            <w:pPr>
              <w:spacing w:after="0"/>
            </w:pPr>
            <w:r/>
            <w:r>
              <w:rPr>
                <w:b w:val="0"/>
                <w:sz w:val="12"/>
              </w:rPr>
              <w:t>C</w:t>
            </w:r>
          </w:p>
        </w:tc>
        <w:tc>
          <w:tcPr>
            <w:tcW w:type="dxa" w:w="1152"/>
            <w:vAlign w:val="top"/>
          </w:tcPr>
          <w:p>
            <w:pPr>
              <w:spacing w:after="0"/>
            </w:pPr>
            <w:r/>
            <w:r>
              <w:rPr>
                <w:b w:val="0"/>
                <w:sz w:val="12"/>
              </w:rPr>
              <w:t>C</w:t>
            </w:r>
          </w:p>
        </w:tc>
        <w:tc>
          <w:tcPr>
            <w:tcW w:type="dxa" w:w="1008"/>
            <w:vAlign w:val="top"/>
          </w:tcPr>
          <w:p>
            <w:pPr>
              <w:spacing w:after="0"/>
            </w:pPr>
            <w:r/>
            <w:r>
              <w:rPr>
                <w:b w:val="0"/>
                <w:sz w:val="12"/>
              </w:rPr>
              <w:t>I</w:t>
            </w:r>
          </w:p>
        </w:tc>
        <w:tc>
          <w:tcPr>
            <w:tcW w:type="dxa" w:w="1296"/>
            <w:vAlign w:val="top"/>
          </w:tcPr>
          <w:p>
            <w:pPr>
              <w:spacing w:after="0"/>
            </w:pPr>
            <w:r/>
            <w:r>
              <w:rPr>
                <w:b w:val="0"/>
                <w:sz w:val="12"/>
              </w:rPr>
              <w:t>I</w:t>
            </w:r>
          </w:p>
        </w:tc>
      </w:tr>
      <w:tr>
        <w:trPr>
          <w:cantSplit/>
        </w:trPr>
        <w:tc>
          <w:tcPr>
            <w:tcW w:type="dxa" w:w="2592"/>
            <w:vAlign w:val="top"/>
          </w:tcPr>
          <w:p>
            <w:pPr>
              <w:spacing w:after="0"/>
            </w:pPr>
            <w:r/>
            <w:r>
              <w:rPr>
                <w:b w:val="0"/>
                <w:sz w:val="12"/>
              </w:rPr>
              <w:t>Service publication</w:t>
            </w:r>
          </w:p>
        </w:tc>
        <w:tc>
          <w:tcPr>
            <w:tcW w:type="dxa" w:w="1008"/>
            <w:vAlign w:val="top"/>
          </w:tcPr>
          <w:p>
            <w:pPr>
              <w:spacing w:after="0"/>
            </w:pPr>
            <w:r/>
            <w:r>
              <w:rPr>
                <w:b w:val="0"/>
                <w:sz w:val="12"/>
              </w:rPr>
              <w:t>C</w:t>
            </w:r>
          </w:p>
        </w:tc>
        <w:tc>
          <w:tcPr>
            <w:tcW w:type="dxa" w:w="1008"/>
            <w:vAlign w:val="top"/>
          </w:tcPr>
          <w:p>
            <w:pPr>
              <w:spacing w:after="0"/>
            </w:pPr>
            <w:r/>
            <w:r>
              <w:rPr>
                <w:b w:val="0"/>
                <w:sz w:val="12"/>
              </w:rPr>
              <w:t>C</w:t>
            </w:r>
          </w:p>
        </w:tc>
        <w:tc>
          <w:tcPr>
            <w:tcW w:type="dxa" w:w="1440"/>
            <w:vAlign w:val="top"/>
          </w:tcPr>
          <w:p>
            <w:pPr>
              <w:spacing w:after="0"/>
            </w:pPr>
            <w:r/>
            <w:r>
              <w:rPr>
                <w:b w:val="0"/>
                <w:sz w:val="12"/>
              </w:rPr>
              <w:t>A/R</w:t>
            </w:r>
          </w:p>
        </w:tc>
        <w:tc>
          <w:tcPr>
            <w:tcW w:type="dxa" w:w="1152"/>
            <w:vAlign w:val="top"/>
          </w:tcPr>
          <w:p>
            <w:pPr>
              <w:spacing w:after="0"/>
            </w:pPr>
            <w:r/>
            <w:r>
              <w:rPr>
                <w:b w:val="0"/>
                <w:sz w:val="12"/>
              </w:rPr>
              <w:t>C</w:t>
            </w:r>
          </w:p>
        </w:tc>
        <w:tc>
          <w:tcPr>
            <w:tcW w:type="dxa" w:w="1296"/>
            <w:vAlign w:val="top"/>
          </w:tcPr>
          <w:p>
            <w:pPr>
              <w:spacing w:after="0"/>
            </w:pPr>
            <w:r/>
            <w:r>
              <w:rPr>
                <w:b w:val="0"/>
                <w:sz w:val="12"/>
              </w:rPr>
              <w:t>C</w:t>
            </w:r>
          </w:p>
        </w:tc>
        <w:tc>
          <w:tcPr>
            <w:tcW w:type="dxa" w:w="1152"/>
            <w:vAlign w:val="top"/>
          </w:tcPr>
          <w:p>
            <w:pPr>
              <w:spacing w:after="0"/>
            </w:pPr>
            <w:r/>
            <w:r>
              <w:rPr>
                <w:b w:val="0"/>
                <w:sz w:val="12"/>
              </w:rPr>
              <w:t>C</w:t>
            </w:r>
          </w:p>
        </w:tc>
        <w:tc>
          <w:tcPr>
            <w:tcW w:type="dxa" w:w="1008"/>
            <w:vAlign w:val="top"/>
          </w:tcPr>
          <w:p>
            <w:pPr>
              <w:spacing w:after="0"/>
            </w:pPr>
            <w:r/>
            <w:r>
              <w:rPr>
                <w:b w:val="0"/>
                <w:sz w:val="12"/>
              </w:rPr>
              <w:t>I</w:t>
            </w:r>
          </w:p>
        </w:tc>
        <w:tc>
          <w:tcPr>
            <w:tcW w:type="dxa" w:w="1296"/>
            <w:vAlign w:val="top"/>
          </w:tcPr>
          <w:p>
            <w:pPr>
              <w:spacing w:after="0"/>
            </w:pPr>
            <w:r/>
            <w:r>
              <w:rPr>
                <w:b w:val="0"/>
                <w:sz w:val="12"/>
              </w:rPr>
              <w:t>R</w:t>
            </w:r>
          </w:p>
        </w:tc>
      </w:tr>
      <w:tr>
        <w:trPr>
          <w:cantSplit/>
        </w:trPr>
        <w:tc>
          <w:tcPr>
            <w:tcW w:type="dxa" w:w="2592"/>
            <w:vAlign w:val="top"/>
          </w:tcPr>
          <w:p>
            <w:pPr>
              <w:spacing w:after="0"/>
            </w:pPr>
            <w:r/>
            <w:r>
              <w:rPr>
                <w:b w:val="0"/>
                <w:sz w:val="12"/>
              </w:rPr>
              <w:t>Access approval</w:t>
            </w:r>
          </w:p>
        </w:tc>
        <w:tc>
          <w:tcPr>
            <w:tcW w:type="dxa" w:w="1008"/>
            <w:vAlign w:val="top"/>
          </w:tcPr>
          <w:p>
            <w:pPr>
              <w:spacing w:after="0"/>
            </w:pPr>
            <w:r/>
            <w:r>
              <w:rPr>
                <w:b w:val="0"/>
                <w:sz w:val="12"/>
              </w:rPr>
              <w:t>C</w:t>
            </w:r>
          </w:p>
        </w:tc>
        <w:tc>
          <w:tcPr>
            <w:tcW w:type="dxa" w:w="1008"/>
            <w:vAlign w:val="top"/>
          </w:tcPr>
          <w:p>
            <w:pPr>
              <w:spacing w:after="0"/>
            </w:pPr>
            <w:r/>
            <w:r>
              <w:rPr>
                <w:b w:val="0"/>
                <w:sz w:val="12"/>
              </w:rPr>
              <w:t>C</w:t>
            </w:r>
          </w:p>
        </w:tc>
        <w:tc>
          <w:tcPr>
            <w:tcW w:type="dxa" w:w="1440"/>
            <w:vAlign w:val="top"/>
          </w:tcPr>
          <w:p>
            <w:pPr>
              <w:spacing w:after="0"/>
            </w:pPr>
            <w:r/>
            <w:r>
              <w:rPr>
                <w:b w:val="0"/>
                <w:sz w:val="12"/>
              </w:rPr>
              <w:t>A/R</w:t>
            </w:r>
          </w:p>
        </w:tc>
        <w:tc>
          <w:tcPr>
            <w:tcW w:type="dxa" w:w="1152"/>
            <w:vAlign w:val="top"/>
          </w:tcPr>
          <w:p>
            <w:pPr>
              <w:spacing w:after="0"/>
            </w:pPr>
            <w:r/>
            <w:r>
              <w:rPr>
                <w:b w:val="0"/>
                <w:sz w:val="12"/>
              </w:rPr>
              <w:t>R</w:t>
            </w:r>
          </w:p>
        </w:tc>
        <w:tc>
          <w:tcPr>
            <w:tcW w:type="dxa" w:w="1296"/>
            <w:vAlign w:val="top"/>
          </w:tcPr>
          <w:p>
            <w:pPr>
              <w:spacing w:after="0"/>
            </w:pPr>
            <w:r/>
            <w:r>
              <w:rPr>
                <w:b w:val="0"/>
                <w:sz w:val="12"/>
              </w:rPr>
              <w:t>C</w:t>
            </w:r>
          </w:p>
        </w:tc>
        <w:tc>
          <w:tcPr>
            <w:tcW w:type="dxa" w:w="1152"/>
            <w:vAlign w:val="top"/>
          </w:tcPr>
          <w:p>
            <w:pPr>
              <w:spacing w:after="0"/>
            </w:pPr>
            <w:r/>
            <w:r>
              <w:rPr>
                <w:b w:val="0"/>
                <w:sz w:val="12"/>
              </w:rPr>
              <w:t>C</w:t>
            </w:r>
          </w:p>
        </w:tc>
        <w:tc>
          <w:tcPr>
            <w:tcW w:type="dxa" w:w="1008"/>
            <w:vAlign w:val="top"/>
          </w:tcPr>
          <w:p>
            <w:pPr>
              <w:spacing w:after="0"/>
            </w:pPr>
            <w:r/>
            <w:r>
              <w:rPr>
                <w:b w:val="0"/>
                <w:sz w:val="12"/>
              </w:rPr>
              <w:t>I</w:t>
            </w:r>
          </w:p>
        </w:tc>
        <w:tc>
          <w:tcPr>
            <w:tcW w:type="dxa" w:w="1296"/>
            <w:vAlign w:val="top"/>
          </w:tcPr>
          <w:p>
            <w:pPr>
              <w:spacing w:after="0"/>
            </w:pPr>
            <w:r/>
            <w:r>
              <w:rPr>
                <w:b w:val="0"/>
                <w:sz w:val="12"/>
              </w:rPr>
              <w:t>I</w:t>
            </w:r>
          </w:p>
        </w:tc>
      </w:tr>
      <w:tr>
        <w:trPr>
          <w:cantSplit/>
        </w:trPr>
        <w:tc>
          <w:tcPr>
            <w:tcW w:type="dxa" w:w="2592"/>
            <w:vAlign w:val="top"/>
          </w:tcPr>
          <w:p>
            <w:pPr>
              <w:spacing w:after="0"/>
            </w:pPr>
            <w:r/>
            <w:r>
              <w:rPr>
                <w:b w:val="0"/>
                <w:sz w:val="12"/>
              </w:rPr>
              <w:t>Policy-as-code</w:t>
            </w:r>
          </w:p>
        </w:tc>
        <w:tc>
          <w:tcPr>
            <w:tcW w:type="dxa" w:w="1008"/>
            <w:vAlign w:val="top"/>
          </w:tcPr>
          <w:p>
            <w:pPr>
              <w:spacing w:after="0"/>
            </w:pPr>
            <w:r/>
            <w:r>
              <w:rPr>
                <w:b w:val="0"/>
                <w:sz w:val="12"/>
              </w:rPr>
              <w:t>A</w:t>
            </w:r>
          </w:p>
        </w:tc>
        <w:tc>
          <w:tcPr>
            <w:tcW w:type="dxa" w:w="1008"/>
            <w:vAlign w:val="top"/>
          </w:tcPr>
          <w:p>
            <w:pPr>
              <w:spacing w:after="0"/>
            </w:pPr>
            <w:r/>
            <w:r>
              <w:rPr>
                <w:b w:val="0"/>
                <w:sz w:val="12"/>
              </w:rPr>
              <w:t>C</w:t>
            </w:r>
          </w:p>
        </w:tc>
        <w:tc>
          <w:tcPr>
            <w:tcW w:type="dxa" w:w="1440"/>
            <w:vAlign w:val="top"/>
          </w:tcPr>
          <w:p>
            <w:pPr>
              <w:spacing w:after="0"/>
            </w:pPr>
            <w:r/>
            <w:r>
              <w:rPr>
                <w:b w:val="0"/>
                <w:sz w:val="12"/>
              </w:rPr>
              <w:t>C</w:t>
            </w:r>
          </w:p>
        </w:tc>
        <w:tc>
          <w:tcPr>
            <w:tcW w:type="dxa" w:w="1152"/>
            <w:vAlign w:val="top"/>
          </w:tcPr>
          <w:p>
            <w:pPr>
              <w:spacing w:after="0"/>
            </w:pPr>
            <w:r/>
            <w:r>
              <w:rPr>
                <w:b w:val="0"/>
                <w:sz w:val="12"/>
              </w:rPr>
              <w:t>C</w:t>
            </w:r>
          </w:p>
        </w:tc>
        <w:tc>
          <w:tcPr>
            <w:tcW w:type="dxa" w:w="1296"/>
            <w:vAlign w:val="top"/>
          </w:tcPr>
          <w:p>
            <w:pPr>
              <w:spacing w:after="0"/>
            </w:pPr>
            <w:r/>
            <w:r>
              <w:rPr>
                <w:b w:val="0"/>
                <w:sz w:val="12"/>
              </w:rPr>
              <w:t>C</w:t>
            </w:r>
          </w:p>
        </w:tc>
        <w:tc>
          <w:tcPr>
            <w:tcW w:type="dxa" w:w="1152"/>
            <w:vAlign w:val="top"/>
          </w:tcPr>
          <w:p>
            <w:pPr>
              <w:spacing w:after="0"/>
            </w:pPr>
            <w:r/>
            <w:r>
              <w:rPr>
                <w:b w:val="0"/>
                <w:sz w:val="12"/>
              </w:rPr>
              <w:t>R</w:t>
            </w:r>
          </w:p>
        </w:tc>
        <w:tc>
          <w:tcPr>
            <w:tcW w:type="dxa" w:w="1008"/>
            <w:vAlign w:val="top"/>
          </w:tcPr>
          <w:p>
            <w:pPr>
              <w:spacing w:after="0"/>
            </w:pPr>
            <w:r/>
            <w:r>
              <w:rPr>
                <w:b w:val="0"/>
                <w:sz w:val="12"/>
              </w:rPr>
              <w:t>I</w:t>
            </w:r>
          </w:p>
        </w:tc>
        <w:tc>
          <w:tcPr>
            <w:tcW w:type="dxa" w:w="1296"/>
            <w:vAlign w:val="top"/>
          </w:tcPr>
          <w:p>
            <w:pPr>
              <w:spacing w:after="0"/>
            </w:pPr>
            <w:r/>
            <w:r>
              <w:rPr>
                <w:b w:val="0"/>
                <w:sz w:val="12"/>
              </w:rPr>
              <w:t>R</w:t>
            </w:r>
          </w:p>
        </w:tc>
      </w:tr>
      <w:tr>
        <w:trPr>
          <w:cantSplit/>
        </w:trPr>
        <w:tc>
          <w:tcPr>
            <w:tcW w:type="dxa" w:w="2592"/>
            <w:vAlign w:val="top"/>
          </w:tcPr>
          <w:p>
            <w:pPr>
              <w:spacing w:after="0"/>
            </w:pPr>
            <w:r/>
            <w:r>
              <w:rPr>
                <w:b w:val="0"/>
                <w:sz w:val="12"/>
              </w:rPr>
              <w:t>DPIA</w:t>
            </w:r>
          </w:p>
        </w:tc>
        <w:tc>
          <w:tcPr>
            <w:tcW w:type="dxa" w:w="1008"/>
            <w:vAlign w:val="top"/>
          </w:tcPr>
          <w:p>
            <w:pPr>
              <w:spacing w:after="0"/>
            </w:pPr>
            <w:r/>
            <w:r>
              <w:rPr>
                <w:b w:val="0"/>
                <w:sz w:val="12"/>
              </w:rPr>
              <w:t>C</w:t>
            </w:r>
          </w:p>
        </w:tc>
        <w:tc>
          <w:tcPr>
            <w:tcW w:type="dxa" w:w="1008"/>
            <w:vAlign w:val="top"/>
          </w:tcPr>
          <w:p>
            <w:pPr>
              <w:spacing w:after="0"/>
            </w:pPr>
            <w:r/>
            <w:r>
              <w:rPr>
                <w:b w:val="0"/>
                <w:sz w:val="12"/>
              </w:rPr>
              <w:t>C</w:t>
            </w:r>
          </w:p>
        </w:tc>
        <w:tc>
          <w:tcPr>
            <w:tcW w:type="dxa" w:w="1440"/>
            <w:vAlign w:val="top"/>
          </w:tcPr>
          <w:p>
            <w:pPr>
              <w:spacing w:after="0"/>
            </w:pPr>
            <w:r/>
            <w:r>
              <w:rPr>
                <w:b w:val="0"/>
                <w:sz w:val="12"/>
              </w:rPr>
              <w:t>R</w:t>
            </w:r>
          </w:p>
        </w:tc>
        <w:tc>
          <w:tcPr>
            <w:tcW w:type="dxa" w:w="1152"/>
            <w:vAlign w:val="top"/>
          </w:tcPr>
          <w:p>
            <w:pPr>
              <w:spacing w:after="0"/>
            </w:pPr>
            <w:r/>
            <w:r>
              <w:rPr>
                <w:b w:val="0"/>
                <w:sz w:val="12"/>
              </w:rPr>
              <w:t>C</w:t>
            </w:r>
          </w:p>
        </w:tc>
        <w:tc>
          <w:tcPr>
            <w:tcW w:type="dxa" w:w="1296"/>
            <w:vAlign w:val="top"/>
          </w:tcPr>
          <w:p>
            <w:pPr>
              <w:spacing w:after="0"/>
            </w:pPr>
            <w:r/>
            <w:r>
              <w:rPr>
                <w:b w:val="0"/>
                <w:sz w:val="12"/>
              </w:rPr>
              <w:t>A/R</w:t>
            </w:r>
          </w:p>
        </w:tc>
        <w:tc>
          <w:tcPr>
            <w:tcW w:type="dxa" w:w="1152"/>
            <w:vAlign w:val="top"/>
          </w:tcPr>
          <w:p>
            <w:pPr>
              <w:spacing w:after="0"/>
            </w:pPr>
            <w:r/>
            <w:r>
              <w:rPr>
                <w:b w:val="0"/>
                <w:sz w:val="12"/>
              </w:rPr>
              <w:t>C</w:t>
            </w:r>
          </w:p>
        </w:tc>
        <w:tc>
          <w:tcPr>
            <w:tcW w:type="dxa" w:w="1008"/>
            <w:vAlign w:val="top"/>
          </w:tcPr>
          <w:p>
            <w:pPr>
              <w:spacing w:after="0"/>
            </w:pPr>
            <w:r/>
            <w:r>
              <w:rPr>
                <w:b w:val="0"/>
                <w:sz w:val="12"/>
              </w:rPr>
              <w:t>I</w:t>
            </w:r>
          </w:p>
        </w:tc>
        <w:tc>
          <w:tcPr>
            <w:tcW w:type="dxa" w:w="1296"/>
            <w:vAlign w:val="top"/>
          </w:tcPr>
          <w:p>
            <w:pPr>
              <w:spacing w:after="0"/>
            </w:pPr>
            <w:r/>
            <w:r>
              <w:rPr>
                <w:b w:val="0"/>
                <w:sz w:val="12"/>
              </w:rPr>
              <w:t>I</w:t>
            </w:r>
          </w:p>
        </w:tc>
      </w:tr>
      <w:tr>
        <w:trPr>
          <w:cantSplit/>
        </w:trPr>
        <w:tc>
          <w:tcPr>
            <w:tcW w:type="dxa" w:w="2592"/>
            <w:vAlign w:val="top"/>
          </w:tcPr>
          <w:p>
            <w:pPr>
              <w:spacing w:after="0"/>
            </w:pPr>
            <w:r/>
            <w:r>
              <w:rPr>
                <w:b w:val="0"/>
                <w:sz w:val="12"/>
              </w:rPr>
              <w:t>Key/certificate lifecycle</w:t>
            </w:r>
          </w:p>
        </w:tc>
        <w:tc>
          <w:tcPr>
            <w:tcW w:type="dxa" w:w="1008"/>
            <w:vAlign w:val="top"/>
          </w:tcPr>
          <w:p>
            <w:pPr>
              <w:spacing w:after="0"/>
            </w:pPr>
            <w:r/>
            <w:r>
              <w:rPr>
                <w:b w:val="0"/>
                <w:sz w:val="12"/>
              </w:rPr>
              <w:t>C</w:t>
            </w:r>
          </w:p>
        </w:tc>
        <w:tc>
          <w:tcPr>
            <w:tcW w:type="dxa" w:w="1008"/>
            <w:vAlign w:val="top"/>
          </w:tcPr>
          <w:p>
            <w:pPr>
              <w:spacing w:after="0"/>
            </w:pPr>
            <w:r/>
            <w:r>
              <w:rPr>
                <w:b w:val="0"/>
                <w:sz w:val="12"/>
              </w:rPr>
              <w:t>C</w:t>
            </w:r>
          </w:p>
        </w:tc>
        <w:tc>
          <w:tcPr>
            <w:tcW w:type="dxa" w:w="1440"/>
            <w:vAlign w:val="top"/>
          </w:tcPr>
          <w:p>
            <w:pPr>
              <w:spacing w:after="0"/>
            </w:pPr>
            <w:r/>
            <w:r>
              <w:rPr>
                <w:b w:val="0"/>
                <w:sz w:val="12"/>
              </w:rPr>
              <w:t>C</w:t>
            </w:r>
          </w:p>
        </w:tc>
        <w:tc>
          <w:tcPr>
            <w:tcW w:type="dxa" w:w="1152"/>
            <w:vAlign w:val="top"/>
          </w:tcPr>
          <w:p>
            <w:pPr>
              <w:spacing w:after="0"/>
            </w:pPr>
            <w:r/>
            <w:r>
              <w:rPr>
                <w:b w:val="0"/>
                <w:sz w:val="12"/>
              </w:rPr>
              <w:t>C</w:t>
            </w:r>
          </w:p>
        </w:tc>
        <w:tc>
          <w:tcPr>
            <w:tcW w:type="dxa" w:w="1296"/>
            <w:vAlign w:val="top"/>
          </w:tcPr>
          <w:p>
            <w:pPr>
              <w:spacing w:after="0"/>
            </w:pPr>
            <w:r/>
            <w:r>
              <w:rPr>
                <w:b w:val="0"/>
                <w:sz w:val="12"/>
              </w:rPr>
              <w:t>C</w:t>
            </w:r>
          </w:p>
        </w:tc>
        <w:tc>
          <w:tcPr>
            <w:tcW w:type="dxa" w:w="1152"/>
            <w:vAlign w:val="top"/>
          </w:tcPr>
          <w:p>
            <w:pPr>
              <w:spacing w:after="0"/>
            </w:pPr>
            <w:r/>
            <w:r>
              <w:rPr>
                <w:b w:val="0"/>
                <w:sz w:val="12"/>
              </w:rPr>
              <w:t>A/R</w:t>
            </w:r>
          </w:p>
        </w:tc>
        <w:tc>
          <w:tcPr>
            <w:tcW w:type="dxa" w:w="1008"/>
            <w:vAlign w:val="top"/>
          </w:tcPr>
          <w:p>
            <w:pPr>
              <w:spacing w:after="0"/>
            </w:pPr>
            <w:r/>
            <w:r>
              <w:rPr>
                <w:b w:val="0"/>
                <w:sz w:val="12"/>
              </w:rPr>
              <w:t>I</w:t>
            </w:r>
          </w:p>
        </w:tc>
        <w:tc>
          <w:tcPr>
            <w:tcW w:type="dxa" w:w="1296"/>
            <w:vAlign w:val="top"/>
          </w:tcPr>
          <w:p>
            <w:pPr>
              <w:spacing w:after="0"/>
            </w:pPr>
            <w:r/>
            <w:r>
              <w:rPr>
                <w:b w:val="0"/>
                <w:sz w:val="12"/>
              </w:rPr>
              <w:t>R</w:t>
            </w:r>
          </w:p>
        </w:tc>
      </w:tr>
      <w:tr>
        <w:trPr>
          <w:cantSplit/>
        </w:trPr>
        <w:tc>
          <w:tcPr>
            <w:tcW w:type="dxa" w:w="2592"/>
            <w:vAlign w:val="top"/>
          </w:tcPr>
          <w:p>
            <w:pPr>
              <w:spacing w:after="0"/>
            </w:pPr>
            <w:r/>
            <w:r>
              <w:rPr>
                <w:b w:val="0"/>
                <w:sz w:val="12"/>
              </w:rPr>
              <w:t>Trust Node operations</w:t>
            </w:r>
          </w:p>
        </w:tc>
        <w:tc>
          <w:tcPr>
            <w:tcW w:type="dxa" w:w="1008"/>
            <w:vAlign w:val="top"/>
          </w:tcPr>
          <w:p>
            <w:pPr>
              <w:spacing w:after="0"/>
            </w:pPr>
            <w:r/>
            <w:r>
              <w:rPr>
                <w:b w:val="0"/>
                <w:sz w:val="12"/>
              </w:rPr>
              <w:t>C</w:t>
            </w:r>
          </w:p>
        </w:tc>
        <w:tc>
          <w:tcPr>
            <w:tcW w:type="dxa" w:w="1008"/>
            <w:vAlign w:val="top"/>
          </w:tcPr>
          <w:p>
            <w:pPr>
              <w:spacing w:after="0"/>
            </w:pPr>
            <w:r/>
            <w:r>
              <w:rPr>
                <w:b w:val="0"/>
                <w:sz w:val="12"/>
              </w:rPr>
              <w:t>C</w:t>
            </w:r>
          </w:p>
        </w:tc>
        <w:tc>
          <w:tcPr>
            <w:tcW w:type="dxa" w:w="1440"/>
            <w:vAlign w:val="top"/>
          </w:tcPr>
          <w:p>
            <w:pPr>
              <w:spacing w:after="0"/>
            </w:pPr>
            <w:r/>
            <w:r>
              <w:rPr>
                <w:b w:val="0"/>
                <w:sz w:val="12"/>
              </w:rPr>
              <w:t>C</w:t>
            </w:r>
          </w:p>
        </w:tc>
        <w:tc>
          <w:tcPr>
            <w:tcW w:type="dxa" w:w="1152"/>
            <w:vAlign w:val="top"/>
          </w:tcPr>
          <w:p>
            <w:pPr>
              <w:spacing w:after="0"/>
            </w:pPr>
            <w:r/>
            <w:r>
              <w:rPr>
                <w:b w:val="0"/>
                <w:sz w:val="12"/>
              </w:rPr>
              <w:t>C</w:t>
            </w:r>
          </w:p>
        </w:tc>
        <w:tc>
          <w:tcPr>
            <w:tcW w:type="dxa" w:w="1296"/>
            <w:vAlign w:val="top"/>
          </w:tcPr>
          <w:p>
            <w:pPr>
              <w:spacing w:after="0"/>
            </w:pPr>
            <w:r/>
            <w:r>
              <w:rPr>
                <w:b w:val="0"/>
                <w:sz w:val="12"/>
              </w:rPr>
              <w:t>C</w:t>
            </w:r>
          </w:p>
        </w:tc>
        <w:tc>
          <w:tcPr>
            <w:tcW w:type="dxa" w:w="1152"/>
            <w:vAlign w:val="top"/>
          </w:tcPr>
          <w:p>
            <w:pPr>
              <w:spacing w:after="0"/>
            </w:pPr>
            <w:r/>
            <w:r>
              <w:rPr>
                <w:b w:val="0"/>
                <w:sz w:val="12"/>
              </w:rPr>
              <w:t>R</w:t>
            </w:r>
          </w:p>
        </w:tc>
        <w:tc>
          <w:tcPr>
            <w:tcW w:type="dxa" w:w="1008"/>
            <w:vAlign w:val="top"/>
          </w:tcPr>
          <w:p>
            <w:pPr>
              <w:spacing w:after="0"/>
            </w:pPr>
            <w:r/>
            <w:r>
              <w:rPr>
                <w:b w:val="0"/>
                <w:sz w:val="12"/>
              </w:rPr>
              <w:t>I</w:t>
            </w:r>
          </w:p>
        </w:tc>
        <w:tc>
          <w:tcPr>
            <w:tcW w:type="dxa" w:w="1296"/>
            <w:vAlign w:val="top"/>
          </w:tcPr>
          <w:p>
            <w:pPr>
              <w:spacing w:after="0"/>
            </w:pPr>
            <w:r/>
            <w:r>
              <w:rPr>
                <w:b w:val="0"/>
                <w:sz w:val="12"/>
              </w:rPr>
              <w:t>A/R</w:t>
            </w:r>
          </w:p>
        </w:tc>
      </w:tr>
      <w:tr>
        <w:trPr>
          <w:cantSplit/>
        </w:trPr>
        <w:tc>
          <w:tcPr>
            <w:tcW w:type="dxa" w:w="2592"/>
            <w:vAlign w:val="top"/>
          </w:tcPr>
          <w:p>
            <w:pPr>
              <w:spacing w:after="0"/>
            </w:pPr>
            <w:r/>
            <w:r>
              <w:rPr>
                <w:b w:val="0"/>
                <w:sz w:val="12"/>
              </w:rPr>
              <w:t>Audit review</w:t>
            </w:r>
          </w:p>
        </w:tc>
        <w:tc>
          <w:tcPr>
            <w:tcW w:type="dxa" w:w="1008"/>
            <w:vAlign w:val="top"/>
          </w:tcPr>
          <w:p>
            <w:pPr>
              <w:spacing w:after="0"/>
            </w:pPr>
            <w:r/>
            <w:r>
              <w:rPr>
                <w:b w:val="0"/>
                <w:sz w:val="12"/>
              </w:rPr>
              <w:t>C</w:t>
            </w:r>
          </w:p>
        </w:tc>
        <w:tc>
          <w:tcPr>
            <w:tcW w:type="dxa" w:w="1008"/>
            <w:vAlign w:val="top"/>
          </w:tcPr>
          <w:p>
            <w:pPr>
              <w:spacing w:after="0"/>
            </w:pPr>
            <w:r/>
            <w:r>
              <w:rPr>
                <w:b w:val="0"/>
                <w:sz w:val="12"/>
              </w:rPr>
              <w:t>R</w:t>
            </w:r>
          </w:p>
        </w:tc>
        <w:tc>
          <w:tcPr>
            <w:tcW w:type="dxa" w:w="1440"/>
            <w:vAlign w:val="top"/>
          </w:tcPr>
          <w:p>
            <w:pPr>
              <w:spacing w:after="0"/>
            </w:pPr>
            <w:r/>
            <w:r>
              <w:rPr>
                <w:b w:val="0"/>
                <w:sz w:val="12"/>
              </w:rPr>
              <w:t>R</w:t>
            </w:r>
          </w:p>
        </w:tc>
        <w:tc>
          <w:tcPr>
            <w:tcW w:type="dxa" w:w="1152"/>
            <w:vAlign w:val="top"/>
          </w:tcPr>
          <w:p>
            <w:pPr>
              <w:spacing w:after="0"/>
            </w:pPr>
            <w:r/>
            <w:r>
              <w:rPr>
                <w:b w:val="0"/>
                <w:sz w:val="12"/>
              </w:rPr>
              <w:t>C</w:t>
            </w:r>
          </w:p>
        </w:tc>
        <w:tc>
          <w:tcPr>
            <w:tcW w:type="dxa" w:w="1296"/>
            <w:vAlign w:val="top"/>
          </w:tcPr>
          <w:p>
            <w:pPr>
              <w:spacing w:after="0"/>
            </w:pPr>
            <w:r/>
            <w:r>
              <w:rPr>
                <w:b w:val="0"/>
                <w:sz w:val="12"/>
              </w:rPr>
              <w:t>C</w:t>
            </w:r>
          </w:p>
        </w:tc>
        <w:tc>
          <w:tcPr>
            <w:tcW w:type="dxa" w:w="1152"/>
            <w:vAlign w:val="top"/>
          </w:tcPr>
          <w:p>
            <w:pPr>
              <w:spacing w:after="0"/>
            </w:pPr>
            <w:r/>
            <w:r>
              <w:rPr>
                <w:b w:val="0"/>
                <w:sz w:val="12"/>
              </w:rPr>
              <w:t>R</w:t>
            </w:r>
          </w:p>
        </w:tc>
        <w:tc>
          <w:tcPr>
            <w:tcW w:type="dxa" w:w="1008"/>
            <w:vAlign w:val="top"/>
          </w:tcPr>
          <w:p>
            <w:pPr>
              <w:spacing w:after="0"/>
            </w:pPr>
            <w:r/>
            <w:r>
              <w:rPr>
                <w:b w:val="0"/>
                <w:sz w:val="12"/>
              </w:rPr>
              <w:t>A/R</w:t>
            </w:r>
          </w:p>
        </w:tc>
        <w:tc>
          <w:tcPr>
            <w:tcW w:type="dxa" w:w="1296"/>
            <w:vAlign w:val="top"/>
          </w:tcPr>
          <w:p>
            <w:pPr>
              <w:spacing w:after="0"/>
            </w:pPr>
            <w:r/>
            <w:r>
              <w:rPr>
                <w:b w:val="0"/>
                <w:sz w:val="12"/>
              </w:rPr>
              <w:t>I</w:t>
            </w:r>
          </w:p>
        </w:tc>
      </w:tr>
      <w:tr>
        <w:trPr>
          <w:cantSplit/>
        </w:trPr>
        <w:tc>
          <w:tcPr>
            <w:tcW w:type="dxa" w:w="2592"/>
            <w:vAlign w:val="top"/>
          </w:tcPr>
          <w:p>
            <w:pPr>
              <w:spacing w:after="0"/>
            </w:pPr>
            <w:r/>
            <w:r>
              <w:rPr>
                <w:b w:val="0"/>
                <w:sz w:val="12"/>
              </w:rPr>
              <w:t>Incident response</w:t>
            </w:r>
          </w:p>
        </w:tc>
        <w:tc>
          <w:tcPr>
            <w:tcW w:type="dxa" w:w="1008"/>
            <w:vAlign w:val="top"/>
          </w:tcPr>
          <w:p>
            <w:pPr>
              <w:spacing w:after="0"/>
            </w:pPr>
            <w:r/>
            <w:r>
              <w:rPr>
                <w:b w:val="0"/>
                <w:sz w:val="12"/>
              </w:rPr>
              <w:t>A</w:t>
            </w:r>
          </w:p>
        </w:tc>
        <w:tc>
          <w:tcPr>
            <w:tcW w:type="dxa" w:w="1008"/>
            <w:vAlign w:val="top"/>
          </w:tcPr>
          <w:p>
            <w:pPr>
              <w:spacing w:after="0"/>
            </w:pPr>
            <w:r/>
            <w:r>
              <w:rPr>
                <w:b w:val="0"/>
                <w:sz w:val="12"/>
              </w:rPr>
              <w:t>R</w:t>
            </w:r>
          </w:p>
        </w:tc>
        <w:tc>
          <w:tcPr>
            <w:tcW w:type="dxa" w:w="1440"/>
            <w:vAlign w:val="top"/>
          </w:tcPr>
          <w:p>
            <w:pPr>
              <w:spacing w:after="0"/>
            </w:pPr>
            <w:r/>
            <w:r>
              <w:rPr>
                <w:b w:val="0"/>
                <w:sz w:val="12"/>
              </w:rPr>
              <w:t>C</w:t>
            </w:r>
          </w:p>
        </w:tc>
        <w:tc>
          <w:tcPr>
            <w:tcW w:type="dxa" w:w="1152"/>
            <w:vAlign w:val="top"/>
          </w:tcPr>
          <w:p>
            <w:pPr>
              <w:spacing w:after="0"/>
            </w:pPr>
            <w:r/>
            <w:r>
              <w:rPr>
                <w:b w:val="0"/>
                <w:sz w:val="12"/>
              </w:rPr>
              <w:t>C</w:t>
            </w:r>
          </w:p>
        </w:tc>
        <w:tc>
          <w:tcPr>
            <w:tcW w:type="dxa" w:w="1296"/>
            <w:vAlign w:val="top"/>
          </w:tcPr>
          <w:p>
            <w:pPr>
              <w:spacing w:after="0"/>
            </w:pPr>
            <w:r/>
            <w:r>
              <w:rPr>
                <w:b w:val="0"/>
                <w:sz w:val="12"/>
              </w:rPr>
              <w:t>C</w:t>
            </w:r>
          </w:p>
        </w:tc>
        <w:tc>
          <w:tcPr>
            <w:tcW w:type="dxa" w:w="1152"/>
            <w:vAlign w:val="top"/>
          </w:tcPr>
          <w:p>
            <w:pPr>
              <w:spacing w:after="0"/>
            </w:pPr>
            <w:r/>
            <w:r>
              <w:rPr>
                <w:b w:val="0"/>
                <w:sz w:val="12"/>
              </w:rPr>
              <w:t>A/R</w:t>
            </w:r>
          </w:p>
        </w:tc>
        <w:tc>
          <w:tcPr>
            <w:tcW w:type="dxa" w:w="1008"/>
            <w:vAlign w:val="top"/>
          </w:tcPr>
          <w:p>
            <w:pPr>
              <w:spacing w:after="0"/>
            </w:pPr>
            <w:r/>
            <w:r>
              <w:rPr>
                <w:b w:val="0"/>
                <w:sz w:val="12"/>
              </w:rPr>
              <w:t>C</w:t>
            </w:r>
          </w:p>
        </w:tc>
        <w:tc>
          <w:tcPr>
            <w:tcW w:type="dxa" w:w="1296"/>
            <w:vAlign w:val="top"/>
          </w:tcPr>
          <w:p>
            <w:pPr>
              <w:spacing w:after="0"/>
            </w:pPr>
            <w:r/>
            <w:r>
              <w:rPr>
                <w:b w:val="0"/>
                <w:sz w:val="12"/>
              </w:rPr>
              <w:t>R</w:t>
            </w:r>
          </w:p>
        </w:tc>
      </w:tr>
      <w:tr>
        <w:trPr>
          <w:cantSplit/>
        </w:trPr>
        <w:tc>
          <w:tcPr>
            <w:tcW w:type="dxa" w:w="2592"/>
            <w:vAlign w:val="top"/>
          </w:tcPr>
          <w:p>
            <w:pPr>
              <w:spacing w:after="0"/>
            </w:pPr>
            <w:r/>
            <w:r>
              <w:rPr>
                <w:b w:val="0"/>
                <w:sz w:val="12"/>
              </w:rPr>
              <w:t>Grievance handling</w:t>
            </w:r>
          </w:p>
        </w:tc>
        <w:tc>
          <w:tcPr>
            <w:tcW w:type="dxa" w:w="1008"/>
            <w:vAlign w:val="top"/>
          </w:tcPr>
          <w:p>
            <w:pPr>
              <w:spacing w:after="0"/>
            </w:pPr>
            <w:r/>
            <w:r>
              <w:rPr>
                <w:b w:val="0"/>
                <w:sz w:val="12"/>
              </w:rPr>
              <w:t>C</w:t>
            </w:r>
          </w:p>
        </w:tc>
        <w:tc>
          <w:tcPr>
            <w:tcW w:type="dxa" w:w="1008"/>
            <w:vAlign w:val="top"/>
          </w:tcPr>
          <w:p>
            <w:pPr>
              <w:spacing w:after="0"/>
            </w:pPr>
            <w:r/>
            <w:r>
              <w:rPr>
                <w:b w:val="0"/>
                <w:sz w:val="12"/>
              </w:rPr>
              <w:t>R</w:t>
            </w:r>
          </w:p>
        </w:tc>
        <w:tc>
          <w:tcPr>
            <w:tcW w:type="dxa" w:w="1440"/>
            <w:vAlign w:val="top"/>
          </w:tcPr>
          <w:p>
            <w:pPr>
              <w:spacing w:after="0"/>
            </w:pPr>
            <w:r/>
            <w:r>
              <w:rPr>
                <w:b w:val="0"/>
                <w:sz w:val="12"/>
              </w:rPr>
              <w:t>A/R</w:t>
            </w:r>
          </w:p>
        </w:tc>
        <w:tc>
          <w:tcPr>
            <w:tcW w:type="dxa" w:w="1152"/>
            <w:vAlign w:val="top"/>
          </w:tcPr>
          <w:p>
            <w:pPr>
              <w:spacing w:after="0"/>
            </w:pPr>
            <w:r/>
            <w:r>
              <w:rPr>
                <w:b w:val="0"/>
                <w:sz w:val="12"/>
              </w:rPr>
              <w:t>R</w:t>
            </w:r>
          </w:p>
        </w:tc>
        <w:tc>
          <w:tcPr>
            <w:tcW w:type="dxa" w:w="1296"/>
            <w:vAlign w:val="top"/>
          </w:tcPr>
          <w:p>
            <w:pPr>
              <w:spacing w:after="0"/>
            </w:pPr>
            <w:r/>
            <w:r>
              <w:rPr>
                <w:b w:val="0"/>
                <w:sz w:val="12"/>
              </w:rPr>
              <w:t>C</w:t>
            </w:r>
          </w:p>
        </w:tc>
        <w:tc>
          <w:tcPr>
            <w:tcW w:type="dxa" w:w="1152"/>
            <w:vAlign w:val="top"/>
          </w:tcPr>
          <w:p>
            <w:pPr>
              <w:spacing w:after="0"/>
            </w:pPr>
            <w:r/>
            <w:r>
              <w:rPr>
                <w:b w:val="0"/>
                <w:sz w:val="12"/>
              </w:rPr>
              <w:t>I</w:t>
            </w:r>
          </w:p>
        </w:tc>
        <w:tc>
          <w:tcPr>
            <w:tcW w:type="dxa" w:w="1008"/>
            <w:vAlign w:val="top"/>
          </w:tcPr>
          <w:p>
            <w:pPr>
              <w:spacing w:after="0"/>
            </w:pPr>
            <w:r/>
            <w:r>
              <w:rPr>
                <w:b w:val="0"/>
                <w:sz w:val="12"/>
              </w:rPr>
              <w:t>C</w:t>
            </w:r>
          </w:p>
        </w:tc>
        <w:tc>
          <w:tcPr>
            <w:tcW w:type="dxa" w:w="1296"/>
            <w:vAlign w:val="top"/>
          </w:tcPr>
          <w:p>
            <w:pPr>
              <w:spacing w:after="0"/>
            </w:pPr>
            <w:r/>
            <w:r>
              <w:rPr>
                <w:b w:val="0"/>
                <w:sz w:val="12"/>
              </w:rPr>
              <w:t>I</w:t>
            </w:r>
          </w:p>
        </w:tc>
      </w:tr>
      <w:tr>
        <w:trPr>
          <w:cantSplit/>
        </w:trPr>
        <w:tc>
          <w:tcPr>
            <w:tcW w:type="dxa" w:w="2592"/>
            <w:vAlign w:val="top"/>
          </w:tcPr>
          <w:p>
            <w:pPr>
              <w:spacing w:after="0"/>
            </w:pPr>
            <w:r/>
            <w:r>
              <w:rPr>
                <w:b w:val="0"/>
                <w:sz w:val="12"/>
              </w:rPr>
              <w:t>Conformance certification</w:t>
            </w:r>
          </w:p>
        </w:tc>
        <w:tc>
          <w:tcPr>
            <w:tcW w:type="dxa" w:w="1008"/>
            <w:vAlign w:val="top"/>
          </w:tcPr>
          <w:p>
            <w:pPr>
              <w:spacing w:after="0"/>
            </w:pPr>
            <w:r/>
            <w:r>
              <w:rPr>
                <w:b w:val="0"/>
                <w:sz w:val="12"/>
              </w:rPr>
              <w:t>A/R</w:t>
            </w:r>
          </w:p>
        </w:tc>
        <w:tc>
          <w:tcPr>
            <w:tcW w:type="dxa" w:w="1008"/>
            <w:vAlign w:val="top"/>
          </w:tcPr>
          <w:p>
            <w:pPr>
              <w:spacing w:after="0"/>
            </w:pPr>
            <w:r/>
            <w:r>
              <w:rPr>
                <w:b w:val="0"/>
                <w:sz w:val="12"/>
              </w:rPr>
              <w:t>C</w:t>
            </w:r>
          </w:p>
        </w:tc>
        <w:tc>
          <w:tcPr>
            <w:tcW w:type="dxa" w:w="1440"/>
            <w:vAlign w:val="top"/>
          </w:tcPr>
          <w:p>
            <w:pPr>
              <w:spacing w:after="0"/>
            </w:pPr>
            <w:r/>
            <w:r>
              <w:rPr>
                <w:b w:val="0"/>
                <w:sz w:val="12"/>
              </w:rPr>
              <w:t>C</w:t>
            </w:r>
          </w:p>
        </w:tc>
        <w:tc>
          <w:tcPr>
            <w:tcW w:type="dxa" w:w="1152"/>
            <w:vAlign w:val="top"/>
          </w:tcPr>
          <w:p>
            <w:pPr>
              <w:spacing w:after="0"/>
            </w:pPr>
            <w:r/>
            <w:r>
              <w:rPr>
                <w:b w:val="0"/>
                <w:sz w:val="12"/>
              </w:rPr>
              <w:t>C</w:t>
            </w:r>
          </w:p>
        </w:tc>
        <w:tc>
          <w:tcPr>
            <w:tcW w:type="dxa" w:w="1296"/>
            <w:vAlign w:val="top"/>
          </w:tcPr>
          <w:p>
            <w:pPr>
              <w:spacing w:after="0"/>
            </w:pPr>
            <w:r/>
            <w:r>
              <w:rPr>
                <w:b w:val="0"/>
                <w:sz w:val="12"/>
              </w:rPr>
              <w:t>C</w:t>
            </w:r>
          </w:p>
        </w:tc>
        <w:tc>
          <w:tcPr>
            <w:tcW w:type="dxa" w:w="1152"/>
            <w:vAlign w:val="top"/>
          </w:tcPr>
          <w:p>
            <w:pPr>
              <w:spacing w:after="0"/>
            </w:pPr>
            <w:r/>
            <w:r>
              <w:rPr>
                <w:b w:val="0"/>
                <w:sz w:val="12"/>
              </w:rPr>
              <w:t>R</w:t>
            </w:r>
          </w:p>
        </w:tc>
        <w:tc>
          <w:tcPr>
            <w:tcW w:type="dxa" w:w="1008"/>
            <w:vAlign w:val="top"/>
          </w:tcPr>
          <w:p>
            <w:pPr>
              <w:spacing w:after="0"/>
            </w:pPr>
            <w:r/>
            <w:r>
              <w:rPr>
                <w:b w:val="0"/>
                <w:sz w:val="12"/>
              </w:rPr>
              <w:t>I</w:t>
            </w:r>
          </w:p>
        </w:tc>
        <w:tc>
          <w:tcPr>
            <w:tcW w:type="dxa" w:w="1296"/>
            <w:vAlign w:val="top"/>
          </w:tcPr>
          <w:p>
            <w:pPr>
              <w:spacing w:after="0"/>
            </w:pPr>
            <w:r/>
            <w:r>
              <w:rPr>
                <w:b w:val="0"/>
                <w:sz w:val="12"/>
              </w:rPr>
              <w:t>R</w:t>
            </w:r>
          </w:p>
        </w:tc>
      </w:tr>
    </w:tbl>
    <w:p>
      <w:pPr>
        <w:pStyle w:val="SmallNote"/>
        <w:spacing w:after="100"/>
      </w:pPr>
      <w:r>
        <w:t>Legend: R = Responsible, A = Accountable, C = Consulted, I = Informed.</w:t>
      </w:r>
    </w:p>
    <w:p>
      <w:r>
        <w:br w:type="page"/>
      </w:r>
    </w:p>
    <w:p>
      <w:pPr>
        <w:pStyle w:val="Heading1"/>
      </w:pPr>
      <w:r>
        <w:t>29. Annexure G - Cost and operating model</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cantSplit/>
          <w:tblHeader/>
        </w:trPr>
        <w:tc>
          <w:tcPr>
            <w:tcW w:type="dxa" w:w="2592"/>
            <w:vAlign w:val="top"/>
            <w:shd w:fill="17365D"/>
          </w:tcPr>
          <w:p>
            <w:pPr>
              <w:spacing w:after="0"/>
            </w:pPr>
            <w:r/>
            <w:r>
              <w:rPr>
                <w:b/>
                <w:color w:val="FFFFFF"/>
                <w:sz w:val="16"/>
              </w:rPr>
              <w:t>Cost area</w:t>
            </w:r>
          </w:p>
        </w:tc>
        <w:tc>
          <w:tcPr>
            <w:tcW w:type="dxa" w:w="5040"/>
            <w:vAlign w:val="top"/>
            <w:shd w:fill="17365D"/>
          </w:tcPr>
          <w:p>
            <w:pPr>
              <w:spacing w:after="0"/>
            </w:pPr>
            <w:r/>
            <w:r>
              <w:rPr>
                <w:b/>
                <w:color w:val="FFFFFF"/>
                <w:sz w:val="16"/>
              </w:rPr>
              <w:t>Drivers</w:t>
            </w:r>
          </w:p>
        </w:tc>
        <w:tc>
          <w:tcPr>
            <w:tcW w:type="dxa" w:w="3600"/>
            <w:vAlign w:val="top"/>
            <w:shd w:fill="17365D"/>
          </w:tcPr>
          <w:p>
            <w:pPr>
              <w:spacing w:after="0"/>
            </w:pPr>
            <w:r/>
            <w:r>
              <w:rPr>
                <w:b/>
                <w:color w:val="FFFFFF"/>
                <w:sz w:val="16"/>
              </w:rPr>
              <w:t>Optimisation levers</w:t>
            </w:r>
          </w:p>
        </w:tc>
      </w:tr>
      <w:tr>
        <w:trPr>
          <w:cantSplit/>
        </w:trPr>
        <w:tc>
          <w:tcPr>
            <w:tcW w:type="dxa" w:w="2592"/>
            <w:vAlign w:val="top"/>
          </w:tcPr>
          <w:p>
            <w:pPr>
              <w:spacing w:after="0"/>
            </w:pPr>
            <w:r/>
            <w:r>
              <w:rPr>
                <w:b w:val="0"/>
                <w:sz w:val="16"/>
              </w:rPr>
              <w:t>Control plane</w:t>
            </w:r>
          </w:p>
        </w:tc>
        <w:tc>
          <w:tcPr>
            <w:tcW w:type="dxa" w:w="5040"/>
            <w:vAlign w:val="top"/>
          </w:tcPr>
          <w:p>
            <w:pPr>
              <w:spacing w:after="0"/>
            </w:pPr>
            <w:r/>
            <w:r>
              <w:rPr>
                <w:b w:val="0"/>
                <w:sz w:val="16"/>
              </w:rPr>
              <w:t>Registry DB, policy service, catalogue, approval workflow, config publisher, portal and dashboards.</w:t>
            </w:r>
          </w:p>
        </w:tc>
        <w:tc>
          <w:tcPr>
            <w:tcW w:type="dxa" w:w="3600"/>
            <w:vAlign w:val="top"/>
          </w:tcPr>
          <w:p>
            <w:pPr>
              <w:spacing w:after="0"/>
            </w:pPr>
            <w:r/>
            <w:r>
              <w:rPr>
                <w:b w:val="0"/>
                <w:sz w:val="16"/>
              </w:rPr>
              <w:t>Shared national/state services, autoscaling, environment separation and managed operations.</w:t>
            </w:r>
          </w:p>
        </w:tc>
      </w:tr>
      <w:tr>
        <w:trPr>
          <w:cantSplit/>
        </w:trPr>
        <w:tc>
          <w:tcPr>
            <w:tcW w:type="dxa" w:w="2592"/>
            <w:vAlign w:val="top"/>
          </w:tcPr>
          <w:p>
            <w:pPr>
              <w:spacing w:after="0"/>
            </w:pPr>
            <w:r/>
            <w:r>
              <w:rPr>
                <w:b w:val="0"/>
                <w:sz w:val="16"/>
              </w:rPr>
              <w:t>Trust Nodes</w:t>
            </w:r>
          </w:p>
        </w:tc>
        <w:tc>
          <w:tcPr>
            <w:tcW w:type="dxa" w:w="5040"/>
            <w:vAlign w:val="top"/>
          </w:tcPr>
          <w:p>
            <w:pPr>
              <w:spacing w:after="0"/>
            </w:pPr>
            <w:r/>
            <w:r>
              <w:rPr>
                <w:b w:val="0"/>
                <w:sz w:val="16"/>
              </w:rPr>
              <w:t>Number of departments, volume, dedicated vs managed tenant nodes, HA and DR requirements.</w:t>
            </w:r>
          </w:p>
        </w:tc>
        <w:tc>
          <w:tcPr>
            <w:tcW w:type="dxa" w:w="3600"/>
            <w:vAlign w:val="top"/>
          </w:tcPr>
          <w:p>
            <w:pPr>
              <w:spacing w:after="0"/>
            </w:pPr>
            <w:r/>
            <w:r>
              <w:rPr>
                <w:b w:val="0"/>
                <w:sz w:val="16"/>
              </w:rPr>
              <w:t>Managed multi-tenant nodes for small agencies; dedicated nodes only for high-volume/high-risk members.</w:t>
            </w:r>
          </w:p>
        </w:tc>
      </w:tr>
      <w:tr>
        <w:trPr>
          <w:cantSplit/>
        </w:trPr>
        <w:tc>
          <w:tcPr>
            <w:tcW w:type="dxa" w:w="2592"/>
            <w:vAlign w:val="top"/>
          </w:tcPr>
          <w:p>
            <w:pPr>
              <w:spacing w:after="0"/>
            </w:pPr>
            <w:r/>
            <w:r>
              <w:rPr>
                <w:b w:val="0"/>
                <w:sz w:val="16"/>
              </w:rPr>
              <w:t>Security and PKI</w:t>
            </w:r>
          </w:p>
        </w:tc>
        <w:tc>
          <w:tcPr>
            <w:tcW w:type="dxa" w:w="5040"/>
            <w:vAlign w:val="top"/>
          </w:tcPr>
          <w:p>
            <w:pPr>
              <w:spacing w:after="0"/>
            </w:pPr>
            <w:r/>
            <w:r>
              <w:rPr>
                <w:b w:val="0"/>
                <w:sz w:val="16"/>
              </w:rPr>
              <w:t>CA/HSM/KMS, certificate lifecycle, revocation, key rotation and security monitoring.</w:t>
            </w:r>
          </w:p>
        </w:tc>
        <w:tc>
          <w:tcPr>
            <w:tcW w:type="dxa" w:w="3600"/>
            <w:vAlign w:val="top"/>
          </w:tcPr>
          <w:p>
            <w:pPr>
              <w:spacing w:after="0"/>
            </w:pPr>
            <w:r/>
            <w:r>
              <w:rPr>
                <w:b w:val="0"/>
                <w:sz w:val="16"/>
              </w:rPr>
              <w:t>Central trust services, per-member key boundaries, automated hygiene dashboards.</w:t>
            </w:r>
          </w:p>
        </w:tc>
      </w:tr>
      <w:tr>
        <w:trPr>
          <w:cantSplit/>
        </w:trPr>
        <w:tc>
          <w:tcPr>
            <w:tcW w:type="dxa" w:w="2592"/>
            <w:vAlign w:val="top"/>
          </w:tcPr>
          <w:p>
            <w:pPr>
              <w:spacing w:after="0"/>
            </w:pPr>
            <w:r/>
            <w:r>
              <w:rPr>
                <w:b w:val="0"/>
                <w:sz w:val="16"/>
              </w:rPr>
              <w:t>Audit</w:t>
            </w:r>
          </w:p>
        </w:tc>
        <w:tc>
          <w:tcPr>
            <w:tcW w:type="dxa" w:w="5040"/>
            <w:vAlign w:val="top"/>
          </w:tcPr>
          <w:p>
            <w:pPr>
              <w:spacing w:after="0"/>
            </w:pPr>
            <w:r/>
            <w:r>
              <w:rPr>
                <w:b w:val="0"/>
                <w:sz w:val="16"/>
              </w:rPr>
              <w:t>Log volume, retention period, immutable storage, search, analytics and SIEM export.</w:t>
            </w:r>
          </w:p>
        </w:tc>
        <w:tc>
          <w:tcPr>
            <w:tcW w:type="dxa" w:w="3600"/>
            <w:vAlign w:val="top"/>
          </w:tcPr>
          <w:p>
            <w:pPr>
              <w:spacing w:after="0"/>
            </w:pPr>
            <w:r/>
            <w:r>
              <w:rPr>
                <w:b w:val="0"/>
                <w:sz w:val="16"/>
              </w:rPr>
              <w:t>Canonical audit event, tiered storage, retention classes and anomaly-based review.</w:t>
            </w:r>
          </w:p>
        </w:tc>
      </w:tr>
      <w:tr>
        <w:trPr>
          <w:cantSplit/>
        </w:trPr>
        <w:tc>
          <w:tcPr>
            <w:tcW w:type="dxa" w:w="2592"/>
            <w:vAlign w:val="top"/>
          </w:tcPr>
          <w:p>
            <w:pPr>
              <w:spacing w:after="0"/>
            </w:pPr>
            <w:r/>
            <w:r>
              <w:rPr>
                <w:b w:val="0"/>
                <w:sz w:val="16"/>
              </w:rPr>
              <w:t>Integration</w:t>
            </w:r>
          </w:p>
        </w:tc>
        <w:tc>
          <w:tcPr>
            <w:tcW w:type="dxa" w:w="5040"/>
            <w:vAlign w:val="top"/>
          </w:tcPr>
          <w:p>
            <w:pPr>
              <w:spacing w:after="0"/>
            </w:pPr>
            <w:r/>
            <w:r>
              <w:rPr>
                <w:b w:val="0"/>
                <w:sz w:val="16"/>
              </w:rPr>
              <w:t>Legacy adapters, API onboarding, schema mapping and testing.</w:t>
            </w:r>
          </w:p>
        </w:tc>
        <w:tc>
          <w:tcPr>
            <w:tcW w:type="dxa" w:w="3600"/>
            <w:vAlign w:val="top"/>
          </w:tcPr>
          <w:p>
            <w:pPr>
              <w:spacing w:after="0"/>
            </w:pPr>
            <w:r/>
            <w:r>
              <w:rPr>
                <w:b w:val="0"/>
                <w:sz w:val="16"/>
              </w:rPr>
              <w:t>Adapter SDKs, reusable templates, sandbox and standard contracts.</w:t>
            </w:r>
          </w:p>
        </w:tc>
      </w:tr>
      <w:tr>
        <w:trPr>
          <w:cantSplit/>
        </w:trPr>
        <w:tc>
          <w:tcPr>
            <w:tcW w:type="dxa" w:w="2592"/>
            <w:vAlign w:val="top"/>
          </w:tcPr>
          <w:p>
            <w:pPr>
              <w:spacing w:after="0"/>
            </w:pPr>
            <w:r/>
            <w:r>
              <w:rPr>
                <w:b w:val="0"/>
                <w:sz w:val="16"/>
              </w:rPr>
              <w:t>Cloud portability</w:t>
            </w:r>
          </w:p>
        </w:tc>
        <w:tc>
          <w:tcPr>
            <w:tcW w:type="dxa" w:w="5040"/>
            <w:vAlign w:val="top"/>
          </w:tcPr>
          <w:p>
            <w:pPr>
              <w:spacing w:after="0"/>
            </w:pPr>
            <w:r/>
            <w:r>
              <w:rPr>
                <w:b w:val="0"/>
                <w:sz w:val="16"/>
              </w:rPr>
              <w:t>Cloud modules, certification tests, multi-cloud support and DR.</w:t>
            </w:r>
          </w:p>
        </w:tc>
        <w:tc>
          <w:tcPr>
            <w:tcW w:type="dxa" w:w="3600"/>
            <w:vAlign w:val="top"/>
          </w:tcPr>
          <w:p>
            <w:pPr>
              <w:spacing w:after="0"/>
            </w:pPr>
            <w:r/>
            <w:r>
              <w:rPr>
                <w:b w:val="0"/>
                <w:sz w:val="16"/>
              </w:rPr>
              <w:t>Common product core, provider adapter modules, conformance automation.</w:t>
            </w:r>
          </w:p>
        </w:tc>
      </w:tr>
      <w:tr>
        <w:trPr>
          <w:cantSplit/>
        </w:trPr>
        <w:tc>
          <w:tcPr>
            <w:tcW w:type="dxa" w:w="2592"/>
            <w:vAlign w:val="top"/>
          </w:tcPr>
          <w:p>
            <w:pPr>
              <w:spacing w:after="0"/>
            </w:pPr>
            <w:r/>
            <w:r>
              <w:rPr>
                <w:b w:val="0"/>
                <w:sz w:val="16"/>
              </w:rPr>
              <w:t>Operations</w:t>
            </w:r>
          </w:p>
        </w:tc>
        <w:tc>
          <w:tcPr>
            <w:tcW w:type="dxa" w:w="5040"/>
            <w:vAlign w:val="top"/>
          </w:tcPr>
          <w:p>
            <w:pPr>
              <w:spacing w:after="0"/>
            </w:pPr>
            <w:r/>
            <w:r>
              <w:rPr>
                <w:b w:val="0"/>
                <w:sz w:val="16"/>
              </w:rPr>
              <w:t>SRE, helpdesk, training, data steward support and incident response.</w:t>
            </w:r>
          </w:p>
        </w:tc>
        <w:tc>
          <w:tcPr>
            <w:tcW w:type="dxa" w:w="3600"/>
            <w:vAlign w:val="top"/>
          </w:tcPr>
          <w:p>
            <w:pPr>
              <w:spacing w:after="0"/>
            </w:pPr>
            <w:r/>
            <w:r>
              <w:rPr>
                <w:b w:val="0"/>
                <w:sz w:val="16"/>
              </w:rPr>
              <w:t>Product office, runbooks, self-service onboarding, training academy.</w:t>
            </w:r>
          </w:p>
        </w:tc>
      </w:tr>
    </w:tbl>
    <w:p>
      <w:pPr>
        <w:pStyle w:val="Heading2"/>
      </w:pPr>
      <w:r>
        <w:t>29.1 Funding options</w:t>
      </w:r>
    </w:p>
    <w:p>
      <w:pPr>
        <w:pStyle w:val="ListBullet"/>
        <w:spacing w:after="40"/>
      </w:pPr>
      <w:r>
        <w:t>National platform-funded control plane with state/department onboarding support.</w:t>
      </w:r>
    </w:p>
    <w:p>
      <w:pPr>
        <w:pStyle w:val="ListBullet"/>
        <w:spacing w:after="40"/>
      </w:pPr>
      <w:r>
        <w:t>Shared platform funding for small departments and local bodies.</w:t>
      </w:r>
    </w:p>
    <w:p>
      <w:pPr>
        <w:pStyle w:val="ListBullet"/>
        <w:spacing w:after="40"/>
      </w:pPr>
      <w:r>
        <w:t>Dedicated-node chargeback for high-volume departments.</w:t>
      </w:r>
    </w:p>
    <w:p>
      <w:pPr>
        <w:pStyle w:val="ListBullet"/>
        <w:spacing w:after="40"/>
      </w:pPr>
      <w:r>
        <w:t>Domain-funded adapters for high-value schemes and registries.</w:t>
      </w:r>
    </w:p>
    <w:p>
      <w:pPr>
        <w:pStyle w:val="ListBullet"/>
        <w:spacing w:after="40"/>
      </w:pPr>
      <w:r>
        <w:t>Conformance certification and managed service support as centrally funded enablement.</w:t>
      </w:r>
    </w:p>
    <w:p>
      <w:pPr>
        <w:pStyle w:val="Heading1"/>
      </w:pPr>
      <w:r>
        <w:t>30. Annexure H - MVP pilot pack</w:t>
      </w:r>
    </w:p>
    <w:p>
      <w:pPr>
        <w:pStyle w:val="Heading2"/>
      </w:pPr>
      <w:r>
        <w:t>30.1 Pilot selection criteria</w:t>
      </w:r>
    </w:p>
    <w:p>
      <w:pPr>
        <w:pStyle w:val="ListBullet"/>
        <w:spacing w:after="40"/>
      </w:pPr>
      <w:r>
        <w:t>High citizen burden due to repeated document submission.</w:t>
      </w:r>
    </w:p>
    <w:p>
      <w:pPr>
        <w:pStyle w:val="ListBullet"/>
        <w:spacing w:after="40"/>
      </w:pPr>
      <w:r>
        <w:t>Clear source department and accountable data steward.</w:t>
      </w:r>
    </w:p>
    <w:p>
      <w:pPr>
        <w:pStyle w:val="ListBullet"/>
        <w:spacing w:after="40"/>
      </w:pPr>
      <w:r>
        <w:t>Operational service where minimal disclosure is possible.</w:t>
      </w:r>
    </w:p>
    <w:p>
      <w:pPr>
        <w:pStyle w:val="ListBullet"/>
        <w:spacing w:after="40"/>
      </w:pPr>
      <w:r>
        <w:t>At least one citizen-linked flow suitable for wallet/DigiLocker integration.</w:t>
      </w:r>
    </w:p>
    <w:p>
      <w:pPr>
        <w:pStyle w:val="ListBullet"/>
        <w:spacing w:after="40"/>
      </w:pPr>
      <w:r>
        <w:t>At least one inter-department API/event exchange suitable for API Setu/state exchange discovery.</w:t>
      </w:r>
    </w:p>
    <w:p>
      <w:pPr>
        <w:pStyle w:val="ListBullet"/>
        <w:spacing w:after="40"/>
      </w:pPr>
      <w:r>
        <w:t>Feasible legacy adapter path within six months.</w:t>
      </w:r>
    </w:p>
    <w:p>
      <w:pPr>
        <w:pStyle w:val="ListBullet"/>
        <w:spacing w:after="40"/>
      </w:pPr>
      <w:r>
        <w:t>Willingness to complete DPIA, threat model and conformance tests.</w:t>
      </w:r>
    </w:p>
    <w:p>
      <w:pPr>
        <w:pStyle w:val="Heading2"/>
      </w:pPr>
      <w:r>
        <w:t>30.2 Suggested MVP journeys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074"/>
        <w:gridCol w:w="2074"/>
        <w:gridCol w:w="2074"/>
        <w:gridCol w:w="2074"/>
        <w:gridCol w:w="2074"/>
      </w:tblGrid>
      <w:tr>
        <w:trPr>
          <w:cantSplit/>
          <w:tblHeader/>
        </w:trPr>
        <w:tc>
          <w:tcPr>
            <w:tcW w:type="dxa" w:w="2592"/>
            <w:vAlign w:val="top"/>
            <w:shd w:fill="17365D"/>
          </w:tcPr>
          <w:p>
            <w:pPr>
              <w:spacing w:after="0"/>
            </w:pPr>
            <w:r/>
            <w:r>
              <w:rPr>
                <w:b/>
                <w:color w:val="FFFFFF"/>
                <w:sz w:val="14"/>
              </w:rPr>
              <w:t>Journey</w:t>
            </w:r>
          </w:p>
        </w:tc>
        <w:tc>
          <w:tcPr>
            <w:tcW w:type="dxa" w:w="2304"/>
            <w:vAlign w:val="top"/>
            <w:shd w:fill="17365D"/>
          </w:tcPr>
          <w:p>
            <w:pPr>
              <w:spacing w:after="0"/>
            </w:pPr>
            <w:r/>
            <w:r>
              <w:rPr>
                <w:b/>
                <w:color w:val="FFFFFF"/>
                <w:sz w:val="14"/>
              </w:rPr>
              <w:t>Provider</w:t>
            </w:r>
          </w:p>
        </w:tc>
        <w:tc>
          <w:tcPr>
            <w:tcW w:type="dxa" w:w="2448"/>
            <w:vAlign w:val="top"/>
            <w:shd w:fill="17365D"/>
          </w:tcPr>
          <w:p>
            <w:pPr>
              <w:spacing w:after="0"/>
            </w:pPr>
            <w:r/>
            <w:r>
              <w:rPr>
                <w:b/>
                <w:color w:val="FFFFFF"/>
                <w:sz w:val="14"/>
              </w:rPr>
              <w:t>Requester</w:t>
            </w:r>
          </w:p>
        </w:tc>
        <w:tc>
          <w:tcPr>
            <w:tcW w:type="dxa" w:w="2304"/>
            <w:vAlign w:val="top"/>
            <w:shd w:fill="17365D"/>
          </w:tcPr>
          <w:p>
            <w:pPr>
              <w:spacing w:after="0"/>
            </w:pPr>
            <w:r/>
            <w:r>
              <w:rPr>
                <w:b/>
                <w:color w:val="FFFFFF"/>
                <w:sz w:val="14"/>
              </w:rPr>
              <w:t>Exchange pattern</w:t>
            </w:r>
          </w:p>
        </w:tc>
        <w:tc>
          <w:tcPr>
            <w:tcW w:type="dxa" w:w="2448"/>
            <w:vAlign w:val="top"/>
            <w:shd w:fill="17365D"/>
          </w:tcPr>
          <w:p>
            <w:pPr>
              <w:spacing w:after="0"/>
            </w:pPr>
            <w:r/>
            <w:r>
              <w:rPr>
                <w:b/>
                <w:color w:val="FFFFFF"/>
                <w:sz w:val="14"/>
              </w:rPr>
              <w:t>Success measure</w:t>
            </w:r>
          </w:p>
        </w:tc>
      </w:tr>
      <w:tr>
        <w:trPr>
          <w:cantSplit/>
        </w:trPr>
        <w:tc>
          <w:tcPr>
            <w:tcW w:type="dxa" w:w="2592"/>
            <w:vAlign w:val="top"/>
          </w:tcPr>
          <w:p>
            <w:pPr>
              <w:spacing w:after="0"/>
            </w:pPr>
            <w:r/>
            <w:r>
              <w:rPr>
                <w:b w:val="0"/>
                <w:sz w:val="14"/>
              </w:rPr>
              <w:t>Benefit eligibility vehicle check</w:t>
            </w:r>
          </w:p>
        </w:tc>
        <w:tc>
          <w:tcPr>
            <w:tcW w:type="dxa" w:w="2304"/>
            <w:vAlign w:val="top"/>
          </w:tcPr>
          <w:p>
            <w:pPr>
              <w:spacing w:after="0"/>
            </w:pPr>
            <w:r/>
            <w:r>
              <w:rPr>
                <w:b w:val="0"/>
                <w:sz w:val="14"/>
              </w:rPr>
              <w:t>Transport registry</w:t>
            </w:r>
          </w:p>
        </w:tc>
        <w:tc>
          <w:tcPr>
            <w:tcW w:type="dxa" w:w="2448"/>
            <w:vAlign w:val="top"/>
          </w:tcPr>
          <w:p>
            <w:pPr>
              <w:spacing w:after="0"/>
            </w:pPr>
            <w:r/>
            <w:r>
              <w:rPr>
                <w:b w:val="0"/>
                <w:sz w:val="14"/>
              </w:rPr>
              <w:t>Welfare/scheme platform</w:t>
            </w:r>
          </w:p>
        </w:tc>
        <w:tc>
          <w:tcPr>
            <w:tcW w:type="dxa" w:w="2304"/>
            <w:vAlign w:val="top"/>
          </w:tcPr>
          <w:p>
            <w:pPr>
              <w:spacing w:after="0"/>
            </w:pPr>
            <w:r/>
            <w:r>
              <w:rPr>
                <w:b w:val="0"/>
                <w:sz w:val="14"/>
              </w:rPr>
              <w:t>Yes/no signed assertion</w:t>
            </w:r>
          </w:p>
        </w:tc>
        <w:tc>
          <w:tcPr>
            <w:tcW w:type="dxa" w:w="2448"/>
            <w:vAlign w:val="top"/>
          </w:tcPr>
          <w:p>
            <w:pPr>
              <w:spacing w:after="0"/>
            </w:pPr>
            <w:r/>
            <w:r>
              <w:rPr>
                <w:b w:val="0"/>
                <w:sz w:val="14"/>
              </w:rPr>
              <w:t>Reduced manual verification and no full vehicle record sharing.</w:t>
            </w:r>
          </w:p>
        </w:tc>
      </w:tr>
      <w:tr>
        <w:trPr>
          <w:cantSplit/>
        </w:trPr>
        <w:tc>
          <w:tcPr>
            <w:tcW w:type="dxa" w:w="2592"/>
            <w:vAlign w:val="top"/>
          </w:tcPr>
          <w:p>
            <w:pPr>
              <w:spacing w:after="0"/>
            </w:pPr>
            <w:r/>
            <w:r>
              <w:rPr>
                <w:b w:val="0"/>
                <w:sz w:val="14"/>
              </w:rPr>
              <w:t>Income/caste certificate verification</w:t>
            </w:r>
          </w:p>
        </w:tc>
        <w:tc>
          <w:tcPr>
            <w:tcW w:type="dxa" w:w="2304"/>
            <w:vAlign w:val="top"/>
          </w:tcPr>
          <w:p>
            <w:pPr>
              <w:spacing w:after="0"/>
            </w:pPr>
            <w:r/>
            <w:r>
              <w:rPr>
                <w:b w:val="0"/>
                <w:sz w:val="14"/>
              </w:rPr>
              <w:t>Revenue/certificate issuer</w:t>
            </w:r>
          </w:p>
        </w:tc>
        <w:tc>
          <w:tcPr>
            <w:tcW w:type="dxa" w:w="2448"/>
            <w:vAlign w:val="top"/>
          </w:tcPr>
          <w:p>
            <w:pPr>
              <w:spacing w:after="0"/>
            </w:pPr>
            <w:r/>
            <w:r>
              <w:rPr>
                <w:b w:val="0"/>
                <w:sz w:val="14"/>
              </w:rPr>
              <w:t>Education/welfare department</w:t>
            </w:r>
          </w:p>
        </w:tc>
        <w:tc>
          <w:tcPr>
            <w:tcW w:type="dxa" w:w="2304"/>
            <w:vAlign w:val="top"/>
          </w:tcPr>
          <w:p>
            <w:pPr>
              <w:spacing w:after="0"/>
            </w:pPr>
            <w:r/>
            <w:r>
              <w:rPr>
                <w:b w:val="0"/>
                <w:sz w:val="14"/>
              </w:rPr>
              <w:t>Wallet credential or trusted API verification</w:t>
            </w:r>
          </w:p>
        </w:tc>
        <w:tc>
          <w:tcPr>
            <w:tcW w:type="dxa" w:w="2448"/>
            <w:vAlign w:val="top"/>
          </w:tcPr>
          <w:p>
            <w:pPr>
              <w:spacing w:after="0"/>
            </w:pPr>
            <w:r/>
            <w:r>
              <w:rPr>
                <w:b w:val="0"/>
                <w:sz w:val="14"/>
              </w:rPr>
              <w:t>Reduced uploads and visible citizen purpose.</w:t>
            </w:r>
          </w:p>
        </w:tc>
      </w:tr>
      <w:tr>
        <w:trPr>
          <w:cantSplit/>
        </w:trPr>
        <w:tc>
          <w:tcPr>
            <w:tcW w:type="dxa" w:w="2592"/>
            <w:vAlign w:val="top"/>
          </w:tcPr>
          <w:p>
            <w:pPr>
              <w:spacing w:after="0"/>
            </w:pPr>
            <w:r/>
            <w:r>
              <w:rPr>
                <w:b w:val="0"/>
                <w:sz w:val="14"/>
              </w:rPr>
              <w:t>Education credential verification</w:t>
            </w:r>
          </w:p>
        </w:tc>
        <w:tc>
          <w:tcPr>
            <w:tcW w:type="dxa" w:w="2304"/>
            <w:vAlign w:val="top"/>
          </w:tcPr>
          <w:p>
            <w:pPr>
              <w:spacing w:after="0"/>
            </w:pPr>
            <w:r/>
            <w:r>
              <w:rPr>
                <w:b w:val="0"/>
                <w:sz w:val="14"/>
              </w:rPr>
              <w:t>Board/university/credential issuer</w:t>
            </w:r>
          </w:p>
        </w:tc>
        <w:tc>
          <w:tcPr>
            <w:tcW w:type="dxa" w:w="2448"/>
            <w:vAlign w:val="top"/>
          </w:tcPr>
          <w:p>
            <w:pPr>
              <w:spacing w:after="0"/>
            </w:pPr>
            <w:r/>
            <w:r>
              <w:rPr>
                <w:b w:val="0"/>
                <w:sz w:val="14"/>
              </w:rPr>
              <w:t>Scholarship/admission verifier</w:t>
            </w:r>
          </w:p>
        </w:tc>
        <w:tc>
          <w:tcPr>
            <w:tcW w:type="dxa" w:w="2304"/>
            <w:vAlign w:val="top"/>
          </w:tcPr>
          <w:p>
            <w:pPr>
              <w:spacing w:after="0"/>
            </w:pPr>
            <w:r/>
            <w:r>
              <w:rPr>
                <w:b w:val="0"/>
                <w:sz w:val="14"/>
              </w:rPr>
              <w:t>Verifiable credential/status check</w:t>
            </w:r>
          </w:p>
        </w:tc>
        <w:tc>
          <w:tcPr>
            <w:tcW w:type="dxa" w:w="2448"/>
            <w:vAlign w:val="top"/>
          </w:tcPr>
          <w:p>
            <w:pPr>
              <w:spacing w:after="0"/>
            </w:pPr>
            <w:r/>
            <w:r>
              <w:rPr>
                <w:b w:val="0"/>
                <w:sz w:val="14"/>
              </w:rPr>
              <w:t>Authenticity and status verified without custom integration.</w:t>
            </w:r>
          </w:p>
        </w:tc>
      </w:tr>
      <w:tr>
        <w:trPr>
          <w:cantSplit/>
        </w:trPr>
        <w:tc>
          <w:tcPr>
            <w:tcW w:type="dxa" w:w="2592"/>
            <w:vAlign w:val="top"/>
          </w:tcPr>
          <w:p>
            <w:pPr>
              <w:spacing w:after="0"/>
            </w:pPr>
            <w:r/>
            <w:r>
              <w:rPr>
                <w:b w:val="0"/>
                <w:sz w:val="14"/>
              </w:rPr>
              <w:t>Address/residency proof reuse</w:t>
            </w:r>
          </w:p>
        </w:tc>
        <w:tc>
          <w:tcPr>
            <w:tcW w:type="dxa" w:w="2304"/>
            <w:vAlign w:val="top"/>
          </w:tcPr>
          <w:p>
            <w:pPr>
              <w:spacing w:after="0"/>
            </w:pPr>
            <w:r/>
            <w:r>
              <w:rPr>
                <w:b w:val="0"/>
                <w:sz w:val="14"/>
              </w:rPr>
              <w:t>Authoritative issuer</w:t>
            </w:r>
          </w:p>
        </w:tc>
        <w:tc>
          <w:tcPr>
            <w:tcW w:type="dxa" w:w="2448"/>
            <w:vAlign w:val="top"/>
          </w:tcPr>
          <w:p>
            <w:pPr>
              <w:spacing w:after="0"/>
            </w:pPr>
            <w:r/>
            <w:r>
              <w:rPr>
                <w:b w:val="0"/>
                <w:sz w:val="14"/>
              </w:rPr>
              <w:t>Service department</w:t>
            </w:r>
          </w:p>
        </w:tc>
        <w:tc>
          <w:tcPr>
            <w:tcW w:type="dxa" w:w="2304"/>
            <w:vAlign w:val="top"/>
          </w:tcPr>
          <w:p>
            <w:pPr>
              <w:spacing w:after="0"/>
            </w:pPr>
            <w:r/>
            <w:r>
              <w:rPr>
                <w:b w:val="0"/>
                <w:sz w:val="14"/>
              </w:rPr>
              <w:t>Minimal attribute verification</w:t>
            </w:r>
          </w:p>
        </w:tc>
        <w:tc>
          <w:tcPr>
            <w:tcW w:type="dxa" w:w="2448"/>
            <w:vAlign w:val="top"/>
          </w:tcPr>
          <w:p>
            <w:pPr>
              <w:spacing w:after="0"/>
            </w:pPr>
            <w:r/>
            <w:r>
              <w:rPr>
                <w:b w:val="0"/>
                <w:sz w:val="14"/>
              </w:rPr>
              <w:t>Citizen avoids repeated submission.</w:t>
            </w:r>
          </w:p>
        </w:tc>
      </w:tr>
      <w:tr>
        <w:trPr>
          <w:cantSplit/>
        </w:trPr>
        <w:tc>
          <w:tcPr>
            <w:tcW w:type="dxa" w:w="2592"/>
            <w:vAlign w:val="top"/>
          </w:tcPr>
          <w:p>
            <w:pPr>
              <w:spacing w:after="0"/>
            </w:pPr>
            <w:r/>
            <w:r>
              <w:rPr>
                <w:b w:val="0"/>
                <w:sz w:val="14"/>
              </w:rPr>
              <w:t>Department-to-department compliance status</w:t>
            </w:r>
          </w:p>
        </w:tc>
        <w:tc>
          <w:tcPr>
            <w:tcW w:type="dxa" w:w="2304"/>
            <w:vAlign w:val="top"/>
          </w:tcPr>
          <w:p>
            <w:pPr>
              <w:spacing w:after="0"/>
            </w:pPr>
            <w:r/>
            <w:r>
              <w:rPr>
                <w:b w:val="0"/>
                <w:sz w:val="14"/>
              </w:rPr>
              <w:t>Regulatory/permit registry</w:t>
            </w:r>
          </w:p>
        </w:tc>
        <w:tc>
          <w:tcPr>
            <w:tcW w:type="dxa" w:w="2448"/>
            <w:vAlign w:val="top"/>
          </w:tcPr>
          <w:p>
            <w:pPr>
              <w:spacing w:after="0"/>
            </w:pPr>
            <w:r/>
            <w:r>
              <w:rPr>
                <w:b w:val="0"/>
                <w:sz w:val="14"/>
              </w:rPr>
              <w:t>Service workflow</w:t>
            </w:r>
          </w:p>
        </w:tc>
        <w:tc>
          <w:tcPr>
            <w:tcW w:type="dxa" w:w="2304"/>
            <w:vAlign w:val="top"/>
          </w:tcPr>
          <w:p>
            <w:pPr>
              <w:spacing w:after="0"/>
            </w:pPr>
            <w:r/>
            <w:r>
              <w:rPr>
                <w:b w:val="0"/>
                <w:sz w:val="14"/>
              </w:rPr>
              <w:t>Purpose-bound operational API</w:t>
            </w:r>
          </w:p>
        </w:tc>
        <w:tc>
          <w:tcPr>
            <w:tcW w:type="dxa" w:w="2448"/>
            <w:vAlign w:val="top"/>
          </w:tcPr>
          <w:p>
            <w:pPr>
              <w:spacing w:after="0"/>
            </w:pPr>
            <w:r/>
            <w:r>
              <w:rPr>
                <w:b w:val="0"/>
                <w:sz w:val="14"/>
              </w:rPr>
              <w:t>Faster decision with complete audit.</w:t>
            </w:r>
          </w:p>
        </w:tc>
      </w:tr>
    </w:tbl>
    <w:p>
      <w:pPr>
        <w:pStyle w:val="Heading2"/>
      </w:pPr>
      <w:r>
        <w:t>30.3 MVP go/no-go gates</w:t>
      </w:r>
    </w:p>
    <w:p>
      <w:pPr>
        <w:pStyle w:val="ListBullet"/>
        <w:spacing w:after="40"/>
      </w:pPr>
      <w:r>
        <w:t>All pilot services have data steward, classification, purpose code, SLA and DPIA.</w:t>
      </w:r>
    </w:p>
    <w:p>
      <w:pPr>
        <w:pStyle w:val="ListBullet"/>
        <w:spacing w:after="40"/>
      </w:pPr>
      <w:r>
        <w:t>Trust Nodes pass mTLS, signing, timestamping, replay protection and policy tests.</w:t>
      </w:r>
    </w:p>
    <w:p>
      <w:pPr>
        <w:pStyle w:val="ListBullet"/>
        <w:spacing w:after="40"/>
      </w:pPr>
      <w:r>
        <w:t>At least two deployment environments pass portability conformance.</w:t>
      </w:r>
    </w:p>
    <w:p>
      <w:pPr>
        <w:pStyle w:val="ListBullet"/>
        <w:spacing w:after="40"/>
      </w:pPr>
      <w:r>
        <w:t>AuditLedger reconciles requester/provider events and detects tamper attempts.</w:t>
      </w:r>
    </w:p>
    <w:p>
      <w:pPr>
        <w:pStyle w:val="ListBullet"/>
        <w:spacing w:after="40"/>
      </w:pPr>
      <w:r>
        <w:t>Control-plane outage drill passes with signed config cache.</w:t>
      </w:r>
    </w:p>
    <w:p>
      <w:pPr>
        <w:pStyle w:val="ListBullet"/>
        <w:spacing w:after="40"/>
      </w:pPr>
      <w:r>
        <w:t>Citizen-linked flow has visible purpose, sharing history and grievance route.</w:t>
      </w:r>
    </w:p>
    <w:p>
      <w:pPr>
        <w:pStyle w:val="ListBullet"/>
        <w:spacing w:after="40"/>
      </w:pPr>
      <w:r>
        <w:t>Security incident drill confirms key revocation and member suspension workflow.</w:t>
      </w:r>
    </w:p>
    <w:p>
      <w:pPr>
        <w:pStyle w:val="Heading1"/>
      </w:pPr>
      <w:r>
        <w:t>31. Annexure I - Standards and control mapping</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cantSplit/>
          <w:tblHeader/>
        </w:trPr>
        <w:tc>
          <w:tcPr>
            <w:tcW w:type="dxa" w:w="3024"/>
            <w:vAlign w:val="top"/>
            <w:shd w:fill="17365D"/>
          </w:tcPr>
          <w:p>
            <w:pPr>
              <w:spacing w:after="0"/>
            </w:pPr>
            <w:r/>
            <w:r>
              <w:rPr>
                <w:b/>
                <w:color w:val="FFFFFF"/>
                <w:sz w:val="15"/>
              </w:rPr>
              <w:t>Standard/control family</w:t>
            </w:r>
          </w:p>
        </w:tc>
        <w:tc>
          <w:tcPr>
            <w:tcW w:type="dxa" w:w="4032"/>
            <w:vAlign w:val="top"/>
            <w:shd w:fill="17365D"/>
          </w:tcPr>
          <w:p>
            <w:pPr>
              <w:spacing w:after="0"/>
            </w:pPr>
            <w:r/>
            <w:r>
              <w:rPr>
                <w:b/>
                <w:color w:val="FFFFFF"/>
                <w:sz w:val="15"/>
              </w:rPr>
              <w:t>Review expectation</w:t>
            </w:r>
          </w:p>
        </w:tc>
        <w:tc>
          <w:tcPr>
            <w:tcW w:type="dxa" w:w="4176"/>
            <w:vAlign w:val="top"/>
            <w:shd w:fill="17365D"/>
          </w:tcPr>
          <w:p>
            <w:pPr>
              <w:spacing w:after="0"/>
            </w:pPr>
            <w:r/>
            <w:r>
              <w:rPr>
                <w:b/>
                <w:color w:val="FFFFFF"/>
                <w:sz w:val="15"/>
              </w:rPr>
              <w:t>BTX implementation response</w:t>
            </w:r>
          </w:p>
        </w:tc>
      </w:tr>
      <w:tr>
        <w:trPr>
          <w:cantSplit/>
        </w:trPr>
        <w:tc>
          <w:tcPr>
            <w:tcW w:type="dxa" w:w="3024"/>
            <w:vAlign w:val="top"/>
          </w:tcPr>
          <w:p>
            <w:pPr>
              <w:spacing w:after="0"/>
            </w:pPr>
            <w:r/>
            <w:r>
              <w:rPr>
                <w:b w:val="0"/>
                <w:sz w:val="15"/>
              </w:rPr>
              <w:t>DPDP Act/Rules and privacy guidance</w:t>
            </w:r>
          </w:p>
        </w:tc>
        <w:tc>
          <w:tcPr>
            <w:tcW w:type="dxa" w:w="4032"/>
            <w:vAlign w:val="top"/>
          </w:tcPr>
          <w:p>
            <w:pPr>
              <w:spacing w:after="0"/>
            </w:pPr>
            <w:r/>
            <w:r>
              <w:rPr>
                <w:b w:val="0"/>
                <w:sz w:val="15"/>
              </w:rPr>
              <w:t>Purpose, lawful processing, notice/consent where applicable, rights, security safeguards, grievance and accountability.</w:t>
            </w:r>
          </w:p>
        </w:tc>
        <w:tc>
          <w:tcPr>
            <w:tcW w:type="dxa" w:w="4176"/>
            <w:vAlign w:val="top"/>
          </w:tcPr>
          <w:p>
            <w:pPr>
              <w:spacing w:after="0"/>
            </w:pPr>
            <w:r/>
            <w:r>
              <w:rPr>
                <w:b w:val="0"/>
                <w:sz w:val="15"/>
              </w:rPr>
              <w:t>Purpose Registry, DPIA, minimisation, retention, grievance, audit and citizen sharing history.</w:t>
            </w:r>
          </w:p>
        </w:tc>
      </w:tr>
      <w:tr>
        <w:trPr>
          <w:cantSplit/>
        </w:trPr>
        <w:tc>
          <w:tcPr>
            <w:tcW w:type="dxa" w:w="3024"/>
            <w:vAlign w:val="top"/>
          </w:tcPr>
          <w:p>
            <w:pPr>
              <w:spacing w:after="0"/>
            </w:pPr>
            <w:r/>
            <w:r>
              <w:rPr>
                <w:b w:val="0"/>
                <w:sz w:val="15"/>
              </w:rPr>
              <w:t>NIST SP 800-207 Zero Trust</w:t>
            </w:r>
          </w:p>
        </w:tc>
        <w:tc>
          <w:tcPr>
            <w:tcW w:type="dxa" w:w="4032"/>
            <w:vAlign w:val="top"/>
          </w:tcPr>
          <w:p>
            <w:pPr>
              <w:spacing w:after="0"/>
            </w:pPr>
            <w:r/>
            <w:r>
              <w:rPr>
                <w:b w:val="0"/>
                <w:sz w:val="15"/>
              </w:rPr>
              <w:t>No implicit trust; per-request decisions based on identity, context and policy.</w:t>
            </w:r>
          </w:p>
        </w:tc>
        <w:tc>
          <w:tcPr>
            <w:tcW w:type="dxa" w:w="4176"/>
            <w:vAlign w:val="top"/>
          </w:tcPr>
          <w:p>
            <w:pPr>
              <w:spacing w:after="0"/>
            </w:pPr>
            <w:r/>
            <w:r>
              <w:rPr>
                <w:b w:val="0"/>
                <w:sz w:val="15"/>
              </w:rPr>
              <w:t>Member identity, node identity, policy decision, mTLS, ABAC, logging and continuous validation.</w:t>
            </w:r>
          </w:p>
        </w:tc>
      </w:tr>
      <w:tr>
        <w:trPr>
          <w:cantSplit/>
        </w:trPr>
        <w:tc>
          <w:tcPr>
            <w:tcW w:type="dxa" w:w="3024"/>
            <w:vAlign w:val="top"/>
          </w:tcPr>
          <w:p>
            <w:pPr>
              <w:spacing w:after="0"/>
            </w:pPr>
            <w:r/>
            <w:r>
              <w:rPr>
                <w:b w:val="0"/>
                <w:sz w:val="15"/>
              </w:rPr>
              <w:t>OWASP API Security</w:t>
            </w:r>
          </w:p>
        </w:tc>
        <w:tc>
          <w:tcPr>
            <w:tcW w:type="dxa" w:w="4032"/>
            <w:vAlign w:val="top"/>
          </w:tcPr>
          <w:p>
            <w:pPr>
              <w:spacing w:after="0"/>
            </w:pPr>
            <w:r/>
            <w:r>
              <w:rPr>
                <w:b w:val="0"/>
                <w:sz w:val="15"/>
              </w:rPr>
              <w:t>API authorization, authentication, object-level access and abuse prevention.</w:t>
            </w:r>
          </w:p>
        </w:tc>
        <w:tc>
          <w:tcPr>
            <w:tcW w:type="dxa" w:w="4176"/>
            <w:vAlign w:val="top"/>
          </w:tcPr>
          <w:p>
            <w:pPr>
              <w:spacing w:after="0"/>
            </w:pPr>
            <w:r/>
            <w:r>
              <w:rPr>
                <w:b w:val="0"/>
                <w:sz w:val="15"/>
              </w:rPr>
              <w:t>BOLA tests, API linting, schema validation, rate limits, object-context binding and adapter security.</w:t>
            </w:r>
          </w:p>
        </w:tc>
      </w:tr>
      <w:tr>
        <w:trPr>
          <w:cantSplit/>
        </w:trPr>
        <w:tc>
          <w:tcPr>
            <w:tcW w:type="dxa" w:w="3024"/>
            <w:vAlign w:val="top"/>
          </w:tcPr>
          <w:p>
            <w:pPr>
              <w:spacing w:after="0"/>
            </w:pPr>
            <w:r/>
            <w:r>
              <w:rPr>
                <w:b w:val="0"/>
                <w:sz w:val="15"/>
              </w:rPr>
              <w:t>W3C Verifiable Credentials / DID patterns</w:t>
            </w:r>
          </w:p>
        </w:tc>
        <w:tc>
          <w:tcPr>
            <w:tcW w:type="dxa" w:w="4032"/>
            <w:vAlign w:val="top"/>
          </w:tcPr>
          <w:p>
            <w:pPr>
              <w:spacing w:after="0"/>
            </w:pPr>
            <w:r/>
            <w:r>
              <w:rPr>
                <w:b w:val="0"/>
                <w:sz w:val="15"/>
              </w:rPr>
              <w:t>Issuer-holder-verifier model, cryptographic proof, status/revocation and portability.</w:t>
            </w:r>
          </w:p>
        </w:tc>
        <w:tc>
          <w:tcPr>
            <w:tcW w:type="dxa" w:w="4176"/>
            <w:vAlign w:val="top"/>
          </w:tcPr>
          <w:p>
            <w:pPr>
              <w:spacing w:after="0"/>
            </w:pPr>
            <w:r/>
            <w:r>
              <w:rPr>
                <w:b w:val="0"/>
                <w:sz w:val="15"/>
              </w:rPr>
              <w:t>DigiLocker/wallet integration, issuer registry, credential schema, status/revocation and selective disclosure readiness.</w:t>
            </w:r>
          </w:p>
        </w:tc>
      </w:tr>
      <w:tr>
        <w:trPr>
          <w:cantSplit/>
        </w:trPr>
        <w:tc>
          <w:tcPr>
            <w:tcW w:type="dxa" w:w="3024"/>
            <w:vAlign w:val="top"/>
          </w:tcPr>
          <w:p>
            <w:pPr>
              <w:spacing w:after="0"/>
            </w:pPr>
            <w:r/>
            <w:r>
              <w:rPr>
                <w:b w:val="0"/>
                <w:sz w:val="15"/>
              </w:rPr>
              <w:t>GIGW/WCAG accessibility expectations</w:t>
            </w:r>
          </w:p>
        </w:tc>
        <w:tc>
          <w:tcPr>
            <w:tcW w:type="dxa" w:w="4032"/>
            <w:vAlign w:val="top"/>
          </w:tcPr>
          <w:p>
            <w:pPr>
              <w:spacing w:after="0"/>
            </w:pPr>
            <w:r/>
            <w:r>
              <w:rPr>
                <w:b w:val="0"/>
                <w:sz w:val="15"/>
              </w:rPr>
              <w:t>Accessible, operable, understandable public digital services.</w:t>
            </w:r>
          </w:p>
        </w:tc>
        <w:tc>
          <w:tcPr>
            <w:tcW w:type="dxa" w:w="4176"/>
            <w:vAlign w:val="top"/>
          </w:tcPr>
          <w:p>
            <w:pPr>
              <w:spacing w:after="0"/>
            </w:pPr>
            <w:r/>
            <w:r>
              <w:rPr>
                <w:b w:val="0"/>
                <w:sz w:val="15"/>
              </w:rPr>
              <w:t>Keyboard/screen-reader tests, multilingual labels, plain-language purpose text and assisted workflows.</w:t>
            </w:r>
          </w:p>
        </w:tc>
      </w:tr>
      <w:tr>
        <w:trPr>
          <w:cantSplit/>
        </w:trPr>
        <w:tc>
          <w:tcPr>
            <w:tcW w:type="dxa" w:w="3024"/>
            <w:vAlign w:val="top"/>
          </w:tcPr>
          <w:p>
            <w:pPr>
              <w:spacing w:after="0"/>
            </w:pPr>
            <w:r/>
            <w:r>
              <w:rPr>
                <w:b w:val="0"/>
                <w:sz w:val="15"/>
              </w:rPr>
              <w:t>OpenAPI / AsyncAPI</w:t>
            </w:r>
          </w:p>
        </w:tc>
        <w:tc>
          <w:tcPr>
            <w:tcW w:type="dxa" w:w="4032"/>
            <w:vAlign w:val="top"/>
          </w:tcPr>
          <w:p>
            <w:pPr>
              <w:spacing w:after="0"/>
            </w:pPr>
            <w:r/>
            <w:r>
              <w:rPr>
                <w:b w:val="0"/>
                <w:sz w:val="15"/>
              </w:rPr>
              <w:t>Machine-readable API and event contracts.</w:t>
            </w:r>
          </w:p>
        </w:tc>
        <w:tc>
          <w:tcPr>
            <w:tcW w:type="dxa" w:w="4176"/>
            <w:vAlign w:val="top"/>
          </w:tcPr>
          <w:p>
            <w:pPr>
              <w:spacing w:after="0"/>
            </w:pPr>
            <w:r/>
            <w:r>
              <w:rPr>
                <w:b w:val="0"/>
                <w:sz w:val="15"/>
              </w:rPr>
              <w:t>Service catalogue contract validation, schema governance and versioning.</w:t>
            </w:r>
          </w:p>
        </w:tc>
      </w:tr>
      <w:tr>
        <w:trPr>
          <w:cantSplit/>
        </w:trPr>
        <w:tc>
          <w:tcPr>
            <w:tcW w:type="dxa" w:w="3024"/>
            <w:vAlign w:val="top"/>
          </w:tcPr>
          <w:p>
            <w:pPr>
              <w:spacing w:after="0"/>
            </w:pPr>
            <w:r/>
            <w:r>
              <w:rPr>
                <w:b w:val="0"/>
                <w:sz w:val="15"/>
              </w:rPr>
              <w:t>OpenTelemetry</w:t>
            </w:r>
          </w:p>
        </w:tc>
        <w:tc>
          <w:tcPr>
            <w:tcW w:type="dxa" w:w="4032"/>
            <w:vAlign w:val="top"/>
          </w:tcPr>
          <w:p>
            <w:pPr>
              <w:spacing w:after="0"/>
            </w:pPr>
            <w:r/>
            <w:r>
              <w:rPr>
                <w:b w:val="0"/>
                <w:sz w:val="15"/>
              </w:rPr>
              <w:t>Portable observability across clouds.</w:t>
            </w:r>
          </w:p>
        </w:tc>
        <w:tc>
          <w:tcPr>
            <w:tcW w:type="dxa" w:w="4176"/>
            <w:vAlign w:val="top"/>
          </w:tcPr>
          <w:p>
            <w:pPr>
              <w:spacing w:after="0"/>
            </w:pPr>
            <w:r/>
            <w:r>
              <w:rPr>
                <w:b w:val="0"/>
                <w:sz w:val="15"/>
              </w:rPr>
              <w:t>Metrics, traces, logs and SIEM export independent of provider logging stack.</w:t>
            </w:r>
          </w:p>
        </w:tc>
      </w:tr>
      <w:tr>
        <w:trPr>
          <w:cantSplit/>
        </w:trPr>
        <w:tc>
          <w:tcPr>
            <w:tcW w:type="dxa" w:w="3024"/>
            <w:vAlign w:val="top"/>
          </w:tcPr>
          <w:p>
            <w:pPr>
              <w:spacing w:after="0"/>
            </w:pPr>
            <w:r/>
            <w:r>
              <w:rPr>
                <w:b w:val="0"/>
                <w:sz w:val="15"/>
              </w:rPr>
              <w:t>Kubernetes / OpenShift / CNCF patterns</w:t>
            </w:r>
          </w:p>
        </w:tc>
        <w:tc>
          <w:tcPr>
            <w:tcW w:type="dxa" w:w="4032"/>
            <w:vAlign w:val="top"/>
          </w:tcPr>
          <w:p>
            <w:pPr>
              <w:spacing w:after="0"/>
            </w:pPr>
            <w:r/>
            <w:r>
              <w:rPr>
                <w:b w:val="0"/>
                <w:sz w:val="15"/>
              </w:rPr>
              <w:t>Portable runtime, container orchestration and platform abstraction.</w:t>
            </w:r>
          </w:p>
        </w:tc>
        <w:tc>
          <w:tcPr>
            <w:tcW w:type="dxa" w:w="4176"/>
            <w:vAlign w:val="top"/>
          </w:tcPr>
          <w:p>
            <w:pPr>
              <w:spacing w:after="0"/>
            </w:pPr>
            <w:r/>
            <w:r>
              <w:rPr>
                <w:b w:val="0"/>
                <w:sz w:val="15"/>
              </w:rPr>
              <w:t>BTX control plane and Trust Nodes deploy across approved clouds without core code changes.</w:t>
            </w:r>
          </w:p>
        </w:tc>
      </w:tr>
      <w:tr>
        <w:trPr>
          <w:cantSplit/>
        </w:trPr>
        <w:tc>
          <w:tcPr>
            <w:tcW w:type="dxa" w:w="3024"/>
            <w:vAlign w:val="top"/>
          </w:tcPr>
          <w:p>
            <w:pPr>
              <w:spacing w:after="0"/>
            </w:pPr>
            <w:r/>
            <w:r>
              <w:rPr>
                <w:b w:val="0"/>
                <w:sz w:val="15"/>
              </w:rPr>
              <w:t>OPA / policy-as-code</w:t>
            </w:r>
          </w:p>
        </w:tc>
        <w:tc>
          <w:tcPr>
            <w:tcW w:type="dxa" w:w="4032"/>
            <w:vAlign w:val="top"/>
          </w:tcPr>
          <w:p>
            <w:pPr>
              <w:spacing w:after="0"/>
            </w:pPr>
            <w:r/>
            <w:r>
              <w:rPr>
                <w:b w:val="0"/>
                <w:sz w:val="15"/>
              </w:rPr>
              <w:t>Testable, versioned, machine-enforced policy decisions.</w:t>
            </w:r>
          </w:p>
        </w:tc>
        <w:tc>
          <w:tcPr>
            <w:tcW w:type="dxa" w:w="4176"/>
            <w:vAlign w:val="top"/>
          </w:tcPr>
          <w:p>
            <w:pPr>
              <w:spacing w:after="0"/>
            </w:pPr>
            <w:r/>
            <w:r>
              <w:rPr>
                <w:b w:val="0"/>
                <w:sz w:val="15"/>
              </w:rPr>
              <w:t>PurposeGuard policies, policy tests, approvals and rollback.</w:t>
            </w:r>
          </w:p>
        </w:tc>
      </w:tr>
      <w:tr>
        <w:trPr>
          <w:cantSplit/>
        </w:trPr>
        <w:tc>
          <w:tcPr>
            <w:tcW w:type="dxa" w:w="3024"/>
            <w:vAlign w:val="top"/>
          </w:tcPr>
          <w:p>
            <w:pPr>
              <w:spacing w:after="0"/>
            </w:pPr>
            <w:r/>
            <w:r>
              <w:rPr>
                <w:b w:val="0"/>
                <w:sz w:val="15"/>
              </w:rPr>
              <w:t>ISO/IEC 27001-style controls</w:t>
            </w:r>
          </w:p>
        </w:tc>
        <w:tc>
          <w:tcPr>
            <w:tcW w:type="dxa" w:w="4032"/>
            <w:vAlign w:val="top"/>
          </w:tcPr>
          <w:p>
            <w:pPr>
              <w:spacing w:after="0"/>
            </w:pPr>
            <w:r/>
            <w:r>
              <w:rPr>
                <w:b w:val="0"/>
                <w:sz w:val="15"/>
              </w:rPr>
              <w:t>Information security management, access, operations, incident response and supplier controls.</w:t>
            </w:r>
          </w:p>
        </w:tc>
        <w:tc>
          <w:tcPr>
            <w:tcW w:type="dxa" w:w="4176"/>
            <w:vAlign w:val="top"/>
          </w:tcPr>
          <w:p>
            <w:pPr>
              <w:spacing w:after="0"/>
            </w:pPr>
            <w:r/>
            <w:r>
              <w:rPr>
                <w:b w:val="0"/>
                <w:sz w:val="15"/>
              </w:rPr>
              <w:t>Security governance, key lifecycle, audit, incident playbooks and procurement guardrails.</w:t>
            </w:r>
          </w:p>
        </w:tc>
      </w:tr>
    </w:tbl>
    <w:p>
      <w:pPr>
        <w:pStyle w:val="Heading1"/>
      </w:pPr>
      <w:r>
        <w:t>32. Annexure J - Glossary and references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cantSplit/>
          <w:tblHeader/>
        </w:trPr>
        <w:tc>
          <w:tcPr>
            <w:tcW w:type="dxa" w:w="2592"/>
            <w:vAlign w:val="top"/>
            <w:shd w:fill="17365D"/>
          </w:tcPr>
          <w:p>
            <w:pPr>
              <w:spacing w:after="0"/>
            </w:pPr>
            <w:r/>
            <w:r>
              <w:rPr>
                <w:b/>
                <w:color w:val="FFFFFF"/>
                <w:sz w:val="16"/>
              </w:rPr>
              <w:t>Term</w:t>
            </w:r>
          </w:p>
        </w:tc>
        <w:tc>
          <w:tcPr>
            <w:tcW w:type="dxa" w:w="8640"/>
            <w:vAlign w:val="top"/>
            <w:shd w:fill="17365D"/>
          </w:tcPr>
          <w:p>
            <w:pPr>
              <w:spacing w:after="0"/>
            </w:pPr>
            <w:r/>
            <w:r>
              <w:rPr>
                <w:b/>
                <w:color w:val="FFFFFF"/>
                <w:sz w:val="16"/>
              </w:rPr>
              <w:t>Meaning</w:t>
            </w:r>
          </w:p>
        </w:tc>
      </w:tr>
      <w:tr>
        <w:trPr>
          <w:cantSplit/>
        </w:trPr>
        <w:tc>
          <w:tcPr>
            <w:tcW w:type="dxa" w:w="2592"/>
            <w:vAlign w:val="top"/>
          </w:tcPr>
          <w:p>
            <w:pPr>
              <w:spacing w:after="0"/>
            </w:pPr>
            <w:r/>
            <w:r>
              <w:rPr>
                <w:b w:val="0"/>
                <w:sz w:val="16"/>
              </w:rPr>
              <w:t>BTX</w:t>
            </w:r>
          </w:p>
        </w:tc>
        <w:tc>
          <w:tcPr>
            <w:tcW w:type="dxa" w:w="8640"/>
            <w:vAlign w:val="top"/>
          </w:tcPr>
          <w:p>
            <w:pPr>
              <w:spacing w:after="0"/>
            </w:pPr>
            <w:r/>
            <w:r>
              <w:rPr>
                <w:b w:val="0"/>
                <w:sz w:val="16"/>
              </w:rPr>
              <w:t>Bharat Trust Exchange, the proposed trusted data exchange product.</w:t>
            </w:r>
          </w:p>
        </w:tc>
      </w:tr>
      <w:tr>
        <w:trPr>
          <w:cantSplit/>
        </w:trPr>
        <w:tc>
          <w:tcPr>
            <w:tcW w:type="dxa" w:w="2592"/>
            <w:vAlign w:val="top"/>
          </w:tcPr>
          <w:p>
            <w:pPr>
              <w:spacing w:after="0"/>
            </w:pPr>
            <w:r/>
            <w:r>
              <w:rPr>
                <w:b w:val="0"/>
                <w:sz w:val="16"/>
              </w:rPr>
              <w:t>Trust Node</w:t>
            </w:r>
          </w:p>
        </w:tc>
        <w:tc>
          <w:tcPr>
            <w:tcW w:type="dxa" w:w="8640"/>
            <w:vAlign w:val="top"/>
          </w:tcPr>
          <w:p>
            <w:pPr>
              <w:spacing w:after="0"/>
            </w:pPr>
            <w:r/>
            <w:r>
              <w:rPr>
                <w:b w:val="0"/>
                <w:sz w:val="16"/>
              </w:rPr>
              <w:t>Federated security-server runtime operated for a member, tenant or state to exchange data securely.</w:t>
            </w:r>
          </w:p>
        </w:tc>
      </w:tr>
      <w:tr>
        <w:trPr>
          <w:cantSplit/>
        </w:trPr>
        <w:tc>
          <w:tcPr>
            <w:tcW w:type="dxa" w:w="2592"/>
            <w:vAlign w:val="top"/>
          </w:tcPr>
          <w:p>
            <w:pPr>
              <w:spacing w:after="0"/>
            </w:pPr>
            <w:r/>
            <w:r>
              <w:rPr>
                <w:b w:val="0"/>
                <w:sz w:val="16"/>
              </w:rPr>
              <w:t>Control plane</w:t>
            </w:r>
          </w:p>
        </w:tc>
        <w:tc>
          <w:tcPr>
            <w:tcW w:type="dxa" w:w="8640"/>
            <w:vAlign w:val="top"/>
          </w:tcPr>
          <w:p>
            <w:pPr>
              <w:spacing w:after="0"/>
            </w:pPr>
            <w:r/>
            <w:r>
              <w:rPr>
                <w:b w:val="0"/>
                <w:sz w:val="16"/>
              </w:rPr>
              <w:t>Governance services for membership, policy, service catalogue, schemas, approval, configuration and audit.</w:t>
            </w:r>
          </w:p>
        </w:tc>
      </w:tr>
      <w:tr>
        <w:trPr>
          <w:cantSplit/>
        </w:trPr>
        <w:tc>
          <w:tcPr>
            <w:tcW w:type="dxa" w:w="2592"/>
            <w:vAlign w:val="top"/>
          </w:tcPr>
          <w:p>
            <w:pPr>
              <w:spacing w:after="0"/>
            </w:pPr>
            <w:r/>
            <w:r>
              <w:rPr>
                <w:b w:val="0"/>
                <w:sz w:val="16"/>
              </w:rPr>
              <w:t>Data plane</w:t>
            </w:r>
          </w:p>
        </w:tc>
        <w:tc>
          <w:tcPr>
            <w:tcW w:type="dxa" w:w="8640"/>
            <w:vAlign w:val="top"/>
          </w:tcPr>
          <w:p>
            <w:pPr>
              <w:spacing w:after="0"/>
            </w:pPr>
            <w:r/>
            <w:r>
              <w:rPr>
                <w:b w:val="0"/>
                <w:sz w:val="16"/>
              </w:rPr>
              <w:t>Distributed Trust Nodes that enforce exchange at runtime.</w:t>
            </w:r>
          </w:p>
        </w:tc>
      </w:tr>
      <w:tr>
        <w:trPr>
          <w:cantSplit/>
        </w:trPr>
        <w:tc>
          <w:tcPr>
            <w:tcW w:type="dxa" w:w="2592"/>
            <w:vAlign w:val="top"/>
          </w:tcPr>
          <w:p>
            <w:pPr>
              <w:spacing w:after="0"/>
            </w:pPr>
            <w:r/>
            <w:r>
              <w:rPr>
                <w:b w:val="0"/>
                <w:sz w:val="16"/>
              </w:rPr>
              <w:t>Member Registry</w:t>
            </w:r>
          </w:p>
        </w:tc>
        <w:tc>
          <w:tcPr>
            <w:tcW w:type="dxa" w:w="8640"/>
            <w:vAlign w:val="top"/>
          </w:tcPr>
          <w:p>
            <w:pPr>
              <w:spacing w:after="0"/>
            </w:pPr>
            <w:r/>
            <w:r>
              <w:rPr>
                <w:b w:val="0"/>
                <w:sz w:val="16"/>
              </w:rPr>
              <w:t>Authoritative registry of participating organisations, roles, node identities, certificates and status.</w:t>
            </w:r>
          </w:p>
        </w:tc>
      </w:tr>
      <w:tr>
        <w:trPr>
          <w:cantSplit/>
        </w:trPr>
        <w:tc>
          <w:tcPr>
            <w:tcW w:type="dxa" w:w="2592"/>
            <w:vAlign w:val="top"/>
          </w:tcPr>
          <w:p>
            <w:pPr>
              <w:spacing w:after="0"/>
            </w:pPr>
            <w:r/>
            <w:r>
              <w:rPr>
                <w:b w:val="0"/>
                <w:sz w:val="16"/>
              </w:rPr>
              <w:t>Purpose Registry</w:t>
            </w:r>
          </w:p>
        </w:tc>
        <w:tc>
          <w:tcPr>
            <w:tcW w:type="dxa" w:w="8640"/>
            <w:vAlign w:val="top"/>
          </w:tcPr>
          <w:p>
            <w:pPr>
              <w:spacing w:after="0"/>
            </w:pPr>
            <w:r/>
            <w:r>
              <w:rPr>
                <w:b w:val="0"/>
                <w:sz w:val="16"/>
              </w:rPr>
              <w:t>List of approved purpose codes, safeguards and constraints for data exchange.</w:t>
            </w:r>
          </w:p>
        </w:tc>
      </w:tr>
      <w:tr>
        <w:trPr>
          <w:cantSplit/>
        </w:trPr>
        <w:tc>
          <w:tcPr>
            <w:tcW w:type="dxa" w:w="2592"/>
            <w:vAlign w:val="top"/>
          </w:tcPr>
          <w:p>
            <w:pPr>
              <w:spacing w:after="0"/>
            </w:pPr>
            <w:r/>
            <w:r>
              <w:rPr>
                <w:b w:val="0"/>
                <w:sz w:val="16"/>
              </w:rPr>
              <w:t>PurposeGuard</w:t>
            </w:r>
          </w:p>
        </w:tc>
        <w:tc>
          <w:tcPr>
            <w:tcW w:type="dxa" w:w="8640"/>
            <w:vAlign w:val="top"/>
          </w:tcPr>
          <w:p>
            <w:pPr>
              <w:spacing w:after="0"/>
            </w:pPr>
            <w:r/>
            <w:r>
              <w:rPr>
                <w:b w:val="0"/>
                <w:sz w:val="16"/>
              </w:rPr>
              <w:t>BTX policy decision and purpose-enforcement service.</w:t>
            </w:r>
          </w:p>
        </w:tc>
      </w:tr>
      <w:tr>
        <w:trPr>
          <w:cantSplit/>
        </w:trPr>
        <w:tc>
          <w:tcPr>
            <w:tcW w:type="dxa" w:w="2592"/>
            <w:vAlign w:val="top"/>
          </w:tcPr>
          <w:p>
            <w:pPr>
              <w:spacing w:after="0"/>
            </w:pPr>
            <w:r/>
            <w:r>
              <w:rPr>
                <w:b w:val="0"/>
                <w:sz w:val="16"/>
              </w:rPr>
              <w:t>AuditLedger</w:t>
            </w:r>
          </w:p>
        </w:tc>
        <w:tc>
          <w:tcPr>
            <w:tcW w:type="dxa" w:w="8640"/>
            <w:vAlign w:val="top"/>
          </w:tcPr>
          <w:p>
            <w:pPr>
              <w:spacing w:after="0"/>
            </w:pPr>
            <w:r/>
            <w:r>
              <w:rPr>
                <w:b w:val="0"/>
                <w:sz w:val="16"/>
              </w:rPr>
              <w:t>BTX audit layer for immutable, tamper-evident logs and oversight.</w:t>
            </w:r>
          </w:p>
        </w:tc>
      </w:tr>
      <w:tr>
        <w:trPr>
          <w:cantSplit/>
        </w:trPr>
        <w:tc>
          <w:tcPr>
            <w:tcW w:type="dxa" w:w="2592"/>
            <w:vAlign w:val="top"/>
          </w:tcPr>
          <w:p>
            <w:pPr>
              <w:spacing w:after="0"/>
            </w:pPr>
            <w:r/>
            <w:r>
              <w:rPr>
                <w:b w:val="0"/>
                <w:sz w:val="16"/>
              </w:rPr>
              <w:t>Data steward</w:t>
            </w:r>
          </w:p>
        </w:tc>
        <w:tc>
          <w:tcPr>
            <w:tcW w:type="dxa" w:w="8640"/>
            <w:vAlign w:val="top"/>
          </w:tcPr>
          <w:p>
            <w:pPr>
              <w:spacing w:after="0"/>
            </w:pPr>
            <w:r/>
            <w:r>
              <w:rPr>
                <w:b w:val="0"/>
                <w:sz w:val="16"/>
              </w:rPr>
              <w:t>Accountable department officer responsible for sharing decisions and dataset governance.</w:t>
            </w:r>
          </w:p>
        </w:tc>
      </w:tr>
      <w:tr>
        <w:trPr>
          <w:cantSplit/>
        </w:trPr>
        <w:tc>
          <w:tcPr>
            <w:tcW w:type="dxa" w:w="2592"/>
            <w:vAlign w:val="top"/>
          </w:tcPr>
          <w:p>
            <w:pPr>
              <w:spacing w:after="0"/>
            </w:pPr>
            <w:r/>
            <w:r>
              <w:rPr>
                <w:b w:val="0"/>
                <w:sz w:val="16"/>
              </w:rPr>
              <w:t>Cloud adapter</w:t>
            </w:r>
          </w:p>
        </w:tc>
        <w:tc>
          <w:tcPr>
            <w:tcW w:type="dxa" w:w="8640"/>
            <w:vAlign w:val="top"/>
          </w:tcPr>
          <w:p>
            <w:pPr>
              <w:spacing w:after="0"/>
            </w:pPr>
            <w:r/>
            <w:r>
              <w:rPr>
                <w:b w:val="0"/>
                <w:sz w:val="16"/>
              </w:rPr>
              <w:t>Provider-specific deployment module for IAM, KMS, networking, storage, logging and DR.</w:t>
            </w:r>
          </w:p>
        </w:tc>
      </w:tr>
      <w:tr>
        <w:trPr>
          <w:cantSplit/>
        </w:trPr>
        <w:tc>
          <w:tcPr>
            <w:tcW w:type="dxa" w:w="2592"/>
            <w:vAlign w:val="top"/>
          </w:tcPr>
          <w:p>
            <w:pPr>
              <w:spacing w:after="0"/>
            </w:pPr>
            <w:r/>
            <w:r>
              <w:rPr>
                <w:b w:val="0"/>
                <w:sz w:val="16"/>
              </w:rPr>
              <w:t>DPIA</w:t>
            </w:r>
          </w:p>
        </w:tc>
        <w:tc>
          <w:tcPr>
            <w:tcW w:type="dxa" w:w="8640"/>
            <w:vAlign w:val="top"/>
          </w:tcPr>
          <w:p>
            <w:pPr>
              <w:spacing w:after="0"/>
            </w:pPr>
            <w:r/>
            <w:r>
              <w:rPr>
                <w:b w:val="0"/>
                <w:sz w:val="16"/>
              </w:rPr>
              <w:t>Data protection impact assessment; service-level review of privacy risks and safeguards.</w:t>
            </w:r>
          </w:p>
        </w:tc>
      </w:tr>
      <w:tr>
        <w:trPr>
          <w:cantSplit/>
        </w:trPr>
        <w:tc>
          <w:tcPr>
            <w:tcW w:type="dxa" w:w="2592"/>
            <w:vAlign w:val="top"/>
          </w:tcPr>
          <w:p>
            <w:pPr>
              <w:spacing w:after="0"/>
            </w:pPr>
            <w:r/>
            <w:r>
              <w:rPr>
                <w:b w:val="0"/>
                <w:sz w:val="16"/>
              </w:rPr>
              <w:t>Conformance</w:t>
            </w:r>
          </w:p>
        </w:tc>
        <w:tc>
          <w:tcPr>
            <w:tcW w:type="dxa" w:w="8640"/>
            <w:vAlign w:val="top"/>
          </w:tcPr>
          <w:p>
            <w:pPr>
              <w:spacing w:after="0"/>
            </w:pPr>
            <w:r/>
            <w:r>
              <w:rPr>
                <w:b w:val="0"/>
                <w:sz w:val="16"/>
              </w:rPr>
              <w:t>Evidence that a node, cloud or service meets BTX technical, security, policy and operational tests.</w:t>
            </w:r>
          </w:p>
        </w:tc>
      </w:tr>
    </w:tbl>
    <w:p>
      <w:pPr>
        <w:pStyle w:val="Heading2"/>
      </w:pPr>
      <w:r>
        <w:t>32.1 Evidence basis and references</w:t>
      </w:r>
    </w:p>
    <w:p>
      <w:pPr>
        <w:pStyle w:val="ListBullet"/>
        <w:spacing w:after="40"/>
      </w:pPr>
      <w:r>
        <w:t>Internal: Citizen Governance and Data Harmonisation merged chapter - citizen agency, trust, accessibility, three data lanes, federated exchange and governance blueprint.</w:t>
      </w:r>
    </w:p>
    <w:p>
      <w:pPr>
        <w:pStyle w:val="ListBullet"/>
        <w:spacing w:after="40"/>
      </w:pPr>
      <w:r>
        <w:t>Internal: Citizen-Centric Governance and Accessible Platforms material - verifiable credentials, wallet reuse, accessibility and future product blueprint.</w:t>
      </w:r>
    </w:p>
    <w:p>
      <w:pPr>
        <w:pStyle w:val="ListBullet"/>
        <w:spacing w:after="40"/>
      </w:pPr>
      <w:r>
        <w:t>Internal: From Data Silos to Trusted Public Exchange framing - policy gap, DigiLocker/API Setu complementarity and governed reuse.</w:t>
      </w:r>
    </w:p>
    <w:p>
      <w:pPr>
        <w:pStyle w:val="ListBullet"/>
        <w:spacing w:after="40"/>
      </w:pPr>
      <w:r>
        <w:t>Public: Digital Personal Data Protection Act, 2023 and applicable DPDP rules/guidance - validate current legal status during formal legal review.</w:t>
      </w:r>
    </w:p>
    <w:p>
      <w:pPr>
        <w:pStyle w:val="ListBullet"/>
        <w:spacing w:after="40"/>
      </w:pPr>
      <w:r>
        <w:t>Public: NDSAP / Open Government Data guidance for open/public datasets.</w:t>
      </w:r>
    </w:p>
    <w:p>
      <w:pPr>
        <w:pStyle w:val="ListBullet"/>
        <w:spacing w:after="40"/>
      </w:pPr>
      <w:r>
        <w:t>Public: Open API Policy and API Setu documentation for API publication, discovery and lifecycle alignment.</w:t>
      </w:r>
    </w:p>
    <w:p>
      <w:pPr>
        <w:pStyle w:val="ListBullet"/>
        <w:spacing w:after="40"/>
      </w:pPr>
      <w:r>
        <w:t>Public: DigiLocker and Entity Locker documentation for citizen and organisation-held trusted records.</w:t>
      </w:r>
    </w:p>
    <w:p>
      <w:pPr>
        <w:pStyle w:val="ListBullet"/>
        <w:spacing w:after="40"/>
      </w:pPr>
      <w:r>
        <w:t>Public: NIST SP 800-207 Zero Trust Architecture for zero-trust design principles.</w:t>
      </w:r>
    </w:p>
    <w:p>
      <w:pPr>
        <w:pStyle w:val="ListBullet"/>
        <w:spacing w:after="40"/>
      </w:pPr>
      <w:r>
        <w:t>Public: W3C Verifiable Credentials Data Model v2.0 and related DID/status specifications for credential portability.</w:t>
      </w:r>
    </w:p>
    <w:p>
      <w:pPr>
        <w:pStyle w:val="ListBullet"/>
        <w:spacing w:after="40"/>
      </w:pPr>
      <w:r>
        <w:t>Public: Kubernetes, OpenShift, CNCF projects, OpenTelemetry and Open Policy Agent documentation for cloud-agnostic runtime, observability and policy-as-code.</w:t>
      </w:r>
    </w:p>
    <w:p>
      <w:pPr>
        <w:pStyle w:val="ListBullet"/>
        <w:spacing w:after="40"/>
      </w:pPr>
      <w:r>
        <w:t>Public: OWASP API Security guidance and relevant national cybersecurity guidelines for application and API security.</w:t>
      </w:r>
    </w:p>
    <w:p>
      <w:r>
        <w:br w:type="page"/>
      </w:r>
    </w:p>
    <w:p>
      <w:pPr>
        <w:pStyle w:val="Heading1"/>
      </w:pPr>
      <w:r>
        <w:t>BTX closing thesis</w:t>
      </w:r>
    </w:p>
    <w:tbl>
      <w:tblPr>
        <w:tblW w:type="auto" w:w="0"/>
        <w:jc w:val="center"/>
        <w:tblLook w:firstColumn="1" w:firstRow="1" w:lastColumn="0" w:lastRow="0" w:noHBand="0" w:noVBand="1" w:val="04A0"/>
        <w:tblBorders>
          <w:top w:val="single" w:sz="8" w:space="0" w:color="9FBAD1"/>
          <w:left w:val="single" w:sz="8" w:space="0" w:color="9FBAD1"/>
          <w:bottom w:val="single" w:sz="8" w:space="0" w:color="9FBAD1"/>
          <w:right w:val="single" w:sz="8" w:space="0" w:color="9FBAD1"/>
          <w:insideH w:val="single" w:sz="8" w:space="0" w:color="9FBAD1"/>
          <w:insideV w:val="single" w:sz="8" w:space="0" w:color="9FBAD1"/>
        </w:tblBorders>
      </w:tblPr>
      <w:tblGrid>
        <w:gridCol w:w="10368"/>
      </w:tblGrid>
      <w:tr>
        <w:tc>
          <w:tcPr>
            <w:tcW w:type="dxa" w:w="10368"/>
            <w:shd w:fill="E2F0D9"/>
          </w:tcPr>
          <w:p>
            <w:pPr>
              <w:spacing w:after="0"/>
            </w:pPr>
            <w:r>
              <w:rPr>
                <w:b/>
                <w:color w:val="17365D"/>
                <w:sz w:val="20"/>
              </w:rPr>
              <w:t>The future is not more data collection. It is trusted, responsible and reusable data exchange with the citizen at the centre.</w:t>
            </w:r>
          </w:p>
        </w:tc>
        <w:trPr>
          <w:tblHeader/>
        </w:trPr>
      </w:tr>
    </w:tbl>
    <w:p>
      <w:pPr>
        <w:spacing w:after="100"/>
      </w:pPr>
      <w:r>
        <w:t>Federated by design | Cloud-agnostic by design | Purpose-bound by default | Audit-ready from day one | Conformance-tested before production</w:t>
      </w:r>
    </w:p>
    <w:p>
      <w:pPr>
        <w:spacing w:after="100"/>
      </w:pPr>
      <w:r>
        <w:t>This 10/10 review edition turns BTX from a concept BRD into a review-board-ready product, architecture, security, privacy, governance, procurement and implementation pack.</w:t>
      </w:r>
    </w:p>
    <w:sectPr>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Bharat Trust Exchange (BTX) | 10/10 Review Board BRD | Confidential working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7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color w:val="64646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