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b/>
          <w:sz w:val="48"/>
        </w:rPr>
        <w:t>Multi-Tenant Product Platform</w:t>
        <w:br/>
        <w:t>Full Product Specification</w:t>
      </w:r>
    </w:p>
    <w:p>
      <w:pPr>
        <w:jc w:val="center"/>
      </w:pPr>
      <w:r>
        <w:rPr>
          <w:i/>
          <w:sz w:val="24"/>
        </w:rPr>
        <w:t>Volume 2 — Product, Experience, Packaging, Operations, and Ecosystem</w:t>
      </w:r>
    </w:p>
    <w:p>
      <w:pPr>
        <w:jc w:val="center"/>
      </w:pPr>
      <w:r>
        <w:rPr>
          <w:color w:val="5A5A5A"/>
          <w:sz w:val="21"/>
        </w:rPr>
        <w:t>Companion document to Volume 1: Platform Charter and Governance Standard</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EAF1FB"/>
          </w:tcPr>
          <w:p>
            <w:r/>
            <w:r>
              <w:rPr>
                <w:rFonts w:ascii="Aptos" w:hAnsi="Aptos"/>
                <w:b/>
                <w:sz w:val="20"/>
              </w:rPr>
              <w:t>Document purpose</w:t>
            </w:r>
          </w:p>
        </w:tc>
        <w:tc>
          <w:tcPr>
            <w:tcW w:type="dxa" w:w="4968"/>
            <w:vAlign w:val="center"/>
          </w:tcPr>
          <w:p>
            <w:r/>
            <w:r>
              <w:rPr>
                <w:rFonts w:ascii="Aptos" w:hAnsi="Aptos"/>
                <w:b w:val="0"/>
                <w:sz w:val="20"/>
              </w:rPr>
              <w:t>Define the product-level specification for a world-class multi-tenant platform, including personas, workflows, packaging, domain requirements, KPIs, roadmap, and adapter strategy.</w:t>
            </w:r>
          </w:p>
        </w:tc>
      </w:tr>
      <w:tr>
        <w:tc>
          <w:tcPr>
            <w:tcW w:type="dxa" w:w="4968"/>
            <w:vAlign w:val="center"/>
            <w:shd w:fill="EAF1FB"/>
          </w:tcPr>
          <w:p>
            <w:r/>
            <w:r>
              <w:rPr>
                <w:rFonts w:ascii="Aptos" w:hAnsi="Aptos"/>
                <w:b/>
                <w:sz w:val="20"/>
              </w:rPr>
              <w:t>Intended audience</w:t>
            </w:r>
          </w:p>
        </w:tc>
        <w:tc>
          <w:tcPr>
            <w:tcW w:type="dxa" w:w="4968"/>
            <w:vAlign w:val="center"/>
          </w:tcPr>
          <w:p>
            <w:r/>
            <w:r>
              <w:rPr>
                <w:rFonts w:ascii="Aptos" w:hAnsi="Aptos"/>
                <w:b w:val="0"/>
                <w:sz w:val="20"/>
              </w:rPr>
              <w:t>Founders, product leaders, engineering leaders, architects, security, design, legal, operations, support, and GTM teams.</w:t>
            </w:r>
          </w:p>
        </w:tc>
      </w:tr>
      <w:tr>
        <w:tc>
          <w:tcPr>
            <w:tcW w:type="dxa" w:w="4968"/>
            <w:vAlign w:val="center"/>
            <w:shd w:fill="EAF1FB"/>
          </w:tcPr>
          <w:p>
            <w:r/>
            <w:r>
              <w:rPr>
                <w:rFonts w:ascii="Aptos" w:hAnsi="Aptos"/>
                <w:b/>
                <w:sz w:val="20"/>
              </w:rPr>
              <w:t>Relationship to Volume 1</w:t>
            </w:r>
          </w:p>
        </w:tc>
        <w:tc>
          <w:tcPr>
            <w:tcW w:type="dxa" w:w="4968"/>
            <w:vAlign w:val="center"/>
          </w:tcPr>
          <w:p>
            <w:r/>
            <w:r>
              <w:rPr>
                <w:rFonts w:ascii="Aptos" w:hAnsi="Aptos"/>
                <w:b w:val="0"/>
                <w:sz w:val="20"/>
              </w:rPr>
              <w:t>Volume 1 remains the mandatory governance and platform standard. Volume 2 defines product behavior, packaging, user journeys, and domain requirements.</w:t>
            </w:r>
          </w:p>
        </w:tc>
      </w:tr>
      <w:tr>
        <w:tc>
          <w:tcPr>
            <w:tcW w:type="dxa" w:w="4968"/>
            <w:vAlign w:val="center"/>
            <w:shd w:fill="EAF1FB"/>
          </w:tcPr>
          <w:p>
            <w:r/>
            <w:r>
              <w:rPr>
                <w:rFonts w:ascii="Aptos" w:hAnsi="Aptos"/>
                <w:b/>
                <w:sz w:val="20"/>
              </w:rPr>
              <w:t>Status</w:t>
            </w:r>
          </w:p>
        </w:tc>
        <w:tc>
          <w:tcPr>
            <w:tcW w:type="dxa" w:w="4968"/>
            <w:vAlign w:val="center"/>
          </w:tcPr>
          <w:p>
            <w:r/>
            <w:r>
              <w:rPr>
                <w:rFonts w:ascii="Aptos" w:hAnsi="Aptos"/>
                <w:b w:val="0"/>
                <w:sz w:val="20"/>
              </w:rPr>
              <w:t>Working product specification suitable for leadership alignment, roadmap planning, design direction, and system decomposition.</w:t>
            </w:r>
          </w:p>
        </w:tc>
      </w:tr>
    </w:tbl>
    <w:p>
      <w:r>
        <w:br w:type="page"/>
      </w:r>
    </w:p>
    <w:p>
      <w:pPr>
        <w:pStyle w:val="Heading1"/>
      </w:pPr>
      <w:r>
        <w:t>1. Executive Summary</w:t>
      </w:r>
    </w:p>
    <w:p>
      <w:r>
        <w:t>This product specification defines a world-class multi-tenant product that combines secure tenant isolation, enterprise-grade controls, installability, API-first architecture, governed extensibility, and a credible public trust surface.</w:t>
      </w:r>
    </w:p>
    <w:p>
      <w:r>
        <w:t>The product is positioned as a configurable control plane and application platform for enterprise teams that need to onboard tenants, manage identities and policies, expose APIs, provide branded user experiences, support self-hosted or managed deployments, and enable third-party extensions through plugins, themes, and adapters.</w:t>
      </w:r>
    </w:p>
    <w:p>
      <w:r>
        <w:t>Its differentiators are not only technical. The product is designed as a complete business system: public website, legal and privacy pages, installation path, admin experience, developer portal, support model, packaging, analytics, and ecosystem governance are treated as first-class product surfaces.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
              <w:rPr>
                <w:rFonts w:ascii="Aptos" w:hAnsi="Aptos"/>
                <w:b/>
                <w:sz w:val="20"/>
              </w:rPr>
              <w:t>Product thesis</w:t>
            </w:r>
          </w:p>
        </w:tc>
        <w:tc>
          <w:tcPr>
            <w:tcW w:type="dxa" w:w="4968"/>
            <w:vAlign w:val="center"/>
          </w:tcPr>
          <w:p>
            <w:r/>
            <w:r>
              <w:rPr>
                <w:rFonts w:ascii="Aptos" w:hAnsi="Aptos"/>
                <w:b w:val="0"/>
                <w:sz w:val="20"/>
              </w:rPr>
              <w:t>A world-class multi-tenant platform must be secure, installable, extensible, developer-friendly, and publicly credible, while preserving strict service boundaries and tenant isolation.</w:t>
            </w:r>
          </w:p>
        </w:tc>
      </w:tr>
      <w:tr>
        <w:tc>
          <w:tcPr>
            <w:tcW w:type="dxa" w:w="4968"/>
            <w:vAlign w:val="center"/>
          </w:tcPr>
          <w:p>
            <w:r/>
            <w:r>
              <w:rPr>
                <w:rFonts w:ascii="Aptos" w:hAnsi="Aptos"/>
                <w:b/>
                <w:sz w:val="20"/>
              </w:rPr>
              <w:t>Primary buyers</w:t>
            </w:r>
          </w:p>
        </w:tc>
        <w:tc>
          <w:tcPr>
            <w:tcW w:type="dxa" w:w="4968"/>
            <w:vAlign w:val="center"/>
          </w:tcPr>
          <w:p>
            <w:r/>
            <w:r>
              <w:rPr>
                <w:rFonts w:ascii="Aptos" w:hAnsi="Aptos"/>
                <w:b w:val="0"/>
                <w:sz w:val="20"/>
              </w:rPr>
              <w:t>CIO, CTO, CISO, VP Engineering, Head of Platform, Product leadership, enterprise architects.</w:t>
            </w:r>
          </w:p>
        </w:tc>
      </w:tr>
      <w:tr>
        <w:tc>
          <w:tcPr>
            <w:tcW w:type="dxa" w:w="4968"/>
            <w:vAlign w:val="center"/>
          </w:tcPr>
          <w:p>
            <w:r/>
            <w:r>
              <w:rPr>
                <w:rFonts w:ascii="Aptos" w:hAnsi="Aptos"/>
                <w:b/>
                <w:sz w:val="20"/>
              </w:rPr>
              <w:t>Primary operators</w:t>
            </w:r>
          </w:p>
        </w:tc>
        <w:tc>
          <w:tcPr>
            <w:tcW w:type="dxa" w:w="4968"/>
            <w:vAlign w:val="center"/>
          </w:tcPr>
          <w:p>
            <w:r/>
            <w:r>
              <w:rPr>
                <w:rFonts w:ascii="Aptos" w:hAnsi="Aptos"/>
                <w:b w:val="0"/>
                <w:sz w:val="20"/>
              </w:rPr>
              <w:t>Tenant admins, org admins, security admins, developers, operators, support teams, implementation partners.</w:t>
            </w:r>
          </w:p>
        </w:tc>
      </w:tr>
      <w:tr>
        <w:tc>
          <w:tcPr>
            <w:tcW w:type="dxa" w:w="4968"/>
            <w:vAlign w:val="center"/>
          </w:tcPr>
          <w:p>
            <w:r/>
            <w:r>
              <w:rPr>
                <w:rFonts w:ascii="Aptos" w:hAnsi="Aptos"/>
                <w:b/>
                <w:sz w:val="20"/>
              </w:rPr>
              <w:t>Core promise</w:t>
            </w:r>
          </w:p>
        </w:tc>
        <w:tc>
          <w:tcPr>
            <w:tcW w:type="dxa" w:w="4968"/>
            <w:vAlign w:val="center"/>
          </w:tcPr>
          <w:p>
            <w:r/>
            <w:r>
              <w:rPr>
                <w:rFonts w:ascii="Aptos" w:hAnsi="Aptos"/>
                <w:b w:val="0"/>
                <w:sz w:val="20"/>
              </w:rPr>
              <w:t>One coherent platform that many tenants can trust, configure, integrate, install, and extend safely.</w:t>
            </w:r>
          </w:p>
        </w:tc>
      </w:tr>
      <w:tr>
        <w:tc>
          <w:tcPr>
            <w:tcW w:type="dxa" w:w="4968"/>
            <w:vAlign w:val="center"/>
          </w:tcPr>
          <w:p>
            <w:r/>
            <w:r>
              <w:rPr>
                <w:rFonts w:ascii="Aptos" w:hAnsi="Aptos"/>
                <w:b/>
                <w:sz w:val="20"/>
              </w:rPr>
              <w:t>Commercial model</w:t>
            </w:r>
          </w:p>
        </w:tc>
        <w:tc>
          <w:tcPr>
            <w:tcW w:type="dxa" w:w="4968"/>
            <w:vAlign w:val="center"/>
          </w:tcPr>
          <w:p>
            <w:r/>
            <w:r>
              <w:rPr>
                <w:rFonts w:ascii="Aptos" w:hAnsi="Aptos"/>
                <w:b w:val="0"/>
                <w:sz w:val="20"/>
              </w:rPr>
              <w:t>SaaS-first, with private cloud and self-hosted options, premium enterprise capabilities, partner and ecosystem expansion.</w:t>
            </w:r>
          </w:p>
        </w:tc>
      </w:tr>
    </w:tbl>
    <w:p>
      <w:pPr>
        <w:pStyle w:val="Heading1"/>
      </w:pPr>
      <w:r>
        <w:t>2. Product Vision and Positioning</w:t>
      </w:r>
    </w:p>
    <w:p>
      <w:r>
        <w:t>Vision: build the most trusted and extensible multi-tenant product platform for enterprise software teams that need strong tenant isolation, governed customization, self-service administration, developer programmability, and installation flexibility.</w:t>
      </w:r>
    </w:p>
    <w:p>
      <w:r>
        <w:t>Positioning: the product sits between a traditional SaaS application, a platform control plane, and an ecosystem operating layer. It is not merely a developer framework or an admin console. It is a complete product surface for operating, packaging, distributing, and extending a serious enterprise platform.</w:t>
      </w:r>
    </w:p>
    <w:p>
      <w:pPr>
        <w:pStyle w:val="ListBullet"/>
      </w:pPr>
      <w:r>
        <w:rPr>
          <w:b/>
        </w:rPr>
        <w:t xml:space="preserve">Category: </w:t>
      </w:r>
      <w:r>
        <w:t>Enterprise multi-tenant application platform and control plane</w:t>
      </w:r>
    </w:p>
    <w:p>
      <w:pPr>
        <w:pStyle w:val="ListBullet"/>
      </w:pPr>
      <w:r>
        <w:rPr>
          <w:b/>
        </w:rPr>
        <w:t xml:space="preserve">Promise: </w:t>
      </w:r>
      <w:r>
        <w:t>Secure one-to-many product delivery without giving up installability, API quality, or ecosystem growth</w:t>
      </w:r>
    </w:p>
    <w:p>
      <w:pPr>
        <w:pStyle w:val="ListBullet"/>
      </w:pPr>
      <w:r>
        <w:rPr>
          <w:b/>
        </w:rPr>
        <w:t xml:space="preserve">Why it wins: </w:t>
      </w:r>
      <w:r>
        <w:t>It treats platform foundations, public trust, developer experience, and product packaging as one integrated system</w:t>
      </w:r>
    </w:p>
    <w:p>
      <w:pPr>
        <w:pStyle w:val="ListBullet"/>
      </w:pPr>
      <w:r>
        <w:rPr>
          <w:b/>
        </w:rPr>
        <w:t xml:space="preserve">What world-class means: </w:t>
      </w:r>
      <w:r>
        <w:t>Strong governance, measurable reliability, excellent admin and developer UX, safe extensibility, and commercial credibility</w:t>
      </w:r>
    </w:p>
    <w:p>
      <w:pPr>
        <w:pStyle w:val="Heading1"/>
      </w:pPr>
      <w:r>
        <w:t>3. Customer Segments and Personas</w:t>
      </w:r>
    </w:p>
    <w:p>
      <w:r>
        <w:t>The product must serve multiple stakeholder classes simultaneously. Requirements should be evaluated against their needs, not only against architecture elegance.</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8FB"/>
          </w:tcPr>
          <w:p>
            <w:r/>
            <w:r>
              <w:rPr>
                <w:rFonts w:ascii="Aptos" w:hAnsi="Aptos"/>
                <w:b/>
                <w:sz w:val="20"/>
              </w:rPr>
              <w:t>Persona</w:t>
            </w:r>
          </w:p>
        </w:tc>
        <w:tc>
          <w:tcPr>
            <w:tcW w:type="dxa" w:w="2484"/>
            <w:vAlign w:val="center"/>
            <w:shd w:fill="D9E8FB"/>
          </w:tcPr>
          <w:p>
            <w:r/>
            <w:r>
              <w:rPr>
                <w:rFonts w:ascii="Aptos" w:hAnsi="Aptos"/>
                <w:b/>
                <w:sz w:val="20"/>
              </w:rPr>
              <w:t>Primary responsibility</w:t>
            </w:r>
          </w:p>
        </w:tc>
        <w:tc>
          <w:tcPr>
            <w:tcW w:type="dxa" w:w="2484"/>
            <w:vAlign w:val="center"/>
            <w:shd w:fill="D9E8FB"/>
          </w:tcPr>
          <w:p>
            <w:r/>
            <w:r>
              <w:rPr>
                <w:rFonts w:ascii="Aptos" w:hAnsi="Aptos"/>
                <w:b/>
                <w:sz w:val="20"/>
              </w:rPr>
              <w:t>Success criteria</w:t>
            </w:r>
          </w:p>
        </w:tc>
        <w:tc>
          <w:tcPr>
            <w:tcW w:type="dxa" w:w="2484"/>
            <w:vAlign w:val="center"/>
            <w:shd w:fill="D9E8FB"/>
          </w:tcPr>
          <w:p>
            <w:r/>
            <w:r>
              <w:rPr>
                <w:rFonts w:ascii="Aptos" w:hAnsi="Aptos"/>
                <w:b/>
                <w:sz w:val="20"/>
              </w:rPr>
              <w:t>Trust expectations</w:t>
            </w:r>
          </w:p>
        </w:tc>
      </w:tr>
      <w:tr>
        <w:tc>
          <w:tcPr>
            <w:tcW w:type="dxa" w:w="2484"/>
            <w:vAlign w:val="center"/>
          </w:tcPr>
          <w:p>
            <w:r/>
            <w:r>
              <w:rPr>
                <w:rFonts w:ascii="Aptos" w:hAnsi="Aptos"/>
                <w:b w:val="0"/>
                <w:sz w:val="19"/>
              </w:rPr>
              <w:t>Executive buyer</w:t>
            </w:r>
          </w:p>
        </w:tc>
        <w:tc>
          <w:tcPr>
            <w:tcW w:type="dxa" w:w="2484"/>
            <w:vAlign w:val="center"/>
          </w:tcPr>
          <w:p>
            <w:r/>
            <w:r>
              <w:rPr>
                <w:rFonts w:ascii="Aptos" w:hAnsi="Aptos"/>
                <w:b w:val="0"/>
                <w:sz w:val="19"/>
              </w:rPr>
              <w:t>Approves platform purchase or strategic buildout</w:t>
            </w:r>
          </w:p>
        </w:tc>
        <w:tc>
          <w:tcPr>
            <w:tcW w:type="dxa" w:w="2484"/>
            <w:vAlign w:val="center"/>
          </w:tcPr>
          <w:p>
            <w:r/>
            <w:r>
              <w:rPr>
                <w:rFonts w:ascii="Aptos" w:hAnsi="Aptos"/>
                <w:b w:val="0"/>
                <w:sz w:val="19"/>
              </w:rPr>
              <w:t>Business value, trust, vendor credibility, packaging, roadmap, legal clarity</w:t>
            </w:r>
          </w:p>
        </w:tc>
        <w:tc>
          <w:tcPr>
            <w:tcW w:type="dxa" w:w="2484"/>
          </w:tcPr>
          <w:p/>
        </w:tc>
      </w:tr>
      <w:tr>
        <w:tc>
          <w:tcPr>
            <w:tcW w:type="dxa" w:w="2484"/>
            <w:vAlign w:val="center"/>
          </w:tcPr>
          <w:p>
            <w:r/>
            <w:r>
              <w:rPr>
                <w:rFonts w:ascii="Aptos" w:hAnsi="Aptos"/>
                <w:b w:val="0"/>
                <w:sz w:val="19"/>
              </w:rPr>
              <w:t>Platform admin</w:t>
            </w:r>
          </w:p>
        </w:tc>
        <w:tc>
          <w:tcPr>
            <w:tcW w:type="dxa" w:w="2484"/>
            <w:vAlign w:val="center"/>
          </w:tcPr>
          <w:p>
            <w:r/>
            <w:r>
              <w:rPr>
                <w:rFonts w:ascii="Aptos" w:hAnsi="Aptos"/>
                <w:b w:val="0"/>
                <w:sz w:val="19"/>
              </w:rPr>
              <w:t>Owns tenant lifecycle, config, and operations</w:t>
            </w:r>
          </w:p>
        </w:tc>
        <w:tc>
          <w:tcPr>
            <w:tcW w:type="dxa" w:w="2484"/>
            <w:vAlign w:val="center"/>
          </w:tcPr>
          <w:p>
            <w:r/>
            <w:r>
              <w:rPr>
                <w:rFonts w:ascii="Aptos" w:hAnsi="Aptos"/>
                <w:b w:val="0"/>
                <w:sz w:val="19"/>
              </w:rPr>
              <w:t>Safe setup, observability, policy control, install and upgrade confidence</w:t>
            </w:r>
          </w:p>
        </w:tc>
        <w:tc>
          <w:tcPr>
            <w:tcW w:type="dxa" w:w="2484"/>
          </w:tcPr>
          <w:p/>
        </w:tc>
      </w:tr>
      <w:tr>
        <w:tc>
          <w:tcPr>
            <w:tcW w:type="dxa" w:w="2484"/>
            <w:vAlign w:val="center"/>
          </w:tcPr>
          <w:p>
            <w:r/>
            <w:r>
              <w:rPr>
                <w:rFonts w:ascii="Aptos" w:hAnsi="Aptos"/>
                <w:b w:val="0"/>
                <w:sz w:val="19"/>
              </w:rPr>
              <w:t>Security admin</w:t>
            </w:r>
          </w:p>
        </w:tc>
        <w:tc>
          <w:tcPr>
            <w:tcW w:type="dxa" w:w="2484"/>
            <w:vAlign w:val="center"/>
          </w:tcPr>
          <w:p>
            <w:r/>
            <w:r>
              <w:rPr>
                <w:rFonts w:ascii="Aptos" w:hAnsi="Aptos"/>
                <w:b w:val="0"/>
                <w:sz w:val="19"/>
              </w:rPr>
              <w:t>Owns identity, sessions, access, and incident posture</w:t>
            </w:r>
          </w:p>
        </w:tc>
        <w:tc>
          <w:tcPr>
            <w:tcW w:type="dxa" w:w="2484"/>
            <w:vAlign w:val="center"/>
          </w:tcPr>
          <w:p>
            <w:r/>
            <w:r>
              <w:rPr>
                <w:rFonts w:ascii="Aptos" w:hAnsi="Aptos"/>
                <w:b w:val="0"/>
                <w:sz w:val="19"/>
              </w:rPr>
              <w:t>MFA, SSO, audit, break-glass policy, provable controls</w:t>
            </w:r>
          </w:p>
        </w:tc>
        <w:tc>
          <w:tcPr>
            <w:tcW w:type="dxa" w:w="2484"/>
          </w:tcPr>
          <w:p/>
        </w:tc>
      </w:tr>
      <w:tr>
        <w:tc>
          <w:tcPr>
            <w:tcW w:type="dxa" w:w="2484"/>
            <w:vAlign w:val="center"/>
          </w:tcPr>
          <w:p>
            <w:r/>
            <w:r>
              <w:rPr>
                <w:rFonts w:ascii="Aptos" w:hAnsi="Aptos"/>
                <w:b w:val="0"/>
                <w:sz w:val="19"/>
              </w:rPr>
              <w:t>Tenant/org admin</w:t>
            </w:r>
          </w:p>
        </w:tc>
        <w:tc>
          <w:tcPr>
            <w:tcW w:type="dxa" w:w="2484"/>
            <w:vAlign w:val="center"/>
          </w:tcPr>
          <w:p>
            <w:r/>
            <w:r>
              <w:rPr>
                <w:rFonts w:ascii="Aptos" w:hAnsi="Aptos"/>
                <w:b w:val="0"/>
                <w:sz w:val="19"/>
              </w:rPr>
              <w:t>Manages users, roles, themes, plugins, and settings</w:t>
            </w:r>
          </w:p>
        </w:tc>
        <w:tc>
          <w:tcPr>
            <w:tcW w:type="dxa" w:w="2484"/>
            <w:vAlign w:val="center"/>
          </w:tcPr>
          <w:p>
            <w:r/>
            <w:r>
              <w:rPr>
                <w:rFonts w:ascii="Aptos" w:hAnsi="Aptos"/>
                <w:b w:val="0"/>
                <w:sz w:val="19"/>
              </w:rPr>
              <w:t>Clear UX, low-risk changes, permissions, status visibility</w:t>
            </w:r>
          </w:p>
        </w:tc>
        <w:tc>
          <w:tcPr>
            <w:tcW w:type="dxa" w:w="2484"/>
          </w:tcPr>
          <w:p/>
        </w:tc>
      </w:tr>
      <w:tr>
        <w:tc>
          <w:tcPr>
            <w:tcW w:type="dxa" w:w="2484"/>
            <w:vAlign w:val="center"/>
          </w:tcPr>
          <w:p>
            <w:r/>
            <w:r>
              <w:rPr>
                <w:rFonts w:ascii="Aptos" w:hAnsi="Aptos"/>
                <w:b w:val="0"/>
                <w:sz w:val="19"/>
              </w:rPr>
              <w:t>Developer/integrator</w:t>
            </w:r>
          </w:p>
        </w:tc>
        <w:tc>
          <w:tcPr>
            <w:tcW w:type="dxa" w:w="2484"/>
            <w:vAlign w:val="center"/>
          </w:tcPr>
          <w:p>
            <w:r/>
            <w:r>
              <w:rPr>
                <w:rFonts w:ascii="Aptos" w:hAnsi="Aptos"/>
                <w:b w:val="0"/>
                <w:sz w:val="19"/>
              </w:rPr>
              <w:t>Builds against APIs, hooks, plugins, and SDKs</w:t>
            </w:r>
          </w:p>
        </w:tc>
        <w:tc>
          <w:tcPr>
            <w:tcW w:type="dxa" w:w="2484"/>
            <w:vAlign w:val="center"/>
          </w:tcPr>
          <w:p>
            <w:r/>
            <w:r>
              <w:rPr>
                <w:rFonts w:ascii="Aptos" w:hAnsi="Aptos"/>
                <w:b w:val="0"/>
                <w:sz w:val="19"/>
              </w:rPr>
              <w:t>High-quality docs, stable APIs, test environments, examples</w:t>
            </w:r>
          </w:p>
        </w:tc>
        <w:tc>
          <w:tcPr>
            <w:tcW w:type="dxa" w:w="2484"/>
          </w:tcPr>
          <w:p/>
        </w:tc>
      </w:tr>
      <w:tr>
        <w:tc>
          <w:tcPr>
            <w:tcW w:type="dxa" w:w="2484"/>
            <w:vAlign w:val="center"/>
          </w:tcPr>
          <w:p>
            <w:r/>
            <w:r>
              <w:rPr>
                <w:rFonts w:ascii="Aptos" w:hAnsi="Aptos"/>
                <w:b w:val="0"/>
                <w:sz w:val="19"/>
              </w:rPr>
              <w:t>Support/operator</w:t>
            </w:r>
          </w:p>
        </w:tc>
        <w:tc>
          <w:tcPr>
            <w:tcW w:type="dxa" w:w="2484"/>
            <w:vAlign w:val="center"/>
          </w:tcPr>
          <w:p>
            <w:r/>
            <w:r>
              <w:rPr>
                <w:rFonts w:ascii="Aptos" w:hAnsi="Aptos"/>
                <w:b w:val="0"/>
                <w:sz w:val="19"/>
              </w:rPr>
              <w:t>Handles incidents, debugging, and customer assistance</w:t>
            </w:r>
          </w:p>
        </w:tc>
        <w:tc>
          <w:tcPr>
            <w:tcW w:type="dxa" w:w="2484"/>
            <w:vAlign w:val="center"/>
          </w:tcPr>
          <w:p>
            <w:r/>
            <w:r>
              <w:rPr>
                <w:rFonts w:ascii="Aptos" w:hAnsi="Aptos"/>
                <w:b w:val="0"/>
                <w:sz w:val="19"/>
              </w:rPr>
              <w:t>Scoped access, audit trails, operational runbooks</w:t>
            </w:r>
          </w:p>
        </w:tc>
        <w:tc>
          <w:tcPr>
            <w:tcW w:type="dxa" w:w="2484"/>
          </w:tcPr>
          <w:p/>
        </w:tc>
      </w:tr>
      <w:tr>
        <w:tc>
          <w:tcPr>
            <w:tcW w:type="dxa" w:w="2484"/>
            <w:vAlign w:val="center"/>
          </w:tcPr>
          <w:p>
            <w:r/>
            <w:r>
              <w:rPr>
                <w:rFonts w:ascii="Aptos" w:hAnsi="Aptos"/>
                <w:b w:val="0"/>
                <w:sz w:val="19"/>
              </w:rPr>
              <w:t>Partner/publisher</w:t>
            </w:r>
          </w:p>
        </w:tc>
        <w:tc>
          <w:tcPr>
            <w:tcW w:type="dxa" w:w="2484"/>
            <w:vAlign w:val="center"/>
          </w:tcPr>
          <w:p>
            <w:r/>
            <w:r>
              <w:rPr>
                <w:rFonts w:ascii="Aptos" w:hAnsi="Aptos"/>
                <w:b w:val="0"/>
                <w:sz w:val="19"/>
              </w:rPr>
              <w:t>Builds plugins, themes, or distribution add-ons</w:t>
            </w:r>
          </w:p>
        </w:tc>
        <w:tc>
          <w:tcPr>
            <w:tcW w:type="dxa" w:w="2484"/>
            <w:vAlign w:val="center"/>
          </w:tcPr>
          <w:p>
            <w:r/>
            <w:r>
              <w:rPr>
                <w:rFonts w:ascii="Aptos" w:hAnsi="Aptos"/>
                <w:b w:val="0"/>
                <w:sz w:val="19"/>
              </w:rPr>
              <w:t>Governed extension points, compatibility model, marketplace rules</w:t>
            </w:r>
          </w:p>
        </w:tc>
        <w:tc>
          <w:tcPr>
            <w:tcW w:type="dxa" w:w="2484"/>
          </w:tcPr>
          <w:p/>
        </w:tc>
      </w:tr>
    </w:tbl>
    <w:p>
      <w:pPr>
        <w:pStyle w:val="Heading1"/>
      </w:pPr>
      <w:r>
        <w:t>4. Jobs to Be Done</w:t>
      </w:r>
    </w:p>
    <w:p>
      <w:pPr>
        <w:pStyle w:val="ListNumber"/>
      </w:pPr>
      <w:r>
        <w:rPr>
          <w:b/>
        </w:rPr>
        <w:t xml:space="preserve">Tenant operation: </w:t>
      </w:r>
      <w:r>
        <w:t>Enable enterprise admins to create, configure, secure, and operate a tenant without involving engineering for ordinary tasks.</w:t>
      </w:r>
    </w:p>
    <w:p>
      <w:pPr>
        <w:pStyle w:val="ListNumber"/>
      </w:pPr>
      <w:r>
        <w:rPr>
          <w:b/>
        </w:rPr>
        <w:t xml:space="preserve">Developer integration: </w:t>
      </w:r>
      <w:r>
        <w:t>Enable developers to authenticate, integrate, test, and automate against stable APIs and events quickly.</w:t>
      </w:r>
    </w:p>
    <w:p>
      <w:pPr>
        <w:pStyle w:val="ListNumber"/>
      </w:pPr>
      <w:r>
        <w:rPr>
          <w:b/>
        </w:rPr>
        <w:t xml:space="preserve">Safe installation: </w:t>
      </w:r>
      <w:r>
        <w:t>Enable operators to install and bootstrap the product with a guided flow for CDN, database, object storage, cache, and queue infrastructure.</w:t>
      </w:r>
    </w:p>
    <w:p>
      <w:pPr>
        <w:pStyle w:val="ListNumber"/>
      </w:pPr>
      <w:r>
        <w:rPr>
          <w:b/>
        </w:rPr>
        <w:t xml:space="preserve">Governed extension: </w:t>
      </w:r>
      <w:r>
        <w:t>Enable customers and partners to extend the product through plugins and themes without breaking tenant isolation or upgrade safety.</w:t>
      </w:r>
    </w:p>
    <w:p>
      <w:pPr>
        <w:pStyle w:val="ListNumber"/>
      </w:pPr>
      <w:r>
        <w:rPr>
          <w:b/>
        </w:rPr>
        <w:t xml:space="preserve">Operational trust: </w:t>
      </w:r>
      <w:r>
        <w:t>Enable security, compliance, and support teams to observe, audit, investigate, and respond to issues without uncontrolled privileged access.</w:t>
      </w:r>
    </w:p>
    <w:p>
      <w:pPr>
        <w:pStyle w:val="ListNumber"/>
      </w:pPr>
      <w:r>
        <w:rPr>
          <w:b/>
        </w:rPr>
        <w:t xml:space="preserve">Commercial packaging: </w:t>
      </w:r>
      <w:r>
        <w:t>Enable the business to package, meter, and sell the platform across SaaS, private cloud, and self-hosted models.</w:t>
      </w:r>
    </w:p>
    <w:p>
      <w:pPr>
        <w:pStyle w:val="Heading1"/>
      </w:pPr>
      <w:r>
        <w:t>5. Product Capability Map</w:t>
      </w:r>
    </w:p>
    <w:p>
      <w:pPr>
        <w:pStyle w:val="ListBullet"/>
      </w:pPr>
      <w:r>
        <w:t>Tenant and organization management</w:t>
      </w:r>
    </w:p>
    <w:p>
      <w:pPr>
        <w:pStyle w:val="ListBullet"/>
      </w:pPr>
      <w:r>
        <w:t>Authentication, sessions, and identity federation</w:t>
      </w:r>
    </w:p>
    <w:p>
      <w:pPr>
        <w:pStyle w:val="ListBullet"/>
      </w:pPr>
      <w:r>
        <w:t>Authorization, policy, and entitlement control</w:t>
      </w:r>
    </w:p>
    <w:p>
      <w:pPr>
        <w:pStyle w:val="ListBullet"/>
      </w:pPr>
      <w:r>
        <w:t>Admin console and end-user workspaces</w:t>
      </w:r>
    </w:p>
    <w:p>
      <w:pPr>
        <w:pStyle w:val="ListBullet"/>
      </w:pPr>
      <w:r>
        <w:t>Installation, bootstrap, and environment validation</w:t>
      </w:r>
    </w:p>
    <w:p>
      <w:pPr>
        <w:pStyle w:val="ListBullet"/>
      </w:pPr>
      <w:r>
        <w:t>Configuration, themes, and branding</w:t>
      </w:r>
    </w:p>
    <w:p>
      <w:pPr>
        <w:pStyle w:val="ListBullet"/>
      </w:pPr>
      <w:r>
        <w:t>Developer portal, APIs, webhooks, and SDKs</w:t>
      </w:r>
    </w:p>
    <w:p>
      <w:pPr>
        <w:pStyle w:val="ListBullet"/>
      </w:pPr>
      <w:r>
        <w:t>Plugin framework, marketplace, and extension governance</w:t>
      </w:r>
    </w:p>
    <w:p>
      <w:pPr>
        <w:pStyle w:val="ListBullet"/>
      </w:pPr>
      <w:r>
        <w:t>Queue and eventing infrastructure</w:t>
      </w:r>
    </w:p>
    <w:p>
      <w:pPr>
        <w:pStyle w:val="ListBullet"/>
      </w:pPr>
      <w:r>
        <w:t>Audit, compliance, reporting, and evidence export</w:t>
      </w:r>
    </w:p>
    <w:p>
      <w:pPr>
        <w:pStyle w:val="ListBullet"/>
      </w:pPr>
      <w:r>
        <w:t>Public website, trust center, legal pages, and contact flows</w:t>
      </w:r>
    </w:p>
    <w:p>
      <w:pPr>
        <w:pStyle w:val="ListBullet"/>
      </w:pPr>
      <w:r>
        <w:t>Support tooling, break-glass access, and operational workflows</w:t>
      </w:r>
    </w:p>
    <w:p>
      <w:pPr>
        <w:pStyle w:val="Heading1"/>
      </w:pPr>
      <w:r>
        <w:t>6. Product Editions and Packaging</w:t>
      </w:r>
    </w:p>
    <w:p>
      <w:r>
        <w:t>Packaging must support both commercial clarity and operational reality. The product must avoid a mismatch between what is sold, what is installable, and what is supportable.</w:t>
      </w:r>
    </w:p>
    <w:tbl>
      <w:tblPr>
        <w:tblStyle w:val="TableGrid"/>
        <w:tblW w:type="auto" w:w="0"/>
        <w:tblLook w:firstColumn="1" w:firstRow="1" w:lastColumn="0" w:lastRow="0" w:noHBand="0" w:noVBand="1" w:val="04A0"/>
      </w:tblPr>
      <w:tblGrid>
        <w:gridCol w:w="2484"/>
        <w:gridCol w:w="2484"/>
        <w:gridCol w:w="2484"/>
        <w:gridCol w:w="2484"/>
      </w:tblGrid>
      <w:tr>
        <w:tc>
          <w:tcPr>
            <w:tcW w:type="dxa" w:w="2484"/>
            <w:vAlign w:val="center"/>
            <w:shd w:fill="D9E8FB"/>
          </w:tcPr>
          <w:p>
            <w:r/>
            <w:r>
              <w:rPr>
                <w:rFonts w:ascii="Aptos" w:hAnsi="Aptos"/>
                <w:b/>
                <w:sz w:val="20"/>
              </w:rPr>
              <w:t>Edition</w:t>
            </w:r>
          </w:p>
        </w:tc>
        <w:tc>
          <w:tcPr>
            <w:tcW w:type="dxa" w:w="2484"/>
            <w:vAlign w:val="center"/>
            <w:shd w:fill="D9E8FB"/>
          </w:tcPr>
          <w:p>
            <w:r/>
            <w:r>
              <w:rPr>
                <w:rFonts w:ascii="Aptos" w:hAnsi="Aptos"/>
                <w:b/>
                <w:sz w:val="20"/>
              </w:rPr>
              <w:t>Target customer</w:t>
            </w:r>
          </w:p>
        </w:tc>
        <w:tc>
          <w:tcPr>
            <w:tcW w:type="dxa" w:w="2484"/>
            <w:vAlign w:val="center"/>
            <w:shd w:fill="D9E8FB"/>
          </w:tcPr>
          <w:p>
            <w:r/>
            <w:r>
              <w:rPr>
                <w:rFonts w:ascii="Aptos" w:hAnsi="Aptos"/>
                <w:b/>
                <w:sz w:val="20"/>
              </w:rPr>
              <w:t>Included scope</w:t>
            </w:r>
          </w:p>
        </w:tc>
        <w:tc>
          <w:tcPr>
            <w:tcW w:type="dxa" w:w="2484"/>
            <w:vAlign w:val="center"/>
            <w:shd w:fill="D9E8FB"/>
          </w:tcPr>
          <w:p>
            <w:r/>
            <w:r>
              <w:rPr>
                <w:rFonts w:ascii="Aptos" w:hAnsi="Aptos"/>
                <w:b/>
                <w:sz w:val="20"/>
              </w:rPr>
              <w:t>Typical upsell</w:t>
            </w:r>
          </w:p>
        </w:tc>
      </w:tr>
      <w:tr>
        <w:tc>
          <w:tcPr>
            <w:tcW w:type="dxa" w:w="2484"/>
            <w:vAlign w:val="center"/>
          </w:tcPr>
          <w:p>
            <w:r/>
            <w:r>
              <w:rPr>
                <w:rFonts w:ascii="Aptos" w:hAnsi="Aptos"/>
                <w:b w:val="0"/>
                <w:sz w:val="19"/>
              </w:rPr>
              <w:t>Managed SaaS</w:t>
            </w:r>
          </w:p>
        </w:tc>
        <w:tc>
          <w:tcPr>
            <w:tcW w:type="dxa" w:w="2484"/>
            <w:vAlign w:val="center"/>
          </w:tcPr>
          <w:p>
            <w:r/>
            <w:r>
              <w:rPr>
                <w:rFonts w:ascii="Aptos" w:hAnsi="Aptos"/>
                <w:b w:val="0"/>
                <w:sz w:val="19"/>
              </w:rPr>
              <w:t>Fast-moving enterprise teams</w:t>
            </w:r>
          </w:p>
        </w:tc>
        <w:tc>
          <w:tcPr>
            <w:tcW w:type="dxa" w:w="2484"/>
            <w:vAlign w:val="center"/>
          </w:tcPr>
          <w:p>
            <w:r/>
            <w:r>
              <w:rPr>
                <w:rFonts w:ascii="Aptos" w:hAnsi="Aptos"/>
                <w:b w:val="0"/>
                <w:sz w:val="19"/>
              </w:rPr>
              <w:t>Shared managed platform, standard SSO, API, admin console, developer portal</w:t>
            </w:r>
          </w:p>
        </w:tc>
        <w:tc>
          <w:tcPr>
            <w:tcW w:type="dxa" w:w="2484"/>
            <w:vAlign w:val="center"/>
          </w:tcPr>
          <w:p>
            <w:r/>
            <w:r>
              <w:rPr>
                <w:rFonts w:ascii="Aptos" w:hAnsi="Aptos"/>
                <w:b w:val="0"/>
                <w:sz w:val="19"/>
              </w:rPr>
              <w:t>Premium security, higher limits, regional controls</w:t>
            </w:r>
          </w:p>
        </w:tc>
      </w:tr>
      <w:tr>
        <w:tc>
          <w:tcPr>
            <w:tcW w:type="dxa" w:w="2484"/>
            <w:vAlign w:val="center"/>
          </w:tcPr>
          <w:p>
            <w:r/>
            <w:r>
              <w:rPr>
                <w:rFonts w:ascii="Aptos" w:hAnsi="Aptos"/>
                <w:b w:val="0"/>
                <w:sz w:val="19"/>
              </w:rPr>
              <w:t>Private Cloud</w:t>
            </w:r>
          </w:p>
        </w:tc>
        <w:tc>
          <w:tcPr>
            <w:tcW w:type="dxa" w:w="2484"/>
            <w:vAlign w:val="center"/>
          </w:tcPr>
          <w:p>
            <w:r/>
            <w:r>
              <w:rPr>
                <w:rFonts w:ascii="Aptos" w:hAnsi="Aptos"/>
                <w:b w:val="0"/>
                <w:sz w:val="19"/>
              </w:rPr>
              <w:t>Regulated or networking-constrained customers</w:t>
            </w:r>
          </w:p>
        </w:tc>
        <w:tc>
          <w:tcPr>
            <w:tcW w:type="dxa" w:w="2484"/>
            <w:vAlign w:val="center"/>
          </w:tcPr>
          <w:p>
            <w:r/>
            <w:r>
              <w:rPr>
                <w:rFonts w:ascii="Aptos" w:hAnsi="Aptos"/>
                <w:b w:val="0"/>
                <w:sz w:val="19"/>
              </w:rPr>
              <w:t>Customer-isolated deployment with managed support model</w:t>
            </w:r>
          </w:p>
        </w:tc>
        <w:tc>
          <w:tcPr>
            <w:tcW w:type="dxa" w:w="2484"/>
            <w:vAlign w:val="center"/>
          </w:tcPr>
          <w:p>
            <w:r/>
            <w:r>
              <w:rPr>
                <w:rFonts w:ascii="Aptos" w:hAnsi="Aptos"/>
                <w:b w:val="0"/>
                <w:sz w:val="19"/>
              </w:rPr>
              <w:t>Dedicated support, custom integrations, residency options</w:t>
            </w:r>
          </w:p>
        </w:tc>
      </w:tr>
      <w:tr>
        <w:tc>
          <w:tcPr>
            <w:tcW w:type="dxa" w:w="2484"/>
            <w:vAlign w:val="center"/>
          </w:tcPr>
          <w:p>
            <w:r/>
            <w:r>
              <w:rPr>
                <w:rFonts w:ascii="Aptos" w:hAnsi="Aptos"/>
                <w:b w:val="0"/>
                <w:sz w:val="19"/>
              </w:rPr>
              <w:t>Self-Hosted</w:t>
            </w:r>
          </w:p>
        </w:tc>
        <w:tc>
          <w:tcPr>
            <w:tcW w:type="dxa" w:w="2484"/>
            <w:vAlign w:val="center"/>
          </w:tcPr>
          <w:p>
            <w:r/>
            <w:r>
              <w:rPr>
                <w:rFonts w:ascii="Aptos" w:hAnsi="Aptos"/>
                <w:b w:val="0"/>
                <w:sz w:val="19"/>
              </w:rPr>
              <w:t>Customers needing full deployment control</w:t>
            </w:r>
          </w:p>
        </w:tc>
        <w:tc>
          <w:tcPr>
            <w:tcW w:type="dxa" w:w="2484"/>
            <w:vAlign w:val="center"/>
          </w:tcPr>
          <w:p>
            <w:r/>
            <w:r>
              <w:rPr>
                <w:rFonts w:ascii="Aptos" w:hAnsi="Aptos"/>
                <w:b w:val="0"/>
                <w:sz w:val="19"/>
              </w:rPr>
              <w:t>Install package, bootstrap tooling, upgrade path, operator docs</w:t>
            </w:r>
          </w:p>
        </w:tc>
        <w:tc>
          <w:tcPr>
            <w:tcW w:type="dxa" w:w="2484"/>
            <w:vAlign w:val="center"/>
          </w:tcPr>
          <w:p>
            <w:r/>
            <w:r>
              <w:rPr>
                <w:rFonts w:ascii="Aptos" w:hAnsi="Aptos"/>
                <w:b w:val="0"/>
                <w:sz w:val="19"/>
              </w:rPr>
              <w:t>Premium support, extended compatibility window</w:t>
            </w:r>
          </w:p>
        </w:tc>
      </w:tr>
      <w:tr>
        <w:tc>
          <w:tcPr>
            <w:tcW w:type="dxa" w:w="2484"/>
            <w:vAlign w:val="center"/>
          </w:tcPr>
          <w:p>
            <w:r/>
            <w:r>
              <w:rPr>
                <w:rFonts w:ascii="Aptos" w:hAnsi="Aptos"/>
                <w:b w:val="0"/>
                <w:sz w:val="19"/>
              </w:rPr>
              <w:t>Partner / OEM</w:t>
            </w:r>
          </w:p>
        </w:tc>
        <w:tc>
          <w:tcPr>
            <w:tcW w:type="dxa" w:w="2484"/>
            <w:vAlign w:val="center"/>
          </w:tcPr>
          <w:p>
            <w:r/>
            <w:r>
              <w:rPr>
                <w:rFonts w:ascii="Aptos" w:hAnsi="Aptos"/>
                <w:b w:val="0"/>
                <w:sz w:val="19"/>
              </w:rPr>
              <w:t>ISVs and implementation partners</w:t>
            </w:r>
          </w:p>
        </w:tc>
        <w:tc>
          <w:tcPr>
            <w:tcW w:type="dxa" w:w="2484"/>
            <w:vAlign w:val="center"/>
          </w:tcPr>
          <w:p>
            <w:r/>
            <w:r>
              <w:rPr>
                <w:rFonts w:ascii="Aptos" w:hAnsi="Aptos"/>
                <w:b w:val="0"/>
                <w:sz w:val="19"/>
              </w:rPr>
              <w:t>APIs, branding, theming, plugins, integration model</w:t>
            </w:r>
          </w:p>
        </w:tc>
        <w:tc>
          <w:tcPr>
            <w:tcW w:type="dxa" w:w="2484"/>
            <w:vAlign w:val="center"/>
          </w:tcPr>
          <w:p>
            <w:r/>
            <w:r>
              <w:rPr>
                <w:rFonts w:ascii="Aptos" w:hAnsi="Aptos"/>
                <w:b w:val="0"/>
                <w:sz w:val="19"/>
              </w:rPr>
              <w:t>Marketplace access, white-label options, distribution tooling</w:t>
            </w:r>
          </w:p>
        </w:tc>
      </w:tr>
    </w:tbl>
    <w:p>
      <w:pPr>
        <w:pStyle w:val="Heading1"/>
      </w:pPr>
      <w:r>
        <w:t>7. Entitlements and Commercial Controls</w:t>
      </w:r>
    </w:p>
    <w:p>
      <w:pPr>
        <w:pStyle w:val="ListBullet"/>
      </w:pPr>
      <w:r>
        <w:t>Plans, feature entitlements, configuration, and user authorization must stay separate.</w:t>
      </w:r>
    </w:p>
    <w:p>
      <w:pPr>
        <w:pStyle w:val="ListBullet"/>
      </w:pPr>
      <w:r>
        <w:t>The platform must support plan-based limits for users, storage, API throughput, queue usage, plugin count, theme publishing, and support level.</w:t>
      </w:r>
    </w:p>
    <w:p>
      <w:pPr>
        <w:pStyle w:val="ListBullet"/>
      </w:pPr>
      <w:r>
        <w:t>Downgrades must fail safely: no silent data loss, explicit warning windows, and clear read-only behavior where possible.</w:t>
      </w:r>
    </w:p>
    <w:p>
      <w:pPr>
        <w:pStyle w:val="ListBullet"/>
      </w:pPr>
      <w:r>
        <w:t>Premium capabilities may include customer-managed keys, higher isolation, private networking, extra regions, plugin marketplace distribution, or dedicated support.</w:t>
      </w:r>
    </w:p>
    <w:p>
      <w:pPr>
        <w:pStyle w:val="Heading1"/>
      </w:pPr>
      <w:r>
        <w:t>8. Core User Journeys</w:t>
      </w:r>
    </w:p>
    <w:tbl>
      <w:tblPr>
        <w:tblStyle w:val="TableGrid"/>
        <w:tblW w:type="auto" w:w="0"/>
        <w:tblLook w:firstColumn="1" w:firstRow="1" w:lastColumn="0" w:lastRow="0" w:noHBand="0" w:noVBand="1" w:val="04A0"/>
      </w:tblPr>
      <w:tblGrid>
        <w:gridCol w:w="4968"/>
        <w:gridCol w:w="4968"/>
      </w:tblGrid>
      <w:tr>
        <w:tc>
          <w:tcPr>
            <w:tcW w:type="dxa" w:w="4968"/>
            <w:vAlign w:val="center"/>
            <w:shd w:fill="D9E8FB"/>
          </w:tcPr>
          <w:p>
            <w:r/>
            <w:r>
              <w:rPr>
                <w:rFonts w:ascii="Aptos" w:hAnsi="Aptos"/>
                <w:b/>
                <w:sz w:val="20"/>
              </w:rPr>
              <w:t>Journey</w:t>
            </w:r>
          </w:p>
        </w:tc>
        <w:tc>
          <w:tcPr>
            <w:tcW w:type="dxa" w:w="4968"/>
            <w:vAlign w:val="center"/>
            <w:shd w:fill="D9E8FB"/>
          </w:tcPr>
          <w:p>
            <w:r/>
            <w:r>
              <w:rPr>
                <w:rFonts w:ascii="Aptos" w:hAnsi="Aptos"/>
                <w:b/>
                <w:sz w:val="20"/>
              </w:rPr>
              <w:t>Expected outcome</w:t>
            </w:r>
          </w:p>
        </w:tc>
      </w:tr>
      <w:tr>
        <w:tc>
          <w:tcPr>
            <w:tcW w:type="dxa" w:w="4968"/>
            <w:vAlign w:val="center"/>
          </w:tcPr>
          <w:p>
            <w:r/>
            <w:r>
              <w:rPr>
                <w:rFonts w:ascii="Aptos" w:hAnsi="Aptos"/>
                <w:b w:val="0"/>
                <w:sz w:val="19"/>
              </w:rPr>
              <w:t>Tenant creation</w:t>
            </w:r>
          </w:p>
        </w:tc>
        <w:tc>
          <w:tcPr>
            <w:tcW w:type="dxa" w:w="4968"/>
            <w:vAlign w:val="center"/>
          </w:tcPr>
          <w:p>
            <w:r/>
            <w:r>
              <w:rPr>
                <w:rFonts w:ascii="Aptos" w:hAnsi="Aptos"/>
                <w:b w:val="0"/>
                <w:sz w:val="19"/>
              </w:rPr>
              <w:t>Provision tenant, assign initial admin, validate plan, apply default settings, create audit baseline.</w:t>
            </w:r>
          </w:p>
        </w:tc>
      </w:tr>
      <w:tr>
        <w:tc>
          <w:tcPr>
            <w:tcW w:type="dxa" w:w="4968"/>
            <w:vAlign w:val="center"/>
          </w:tcPr>
          <w:p>
            <w:r/>
            <w:r>
              <w:rPr>
                <w:rFonts w:ascii="Aptos" w:hAnsi="Aptos"/>
                <w:b w:val="0"/>
                <w:sz w:val="19"/>
              </w:rPr>
              <w:t>First-run install</w:t>
            </w:r>
          </w:p>
        </w:tc>
        <w:tc>
          <w:tcPr>
            <w:tcW w:type="dxa" w:w="4968"/>
            <w:vAlign w:val="center"/>
          </w:tcPr>
          <w:p>
            <w:r/>
            <w:r>
              <w:rPr>
                <w:rFonts w:ascii="Aptos" w:hAnsi="Aptos"/>
                <w:b w:val="0"/>
                <w:sz w:val="19"/>
              </w:rPr>
              <w:t>Operator chooses CDN, database adapter, object storage, Redis, and queue adapter; system validates and bootstraps.</w:t>
            </w:r>
          </w:p>
        </w:tc>
      </w:tr>
      <w:tr>
        <w:tc>
          <w:tcPr>
            <w:tcW w:type="dxa" w:w="4968"/>
            <w:vAlign w:val="center"/>
          </w:tcPr>
          <w:p>
            <w:r/>
            <w:r>
              <w:rPr>
                <w:rFonts w:ascii="Aptos" w:hAnsi="Aptos"/>
                <w:b w:val="0"/>
                <w:sz w:val="19"/>
              </w:rPr>
              <w:t>Identity setup</w:t>
            </w:r>
          </w:p>
        </w:tc>
        <w:tc>
          <w:tcPr>
            <w:tcW w:type="dxa" w:w="4968"/>
            <w:vAlign w:val="center"/>
          </w:tcPr>
          <w:p>
            <w:r/>
            <w:r>
              <w:rPr>
                <w:rFonts w:ascii="Aptos" w:hAnsi="Aptos"/>
                <w:b w:val="0"/>
                <w:sz w:val="19"/>
              </w:rPr>
              <w:t>Tenant admin configures local auth or SSO, enables MFA, defines session controls, and validates login.</w:t>
            </w:r>
          </w:p>
        </w:tc>
      </w:tr>
      <w:tr>
        <w:tc>
          <w:tcPr>
            <w:tcW w:type="dxa" w:w="4968"/>
            <w:vAlign w:val="center"/>
          </w:tcPr>
          <w:p>
            <w:r/>
            <w:r>
              <w:rPr>
                <w:rFonts w:ascii="Aptos" w:hAnsi="Aptos"/>
                <w:b w:val="0"/>
                <w:sz w:val="19"/>
              </w:rPr>
              <w:t>Developer activation</w:t>
            </w:r>
          </w:p>
        </w:tc>
        <w:tc>
          <w:tcPr>
            <w:tcW w:type="dxa" w:w="4968"/>
            <w:vAlign w:val="center"/>
          </w:tcPr>
          <w:p>
            <w:r/>
            <w:r>
              <w:rPr>
                <w:rFonts w:ascii="Aptos" w:hAnsi="Aptos"/>
                <w:b w:val="0"/>
                <w:sz w:val="19"/>
              </w:rPr>
              <w:t>Developer accesses portal, creates service account or OAuth client, reads docs, tests in sandbox, and integrates.</w:t>
            </w:r>
          </w:p>
        </w:tc>
      </w:tr>
      <w:tr>
        <w:tc>
          <w:tcPr>
            <w:tcW w:type="dxa" w:w="4968"/>
            <w:vAlign w:val="center"/>
          </w:tcPr>
          <w:p>
            <w:r/>
            <w:r>
              <w:rPr>
                <w:rFonts w:ascii="Aptos" w:hAnsi="Aptos"/>
                <w:b w:val="0"/>
                <w:sz w:val="19"/>
              </w:rPr>
              <w:t>Theme publish</w:t>
            </w:r>
          </w:p>
        </w:tc>
        <w:tc>
          <w:tcPr>
            <w:tcW w:type="dxa" w:w="4968"/>
            <w:vAlign w:val="center"/>
          </w:tcPr>
          <w:p>
            <w:r/>
            <w:r>
              <w:rPr>
                <w:rFonts w:ascii="Aptos" w:hAnsi="Aptos"/>
                <w:b w:val="0"/>
                <w:sz w:val="19"/>
              </w:rPr>
              <w:t>Tenant admin previews branded theme, passes validation, publishes, and can roll back if needed.</w:t>
            </w:r>
          </w:p>
        </w:tc>
      </w:tr>
      <w:tr>
        <w:tc>
          <w:tcPr>
            <w:tcW w:type="dxa" w:w="4968"/>
            <w:vAlign w:val="center"/>
          </w:tcPr>
          <w:p>
            <w:r/>
            <w:r>
              <w:rPr>
                <w:rFonts w:ascii="Aptos" w:hAnsi="Aptos"/>
                <w:b w:val="0"/>
                <w:sz w:val="19"/>
              </w:rPr>
              <w:t>Plugin deployment</w:t>
            </w:r>
          </w:p>
        </w:tc>
        <w:tc>
          <w:tcPr>
            <w:tcW w:type="dxa" w:w="4968"/>
            <w:vAlign w:val="center"/>
          </w:tcPr>
          <w:p>
            <w:r/>
            <w:r>
              <w:rPr>
                <w:rFonts w:ascii="Aptos" w:hAnsi="Aptos"/>
                <w:b w:val="0"/>
                <w:sz w:val="19"/>
              </w:rPr>
              <w:t>Admin reviews manifest and permissions, validates compatibility, installs plugin, monitors health, and audits usage.</w:t>
            </w:r>
          </w:p>
        </w:tc>
      </w:tr>
      <w:tr>
        <w:tc>
          <w:tcPr>
            <w:tcW w:type="dxa" w:w="4968"/>
            <w:vAlign w:val="center"/>
          </w:tcPr>
          <w:p>
            <w:r/>
            <w:r>
              <w:rPr>
                <w:rFonts w:ascii="Aptos" w:hAnsi="Aptos"/>
                <w:b w:val="0"/>
                <w:sz w:val="19"/>
              </w:rPr>
              <w:t>Operational incident</w:t>
            </w:r>
          </w:p>
        </w:tc>
        <w:tc>
          <w:tcPr>
            <w:tcW w:type="dxa" w:w="4968"/>
            <w:vAlign w:val="center"/>
          </w:tcPr>
          <w:p>
            <w:r/>
            <w:r>
              <w:rPr>
                <w:rFonts w:ascii="Aptos" w:hAnsi="Aptos"/>
                <w:b w:val="0"/>
                <w:sz w:val="19"/>
              </w:rPr>
              <w:t>Operator detects degraded queue or auth issue, uses scoped tooling, reviews dashboards, and follows runbooks.</w:t>
            </w:r>
          </w:p>
        </w:tc>
      </w:tr>
      <w:tr>
        <w:tc>
          <w:tcPr>
            <w:tcW w:type="dxa" w:w="4968"/>
            <w:vAlign w:val="center"/>
          </w:tcPr>
          <w:p>
            <w:r/>
            <w:r>
              <w:rPr>
                <w:rFonts w:ascii="Aptos" w:hAnsi="Aptos"/>
                <w:b w:val="0"/>
                <w:sz w:val="19"/>
              </w:rPr>
              <w:t>Upgrade and migration</w:t>
            </w:r>
          </w:p>
        </w:tc>
        <w:tc>
          <w:tcPr>
            <w:tcW w:type="dxa" w:w="4968"/>
            <w:vAlign w:val="center"/>
          </w:tcPr>
          <w:p>
            <w:r/>
            <w:r>
              <w:rPr>
                <w:rFonts w:ascii="Aptos" w:hAnsi="Aptos"/>
                <w:b w:val="0"/>
                <w:sz w:val="19"/>
              </w:rPr>
              <w:t>Operator reviews release notes, compatibility matrix, backup prerequisites, performs upgrade, and verifies health.</w:t>
            </w:r>
          </w:p>
        </w:tc>
      </w:tr>
    </w:tbl>
    <w:p>
      <w:pPr>
        <w:pStyle w:val="Heading1"/>
      </w:pPr>
      <w:r>
        <w:t>9. Functional Requirements by Domain</w:t>
      </w:r>
    </w:p>
    <w:p>
      <w:pPr>
        <w:pStyle w:val="Heading2"/>
      </w:pPr>
      <w:r>
        <w:t>9.1 Tenant and Organization Management</w:t>
      </w:r>
    </w:p>
    <w:p>
      <w:pPr>
        <w:pStyle w:val="ListBullet"/>
      </w:pPr>
      <w:r>
        <w:t>Support tenant lifecycle states: draft, active, suspended, restricted, offboarding, and archived where relevant.</w:t>
      </w:r>
    </w:p>
    <w:p>
      <w:pPr>
        <w:pStyle w:val="ListBullet"/>
      </w:pPr>
      <w:r>
        <w:t>Support multiple organizations, business units, or workspaces inside a tenant if the product model requires internal partitioning.</w:t>
      </w:r>
    </w:p>
    <w:p>
      <w:pPr>
        <w:pStyle w:val="ListBullet"/>
      </w:pPr>
      <w:r>
        <w:t>Expose UI and API workflows for tenant creation, activation, plan changes, quota visibility, and lifecycle events.</w:t>
      </w:r>
    </w:p>
    <w:p>
      <w:pPr>
        <w:pStyle w:val="ListBullet"/>
      </w:pPr>
      <w:r>
        <w:t>All tenant-scoped actions must be auditable and visible to relevant admins.</w:t>
      </w:r>
    </w:p>
    <w:p>
      <w:pPr>
        <w:pStyle w:val="Heading2"/>
      </w:pPr>
      <w:r>
        <w:t>9.2 Authentication and Identity</w:t>
      </w:r>
    </w:p>
    <w:p>
      <w:pPr>
        <w:pStyle w:val="ListBullet"/>
      </w:pPr>
      <w:r>
        <w:t>Support local auth where allowed, plus SAML and OIDC federation with tenant-aware routing.</w:t>
      </w:r>
    </w:p>
    <w:p>
      <w:pPr>
        <w:pStyle w:val="ListBullet"/>
      </w:pPr>
      <w:r>
        <w:t>Support MFA, session timeout control, device/session visibility, and suspicious activity invalidation.</w:t>
      </w:r>
    </w:p>
    <w:p>
      <w:pPr>
        <w:pStyle w:val="ListBullet"/>
      </w:pPr>
      <w:r>
        <w:t>Provide service accounts and machine identity flows with scoped credentials and rotation paths.</w:t>
      </w:r>
    </w:p>
    <w:p>
      <w:pPr>
        <w:pStyle w:val="Heading2"/>
      </w:pPr>
      <w:r>
        <w:t>9.3 Authorization and Policy</w:t>
      </w:r>
    </w:p>
    <w:p>
      <w:pPr>
        <w:pStyle w:val="ListBullet"/>
      </w:pPr>
      <w:r>
        <w:t>Support RBAC, ABAC, and policy-based controls with clear precedence rules.</w:t>
      </w:r>
    </w:p>
    <w:p>
      <w:pPr>
        <w:pStyle w:val="ListBullet"/>
      </w:pPr>
      <w:r>
        <w:t>Expose admin UX for role assignment, permission review, and policy simulation or dry-run where practical.</w:t>
      </w:r>
    </w:p>
    <w:p>
      <w:pPr>
        <w:pStyle w:val="ListBullet"/>
      </w:pPr>
      <w:r>
        <w:t>Prevent frontend-only enforcement; backend services remain the source of truth.</w:t>
      </w:r>
    </w:p>
    <w:p>
      <w:pPr>
        <w:pStyle w:val="Heading2"/>
      </w:pPr>
      <w:r>
        <w:t>9.4 Admin Console</w:t>
      </w:r>
    </w:p>
    <w:p>
      <w:pPr>
        <w:pStyle w:val="ListBullet"/>
      </w:pPr>
      <w:r>
        <w:t>Provide role-aware admin surfaces for tenant settings, users, security, plugins, themes, billing, queues, and audit.</w:t>
      </w:r>
    </w:p>
    <w:p>
      <w:pPr>
        <w:pStyle w:val="ListBullet"/>
      </w:pPr>
      <w:r>
        <w:t>Make destructive or high-risk actions confirmable, reversible where possible, and always logged.</w:t>
      </w:r>
    </w:p>
    <w:p>
      <w:pPr>
        <w:pStyle w:val="Heading2"/>
      </w:pPr>
      <w:r>
        <w:t>9.5 Installation and Bootstrap</w:t>
      </w:r>
    </w:p>
    <w:p>
      <w:pPr>
        <w:pStyle w:val="ListBullet"/>
      </w:pPr>
      <w:r>
        <w:t>Treat install as a first-class product surface with guided validation, compatibility checks, and explicit dependency selection.</w:t>
      </w:r>
    </w:p>
    <w:p>
      <w:pPr>
        <w:pStyle w:val="ListBullet"/>
      </w:pPr>
      <w:r>
        <w:t>Provide clear handling for bootstrap secrets, first admin creation, environment validation, and retryable failures.</w:t>
      </w:r>
    </w:p>
    <w:p>
      <w:pPr>
        <w:pStyle w:val="Heading2"/>
      </w:pPr>
      <w:r>
        <w:t>9.6 Developer Portal and APIs</w:t>
      </w:r>
    </w:p>
    <w:p>
      <w:pPr>
        <w:pStyle w:val="ListBullet"/>
      </w:pPr>
      <w:r>
        <w:t>Provide searchable docs, endpoint catalog, auth guides, SDKs, sample applications, release notes, and migration guidance.</w:t>
      </w:r>
    </w:p>
    <w:p>
      <w:pPr>
        <w:pStyle w:val="ListBullet"/>
      </w:pPr>
      <w:r>
        <w:t>All documented APIs must include tenant context rules, error envelopes, pagination rules, and permission requirements.</w:t>
      </w:r>
    </w:p>
    <w:p>
      <w:pPr>
        <w:pStyle w:val="Heading2"/>
      </w:pPr>
      <w:r>
        <w:t>9.7 Themes and Branding</w:t>
      </w:r>
    </w:p>
    <w:p>
      <w:pPr>
        <w:pStyle w:val="ListBullet"/>
      </w:pPr>
      <w:r>
        <w:t>Allow token-based theming, preview before publish, rollback, and tenant-scoped branding for app, portal, and public surfaces as approved.</w:t>
      </w:r>
    </w:p>
    <w:p>
      <w:pPr>
        <w:pStyle w:val="ListBullet"/>
      </w:pPr>
      <w:r>
        <w:t>Disallow changes that undermine accessibility, security signals, or required legal/footer presence.</w:t>
      </w:r>
    </w:p>
    <w:p>
      <w:pPr>
        <w:pStyle w:val="Heading2"/>
      </w:pPr>
      <w:r>
        <w:t>9.8 Plugins and Marketplace</w:t>
      </w:r>
    </w:p>
    <w:p>
      <w:pPr>
        <w:pStyle w:val="ListBullet"/>
      </w:pPr>
      <w:r>
        <w:t>Provide approved extension points, plugin manifest, permission model, compatibility checking, lifecycle control, and auditability.</w:t>
      </w:r>
    </w:p>
    <w:p>
      <w:pPr>
        <w:pStyle w:val="ListBullet"/>
      </w:pPr>
      <w:r>
        <w:t>Support tenant installation and optional marketplace distribution with publisher identity and takedown policy.</w:t>
      </w:r>
    </w:p>
    <w:p>
      <w:pPr>
        <w:pStyle w:val="Heading2"/>
      </w:pPr>
      <w:r>
        <w:t>9.9 Queue and Async Processing</w:t>
      </w:r>
    </w:p>
    <w:p>
      <w:pPr>
        <w:pStyle w:val="ListBullet"/>
      </w:pPr>
      <w:r>
        <w:t>Abstract queue providers behind stable internal contracts.</w:t>
      </w:r>
    </w:p>
    <w:p>
      <w:pPr>
        <w:pStyle w:val="ListBullet"/>
      </w:pPr>
      <w:r>
        <w:t>Support retries, DLQ, poison message handling, idempotent consumers, and monitoring of lag/backlog.</w:t>
      </w:r>
    </w:p>
    <w:p>
      <w:pPr>
        <w:pStyle w:val="Heading2"/>
      </w:pPr>
      <w:r>
        <w:t>9.10 Audit, Reporting, and Compliance</w:t>
      </w:r>
    </w:p>
    <w:p>
      <w:pPr>
        <w:pStyle w:val="ListBullet"/>
      </w:pPr>
      <w:r>
        <w:t>Capture security-sensitive and business-critical actions with actor, scope, correlation, and timestamp.</w:t>
      </w:r>
    </w:p>
    <w:p>
      <w:pPr>
        <w:pStyle w:val="ListBullet"/>
      </w:pPr>
      <w:r>
        <w:t>Provide exportable audit and compliance evidence for admins and operators.</w:t>
      </w:r>
    </w:p>
    <w:p>
      <w:pPr>
        <w:pStyle w:val="Heading2"/>
      </w:pPr>
      <w:r>
        <w:t>9.11 Public Website, Brand, Legal, and Trust</w:t>
      </w:r>
    </w:p>
    <w:p>
      <w:pPr>
        <w:pStyle w:val="ListBullet"/>
      </w:pPr>
      <w:r>
        <w:t>Publish product site, installation page, developer portal entry, legal pages, privacy policy, trust/security pages, and footer discoverability.</w:t>
      </w:r>
    </w:p>
    <w:p>
      <w:pPr>
        <w:pStyle w:val="ListBullet"/>
      </w:pPr>
      <w:r>
        <w:t>All public claims must be reviewed and accurate.</w:t>
      </w:r>
    </w:p>
    <w:p>
      <w:pPr>
        <w:pStyle w:val="Heading2"/>
      </w:pPr>
      <w:r>
        <w:t>9.12 Support and Operations</w:t>
      </w:r>
    </w:p>
    <w:p>
      <w:pPr>
        <w:pStyle w:val="ListBullet"/>
      </w:pPr>
      <w:r>
        <w:t>Provide scoped support tooling, break-glass process, runbooks, dashboards, and incident communications support.</w:t>
      </w:r>
    </w:p>
    <w:p>
      <w:pPr>
        <w:pStyle w:val="ListBullet"/>
      </w:pPr>
      <w:r>
        <w:t>Support must not bypass tenant boundaries or audit controls.</w:t>
      </w:r>
    </w:p>
    <w:p>
      <w:pPr>
        <w:pStyle w:val="Heading1"/>
      </w:pPr>
      <w:r>
        <w:t>10. Adapter-Based Architecture Standard</w:t>
      </w:r>
    </w:p>
    <w:p>
      <w:r>
        <w:t>Core product logic must depend on platform interfaces, not vendor SDKs directly. Every supported infrastructure dependency must be wrapped by an approved adapter model.</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8FB"/>
          </w:tcPr>
          <w:p>
            <w:r/>
            <w:r>
              <w:rPr>
                <w:rFonts w:ascii="Aptos" w:hAnsi="Aptos"/>
                <w:b/>
                <w:sz w:val="20"/>
              </w:rPr>
              <w:t>Adapter type</w:t>
            </w:r>
          </w:p>
        </w:tc>
        <w:tc>
          <w:tcPr>
            <w:tcW w:type="dxa" w:w="3312"/>
            <w:vAlign w:val="center"/>
            <w:shd w:fill="D9E8FB"/>
          </w:tcPr>
          <w:p>
            <w:r/>
            <w:r>
              <w:rPr>
                <w:rFonts w:ascii="Aptos" w:hAnsi="Aptos"/>
                <w:b/>
                <w:sz w:val="20"/>
              </w:rPr>
              <w:t>Supported providers</w:t>
            </w:r>
          </w:p>
        </w:tc>
        <w:tc>
          <w:tcPr>
            <w:tcW w:type="dxa" w:w="3312"/>
            <w:vAlign w:val="center"/>
            <w:shd w:fill="D9E8FB"/>
          </w:tcPr>
          <w:p>
            <w:r/>
            <w:r>
              <w:rPr>
                <w:rFonts w:ascii="Aptos" w:hAnsi="Aptos"/>
                <w:b/>
                <w:sz w:val="20"/>
              </w:rPr>
              <w:t>Rules</w:t>
            </w:r>
          </w:p>
        </w:tc>
      </w:tr>
      <w:tr>
        <w:tc>
          <w:tcPr>
            <w:tcW w:type="dxa" w:w="3312"/>
            <w:vAlign w:val="center"/>
          </w:tcPr>
          <w:p>
            <w:r/>
            <w:r>
              <w:rPr>
                <w:rFonts w:ascii="Aptos" w:hAnsi="Aptos"/>
                <w:b w:val="0"/>
                <w:sz w:val="18"/>
              </w:rPr>
              <w:t>Database</w:t>
            </w:r>
          </w:p>
        </w:tc>
        <w:tc>
          <w:tcPr>
            <w:tcW w:type="dxa" w:w="3312"/>
            <w:vAlign w:val="center"/>
          </w:tcPr>
          <w:p>
            <w:r/>
            <w:r>
              <w:rPr>
                <w:rFonts w:ascii="Aptos" w:hAnsi="Aptos"/>
                <w:b w:val="0"/>
                <w:sz w:val="18"/>
              </w:rPr>
              <w:t>MySQL, PostgreSQL</w:t>
            </w:r>
          </w:p>
        </w:tc>
        <w:tc>
          <w:tcPr>
            <w:tcW w:type="dxa" w:w="3312"/>
            <w:vAlign w:val="center"/>
          </w:tcPr>
          <w:p>
            <w:r/>
            <w:r>
              <w:rPr>
                <w:rFonts w:ascii="Aptos" w:hAnsi="Aptos"/>
                <w:b w:val="0"/>
                <w:sz w:val="18"/>
              </w:rPr>
              <w:t>Install-time selection; runtime change only through governed migration</w:t>
            </w:r>
          </w:p>
        </w:tc>
      </w:tr>
      <w:tr>
        <w:tc>
          <w:tcPr>
            <w:tcW w:type="dxa" w:w="3312"/>
            <w:vAlign w:val="center"/>
          </w:tcPr>
          <w:p>
            <w:r/>
            <w:r>
              <w:rPr>
                <w:rFonts w:ascii="Aptos" w:hAnsi="Aptos"/>
                <w:b w:val="0"/>
                <w:sz w:val="18"/>
              </w:rPr>
              <w:t>Object storage</w:t>
            </w:r>
          </w:p>
        </w:tc>
        <w:tc>
          <w:tcPr>
            <w:tcW w:type="dxa" w:w="3312"/>
            <w:vAlign w:val="center"/>
          </w:tcPr>
          <w:p>
            <w:r/>
            <w:r>
              <w:rPr>
                <w:rFonts w:ascii="Aptos" w:hAnsi="Aptos"/>
                <w:b w:val="0"/>
                <w:sz w:val="18"/>
              </w:rPr>
              <w:t>S3, S3-compatible storage</w:t>
            </w:r>
          </w:p>
        </w:tc>
        <w:tc>
          <w:tcPr>
            <w:tcW w:type="dxa" w:w="3312"/>
            <w:vAlign w:val="center"/>
          </w:tcPr>
          <w:p>
            <w:r/>
            <w:r>
              <w:rPr>
                <w:rFonts w:ascii="Aptos" w:hAnsi="Aptos"/>
                <w:b w:val="0"/>
                <w:sz w:val="18"/>
              </w:rPr>
              <w:t>Must support encryption, lifecycle controls, and health checks</w:t>
            </w:r>
          </w:p>
        </w:tc>
      </w:tr>
      <w:tr>
        <w:tc>
          <w:tcPr>
            <w:tcW w:type="dxa" w:w="3312"/>
            <w:vAlign w:val="center"/>
          </w:tcPr>
          <w:p>
            <w:r/>
            <w:r>
              <w:rPr>
                <w:rFonts w:ascii="Aptos" w:hAnsi="Aptos"/>
                <w:b w:val="0"/>
                <w:sz w:val="18"/>
              </w:rPr>
              <w:t>Cache</w:t>
            </w:r>
          </w:p>
        </w:tc>
        <w:tc>
          <w:tcPr>
            <w:tcW w:type="dxa" w:w="3312"/>
            <w:vAlign w:val="center"/>
          </w:tcPr>
          <w:p>
            <w:r/>
            <w:r>
              <w:rPr>
                <w:rFonts w:ascii="Aptos" w:hAnsi="Aptos"/>
                <w:b w:val="0"/>
                <w:sz w:val="18"/>
              </w:rPr>
              <w:t>Redis</w:t>
            </w:r>
          </w:p>
        </w:tc>
        <w:tc>
          <w:tcPr>
            <w:tcW w:type="dxa" w:w="3312"/>
            <w:vAlign w:val="center"/>
          </w:tcPr>
          <w:p>
            <w:r/>
            <w:r>
              <w:rPr>
                <w:rFonts w:ascii="Aptos" w:hAnsi="Aptos"/>
                <w:b w:val="0"/>
                <w:sz w:val="18"/>
              </w:rPr>
              <w:t>Single approved cache class initially</w:t>
            </w:r>
          </w:p>
        </w:tc>
      </w:tr>
      <w:tr>
        <w:tc>
          <w:tcPr>
            <w:tcW w:type="dxa" w:w="3312"/>
            <w:vAlign w:val="center"/>
          </w:tcPr>
          <w:p>
            <w:r/>
            <w:r>
              <w:rPr>
                <w:rFonts w:ascii="Aptos" w:hAnsi="Aptos"/>
                <w:b w:val="0"/>
                <w:sz w:val="18"/>
              </w:rPr>
              <w:t>Queue/messaging</w:t>
            </w:r>
          </w:p>
        </w:tc>
        <w:tc>
          <w:tcPr>
            <w:tcW w:type="dxa" w:w="3312"/>
            <w:vAlign w:val="center"/>
          </w:tcPr>
          <w:p>
            <w:r/>
            <w:r>
              <w:rPr>
                <w:rFonts w:ascii="Aptos" w:hAnsi="Aptos"/>
                <w:b w:val="0"/>
                <w:sz w:val="18"/>
              </w:rPr>
              <w:t>SQS, Kafka, RabbitMQ</w:t>
            </w:r>
          </w:p>
        </w:tc>
        <w:tc>
          <w:tcPr>
            <w:tcW w:type="dxa" w:w="3312"/>
            <w:vAlign w:val="center"/>
          </w:tcPr>
          <w:p>
            <w:r/>
            <w:r>
              <w:rPr>
                <w:rFonts w:ascii="Aptos" w:hAnsi="Aptos"/>
                <w:b w:val="0"/>
                <w:sz w:val="18"/>
              </w:rPr>
              <w:t>Stable internal contract with provider-specific adapter</w:t>
            </w:r>
          </w:p>
        </w:tc>
      </w:tr>
      <w:tr>
        <w:tc>
          <w:tcPr>
            <w:tcW w:type="dxa" w:w="3312"/>
            <w:vAlign w:val="center"/>
          </w:tcPr>
          <w:p>
            <w:r/>
            <w:r>
              <w:rPr>
                <w:rFonts w:ascii="Aptos" w:hAnsi="Aptos"/>
                <w:b w:val="0"/>
                <w:sz w:val="18"/>
              </w:rPr>
              <w:t>Search</w:t>
            </w:r>
          </w:p>
        </w:tc>
        <w:tc>
          <w:tcPr>
            <w:tcW w:type="dxa" w:w="3312"/>
            <w:vAlign w:val="center"/>
          </w:tcPr>
          <w:p>
            <w:r/>
            <w:r>
              <w:rPr>
                <w:rFonts w:ascii="Aptos" w:hAnsi="Aptos"/>
                <w:b w:val="0"/>
                <w:sz w:val="18"/>
              </w:rPr>
              <w:t>OpenSearch/Elasticsearch, optional simplified search mode</w:t>
            </w:r>
          </w:p>
        </w:tc>
        <w:tc>
          <w:tcPr>
            <w:tcW w:type="dxa" w:w="3312"/>
            <w:vAlign w:val="center"/>
          </w:tcPr>
          <w:p>
            <w:r/>
            <w:r>
              <w:rPr>
                <w:rFonts w:ascii="Aptos" w:hAnsi="Aptos"/>
                <w:b w:val="0"/>
                <w:sz w:val="18"/>
              </w:rPr>
              <w:t>Provider choice must not leak into domain logic</w:t>
            </w:r>
          </w:p>
        </w:tc>
      </w:tr>
      <w:tr>
        <w:tc>
          <w:tcPr>
            <w:tcW w:type="dxa" w:w="3312"/>
            <w:vAlign w:val="center"/>
          </w:tcPr>
          <w:p>
            <w:r/>
            <w:r>
              <w:rPr>
                <w:rFonts w:ascii="Aptos" w:hAnsi="Aptos"/>
                <w:b w:val="0"/>
                <w:sz w:val="18"/>
              </w:rPr>
              <w:t>Email/notification</w:t>
            </w:r>
          </w:p>
        </w:tc>
        <w:tc>
          <w:tcPr>
            <w:tcW w:type="dxa" w:w="3312"/>
            <w:vAlign w:val="center"/>
          </w:tcPr>
          <w:p>
            <w:r/>
            <w:r>
              <w:rPr>
                <w:rFonts w:ascii="Aptos" w:hAnsi="Aptos"/>
                <w:b w:val="0"/>
                <w:sz w:val="18"/>
              </w:rPr>
              <w:t>SMTP, SES, vendor adapters</w:t>
            </w:r>
          </w:p>
        </w:tc>
        <w:tc>
          <w:tcPr>
            <w:tcW w:type="dxa" w:w="3312"/>
            <w:vAlign w:val="center"/>
          </w:tcPr>
          <w:p>
            <w:r/>
            <w:r>
              <w:rPr>
                <w:rFonts w:ascii="Aptos" w:hAnsi="Aptos"/>
                <w:b w:val="0"/>
                <w:sz w:val="18"/>
              </w:rPr>
              <w:t>Templates and delivery status must remain portable</w:t>
            </w:r>
          </w:p>
        </w:tc>
      </w:tr>
      <w:tr>
        <w:tc>
          <w:tcPr>
            <w:tcW w:type="dxa" w:w="3312"/>
            <w:vAlign w:val="center"/>
          </w:tcPr>
          <w:p>
            <w:r/>
            <w:r>
              <w:rPr>
                <w:rFonts w:ascii="Aptos" w:hAnsi="Aptos"/>
                <w:b w:val="0"/>
                <w:sz w:val="18"/>
              </w:rPr>
              <w:t>Identity</w:t>
            </w:r>
          </w:p>
        </w:tc>
        <w:tc>
          <w:tcPr>
            <w:tcW w:type="dxa" w:w="3312"/>
            <w:vAlign w:val="center"/>
          </w:tcPr>
          <w:p>
            <w:r/>
            <w:r>
              <w:rPr>
                <w:rFonts w:ascii="Aptos" w:hAnsi="Aptos"/>
                <w:b w:val="0"/>
                <w:sz w:val="18"/>
              </w:rPr>
              <w:t>Local auth, SAML, OIDC, SCIM</w:t>
            </w:r>
          </w:p>
        </w:tc>
        <w:tc>
          <w:tcPr>
            <w:tcW w:type="dxa" w:w="3312"/>
            <w:vAlign w:val="center"/>
          </w:tcPr>
          <w:p>
            <w:r/>
            <w:r>
              <w:rPr>
                <w:rFonts w:ascii="Aptos" w:hAnsi="Aptos"/>
                <w:b w:val="0"/>
                <w:sz w:val="18"/>
              </w:rPr>
              <w:t>Tenant-aware mapping and configuration</w:t>
            </w:r>
          </w:p>
        </w:tc>
      </w:tr>
      <w:tr>
        <w:tc>
          <w:tcPr>
            <w:tcW w:type="dxa" w:w="3312"/>
            <w:vAlign w:val="center"/>
          </w:tcPr>
          <w:p>
            <w:r/>
            <w:r>
              <w:rPr>
                <w:rFonts w:ascii="Aptos" w:hAnsi="Aptos"/>
                <w:b w:val="0"/>
                <w:sz w:val="18"/>
              </w:rPr>
              <w:t>Secrets/KMS</w:t>
            </w:r>
          </w:p>
        </w:tc>
        <w:tc>
          <w:tcPr>
            <w:tcW w:type="dxa" w:w="3312"/>
            <w:vAlign w:val="center"/>
          </w:tcPr>
          <w:p>
            <w:r/>
            <w:r>
              <w:rPr>
                <w:rFonts w:ascii="Aptos" w:hAnsi="Aptos"/>
                <w:b w:val="0"/>
                <w:sz w:val="18"/>
              </w:rPr>
              <w:t>Cloud KMS, Vault, managed secrets</w:t>
            </w:r>
          </w:p>
        </w:tc>
        <w:tc>
          <w:tcPr>
            <w:tcW w:type="dxa" w:w="3312"/>
            <w:vAlign w:val="center"/>
          </w:tcPr>
          <w:p>
            <w:r/>
            <w:r>
              <w:rPr>
                <w:rFonts w:ascii="Aptos" w:hAnsi="Aptos"/>
                <w:b w:val="0"/>
                <w:sz w:val="18"/>
              </w:rPr>
              <w:t>Scoped access and operator documentation</w:t>
            </w:r>
          </w:p>
        </w:tc>
      </w:tr>
      <w:tr>
        <w:tc>
          <w:tcPr>
            <w:tcW w:type="dxa" w:w="3312"/>
            <w:vAlign w:val="center"/>
          </w:tcPr>
          <w:p>
            <w:r/>
            <w:r>
              <w:rPr>
                <w:rFonts w:ascii="Aptos" w:hAnsi="Aptos"/>
                <w:b w:val="0"/>
                <w:sz w:val="18"/>
              </w:rPr>
              <w:t>Observability</w:t>
            </w:r>
          </w:p>
        </w:tc>
        <w:tc>
          <w:tcPr>
            <w:tcW w:type="dxa" w:w="3312"/>
            <w:vAlign w:val="center"/>
          </w:tcPr>
          <w:p>
            <w:r/>
            <w:r>
              <w:rPr>
                <w:rFonts w:ascii="Aptos" w:hAnsi="Aptos"/>
                <w:b w:val="0"/>
                <w:sz w:val="18"/>
              </w:rPr>
              <w:t>OpenTelemetry, Prometheus, vendor sinks</w:t>
            </w:r>
          </w:p>
        </w:tc>
        <w:tc>
          <w:tcPr>
            <w:tcW w:type="dxa" w:w="3312"/>
            <w:vAlign w:val="center"/>
          </w:tcPr>
          <w:p>
            <w:r/>
            <w:r>
              <w:rPr>
                <w:rFonts w:ascii="Aptos" w:hAnsi="Aptos"/>
                <w:b w:val="0"/>
                <w:sz w:val="18"/>
              </w:rPr>
              <w:t>Tracing and metrics must remain provider-agnostic</w:t>
            </w:r>
          </w:p>
        </w:tc>
      </w:tr>
    </w:tbl>
    <w:p>
      <w:r>
        <w:t>Each adapter must define configuration schema, health checks, observability hooks, contract tests, failure behavior, support status, and ownership.</w:t>
      </w:r>
    </w:p>
    <w:p>
      <w:pPr>
        <w:pStyle w:val="Heading1"/>
      </w:pPr>
      <w:r>
        <w:t>11. Information Architecture</w:t>
      </w:r>
    </w:p>
    <w:p>
      <w:pPr>
        <w:pStyle w:val="ListBullet"/>
      </w:pPr>
      <w:r>
        <w:rPr>
          <w:b/>
        </w:rPr>
        <w:t xml:space="preserve">Public web IA: </w:t>
      </w:r>
      <w:r>
        <w:t>Home, Product, Security, Trust/Compliance, Developer, Installation, Legal, Privacy, Contact, Status, Release Notes</w:t>
      </w:r>
    </w:p>
    <w:p>
      <w:pPr>
        <w:pStyle w:val="ListBullet"/>
      </w:pPr>
      <w:r>
        <w:rPr>
          <w:b/>
        </w:rPr>
        <w:t xml:space="preserve">Application IA: </w:t>
      </w:r>
      <w:r>
        <w:t>Dashboard, Tenant Settings, Identity, Users, Roles, Themes, Plugins, Developer Access, Queue/Async, Audit, Billing</w:t>
      </w:r>
    </w:p>
    <w:p>
      <w:pPr>
        <w:pStyle w:val="ListBullet"/>
      </w:pPr>
      <w:r>
        <w:rPr>
          <w:b/>
        </w:rPr>
        <w:t xml:space="preserve">Developer IA: </w:t>
      </w:r>
      <w:r>
        <w:t>Quick start, auth guide, API reference, SDKs, events/webhooks, plugin SDK, theme guide, install guide, migration notes</w:t>
      </w:r>
    </w:p>
    <w:p>
      <w:pPr>
        <w:pStyle w:val="ListBullet"/>
      </w:pPr>
      <w:r>
        <w:rPr>
          <w:b/>
        </w:rPr>
        <w:t xml:space="preserve">Documentation IA: </w:t>
      </w:r>
      <w:r>
        <w:t>Install, operate, secure, upgrade, extend, troubleshoot</w:t>
      </w:r>
    </w:p>
    <w:p>
      <w:pPr>
        <w:pStyle w:val="Heading1"/>
      </w:pPr>
      <w:r>
        <w:t>12. UX and Design Specification</w:t>
      </w:r>
    </w:p>
    <w:p>
      <w:pPr>
        <w:pStyle w:val="ListBullet"/>
      </w:pPr>
      <w:r>
        <w:t>The product must feel trustworthy, calm, precise, and enterprise-ready rather than experimental or consumer-like.</w:t>
      </w:r>
    </w:p>
    <w:p>
      <w:pPr>
        <w:pStyle w:val="ListBullet"/>
      </w:pPr>
      <w:r>
        <w:t>Tenant context must always be visible in admin and operational views.</w:t>
      </w:r>
    </w:p>
    <w:p>
      <w:pPr>
        <w:pStyle w:val="ListBullet"/>
      </w:pPr>
      <w:r>
        <w:t>Permission state, destructive impact, and rollout state must be legible before action.</w:t>
      </w:r>
    </w:p>
    <w:p>
      <w:pPr>
        <w:pStyle w:val="ListBullet"/>
      </w:pPr>
      <w:r>
        <w:t>Setup, install, and upgrade flows must read like guided operator workflows, not raw configuration dumps.</w:t>
      </w:r>
    </w:p>
    <w:p>
      <w:pPr>
        <w:pStyle w:val="ListBullet"/>
      </w:pPr>
      <w:r>
        <w:t>Developer-facing surfaces must be concise, copy-pasteable, and high signal.</w:t>
      </w:r>
    </w:p>
    <w:p>
      <w:pPr>
        <w:pStyle w:val="ListBullet"/>
      </w:pPr>
      <w:r>
        <w:t>Public legal and trust pages must look deliberate and readable, not neglected.</w:t>
      </w:r>
    </w:p>
    <w:p>
      <w:pPr>
        <w:pStyle w:val="Heading1"/>
      </w:pPr>
      <w:r>
        <w:t>13. Public Website and Brand Specification</w:t>
      </w:r>
    </w:p>
    <w:p>
      <w:pPr>
        <w:pStyle w:val="ListBullet"/>
      </w:pPr>
      <w:r>
        <w:t>The website must provide product narrative, feature overview, developer entry, installation path, trust center, legal pages, contact, and status discoverability.</w:t>
      </w:r>
    </w:p>
    <w:p>
      <w:pPr>
        <w:pStyle w:val="ListBullet"/>
      </w:pPr>
      <w:r>
        <w:t>Footer must include product, developers, installation, plugins, security, trust, legal, contact, and support routes.</w:t>
      </w:r>
    </w:p>
    <w:p>
      <w:pPr>
        <w:pStyle w:val="ListBullet"/>
      </w:pPr>
      <w:r>
        <w:t>The public brand must align with product reality; unsupported claims are prohibited.</w:t>
      </w:r>
    </w:p>
    <w:p>
      <w:pPr>
        <w:pStyle w:val="ListBullet"/>
      </w:pPr>
      <w:r>
        <w:t>If self-hosting is supported, the installation page and operator docs are part of the product promise.</w:t>
      </w:r>
    </w:p>
    <w:p>
      <w:pPr>
        <w:pStyle w:val="Heading1"/>
      </w:pPr>
      <w:r>
        <w:t>14. Legal and Trust Specification</w:t>
      </w:r>
    </w:p>
    <w:p>
      <w:pPr>
        <w:pStyle w:val="ListBullet"/>
      </w:pPr>
      <w:r>
        <w:t>Mandatory pages: Terms of Service, Privacy Policy, Cookie Policy where applicable, Legal hub, Trust/Security page, Contact information, and DPA information where relevant.</w:t>
      </w:r>
    </w:p>
    <w:p>
      <w:pPr>
        <w:pStyle w:val="ListBullet"/>
      </w:pPr>
      <w:r>
        <w:t>Claims about compliance, security, privacy, or AI usage require review by appropriate owners.</w:t>
      </w:r>
    </w:p>
    <w:p>
      <w:pPr>
        <w:pStyle w:val="ListBullet"/>
      </w:pPr>
      <w:r>
        <w:t>Signup and relevant user/account flows must link to the necessary legal surfaces.</w:t>
      </w:r>
    </w:p>
    <w:p>
      <w:pPr>
        <w:pStyle w:val="Heading1"/>
      </w:pPr>
      <w:r>
        <w:t>15. Security and Privacy Product Specification</w:t>
      </w:r>
    </w:p>
    <w:p>
      <w:pPr>
        <w:pStyle w:val="ListBullet"/>
      </w:pPr>
      <w:r>
        <w:t>Customer-facing security controls must include MFA support, SSO, session visibility, audit access, and clear admin ownership.</w:t>
      </w:r>
    </w:p>
    <w:p>
      <w:pPr>
        <w:pStyle w:val="ListBullet"/>
      </w:pPr>
      <w:r>
        <w:t>Support and break-glass access must be time-bounded, least-privilege, approved, and auditable.</w:t>
      </w:r>
    </w:p>
    <w:p>
      <w:pPr>
        <w:pStyle w:val="ListBullet"/>
      </w:pPr>
      <w:r>
        <w:t>Plugins, themes, and integrations are security boundaries and must be treated as such.</w:t>
      </w:r>
    </w:p>
    <w:p>
      <w:pPr>
        <w:pStyle w:val="ListBullet"/>
      </w:pPr>
      <w:r>
        <w:t>Privacy behavior must be explainable to customers and enforceable in data export, deletion, and retention workflows.</w:t>
      </w:r>
    </w:p>
    <w:p>
      <w:pPr>
        <w:pStyle w:val="Heading1"/>
      </w:pPr>
      <w:r>
        <w:t>16. Service Domain Specification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8FB"/>
          </w:tcPr>
          <w:p>
            <w:r/>
            <w:r>
              <w:rPr>
                <w:rFonts w:ascii="Aptos" w:hAnsi="Aptos"/>
                <w:b/>
                <w:sz w:val="20"/>
              </w:rPr>
              <w:t>Service</w:t>
            </w:r>
          </w:p>
        </w:tc>
        <w:tc>
          <w:tcPr>
            <w:tcW w:type="dxa" w:w="3312"/>
            <w:vAlign w:val="center"/>
            <w:shd w:fill="D9E8FB"/>
          </w:tcPr>
          <w:p>
            <w:r/>
            <w:r>
              <w:rPr>
                <w:rFonts w:ascii="Aptos" w:hAnsi="Aptos"/>
                <w:b/>
                <w:sz w:val="20"/>
              </w:rPr>
              <w:t>Purpose</w:t>
            </w:r>
          </w:p>
        </w:tc>
        <w:tc>
          <w:tcPr>
            <w:tcW w:type="dxa" w:w="3312"/>
            <w:vAlign w:val="center"/>
            <w:shd w:fill="D9E8FB"/>
          </w:tcPr>
          <w:p>
            <w:r/>
            <w:r>
              <w:rPr>
                <w:rFonts w:ascii="Aptos" w:hAnsi="Aptos"/>
                <w:b/>
                <w:sz w:val="20"/>
              </w:rPr>
              <w:t>Owned domain artifacts</w:t>
            </w:r>
          </w:p>
        </w:tc>
      </w:tr>
      <w:tr>
        <w:tc>
          <w:tcPr>
            <w:tcW w:type="dxa" w:w="3312"/>
            <w:vAlign w:val="center"/>
          </w:tcPr>
          <w:p>
            <w:r/>
            <w:r>
              <w:rPr>
                <w:rFonts w:ascii="Aptos" w:hAnsi="Aptos"/>
                <w:b w:val="0"/>
                <w:sz w:val="18"/>
              </w:rPr>
              <w:t>Identity service</w:t>
            </w:r>
          </w:p>
        </w:tc>
        <w:tc>
          <w:tcPr>
            <w:tcW w:type="dxa" w:w="3312"/>
            <w:vAlign w:val="center"/>
          </w:tcPr>
          <w:p>
            <w:r/>
            <w:r>
              <w:rPr>
                <w:rFonts w:ascii="Aptos" w:hAnsi="Aptos"/>
                <w:b w:val="0"/>
                <w:sz w:val="18"/>
              </w:rPr>
              <w:t>Auth, sessions, MFA, federation</w:t>
            </w:r>
          </w:p>
        </w:tc>
        <w:tc>
          <w:tcPr>
            <w:tcW w:type="dxa" w:w="3312"/>
            <w:vAlign w:val="center"/>
          </w:tcPr>
          <w:p>
            <w:r/>
            <w:r>
              <w:rPr>
                <w:rFonts w:ascii="Aptos" w:hAnsi="Aptos"/>
                <w:b w:val="0"/>
                <w:sz w:val="18"/>
              </w:rPr>
              <w:t>identity_* tables, auth APIs, token/session events</w:t>
            </w:r>
          </w:p>
        </w:tc>
      </w:tr>
      <w:tr>
        <w:tc>
          <w:tcPr>
            <w:tcW w:type="dxa" w:w="3312"/>
            <w:vAlign w:val="center"/>
          </w:tcPr>
          <w:p>
            <w:r/>
            <w:r>
              <w:rPr>
                <w:rFonts w:ascii="Aptos" w:hAnsi="Aptos"/>
                <w:b w:val="0"/>
                <w:sz w:val="18"/>
              </w:rPr>
              <w:t>Tenant service</w:t>
            </w:r>
          </w:p>
        </w:tc>
        <w:tc>
          <w:tcPr>
            <w:tcW w:type="dxa" w:w="3312"/>
            <w:vAlign w:val="center"/>
          </w:tcPr>
          <w:p>
            <w:r/>
            <w:r>
              <w:rPr>
                <w:rFonts w:ascii="Aptos" w:hAnsi="Aptos"/>
                <w:b w:val="0"/>
                <w:sz w:val="18"/>
              </w:rPr>
              <w:t>Tenant lifecycle, settings, quotas</w:t>
            </w:r>
          </w:p>
        </w:tc>
        <w:tc>
          <w:tcPr>
            <w:tcW w:type="dxa" w:w="3312"/>
            <w:vAlign w:val="center"/>
          </w:tcPr>
          <w:p>
            <w:r/>
            <w:r>
              <w:rPr>
                <w:rFonts w:ascii="Aptos" w:hAnsi="Aptos"/>
                <w:b w:val="0"/>
                <w:sz w:val="18"/>
              </w:rPr>
              <w:t>tenant_* tables, tenant APIs, lifecycle events</w:t>
            </w:r>
          </w:p>
        </w:tc>
      </w:tr>
      <w:tr>
        <w:tc>
          <w:tcPr>
            <w:tcW w:type="dxa" w:w="3312"/>
            <w:vAlign w:val="center"/>
          </w:tcPr>
          <w:p>
            <w:r/>
            <w:r>
              <w:rPr>
                <w:rFonts w:ascii="Aptos" w:hAnsi="Aptos"/>
                <w:b w:val="0"/>
                <w:sz w:val="18"/>
              </w:rPr>
              <w:t>Policy service</w:t>
            </w:r>
          </w:p>
        </w:tc>
        <w:tc>
          <w:tcPr>
            <w:tcW w:type="dxa" w:w="3312"/>
            <w:vAlign w:val="center"/>
          </w:tcPr>
          <w:p>
            <w:r/>
            <w:r>
              <w:rPr>
                <w:rFonts w:ascii="Aptos" w:hAnsi="Aptos"/>
                <w:b w:val="0"/>
                <w:sz w:val="18"/>
              </w:rPr>
              <w:t>Roles, permissions, policy evaluation</w:t>
            </w:r>
          </w:p>
        </w:tc>
        <w:tc>
          <w:tcPr>
            <w:tcW w:type="dxa" w:w="3312"/>
            <w:vAlign w:val="center"/>
          </w:tcPr>
          <w:p>
            <w:r/>
            <w:r>
              <w:rPr>
                <w:rFonts w:ascii="Aptos" w:hAnsi="Aptos"/>
                <w:b w:val="0"/>
                <w:sz w:val="18"/>
              </w:rPr>
              <w:t>policy_* tables, policy APIs, decision events</w:t>
            </w:r>
          </w:p>
        </w:tc>
      </w:tr>
      <w:tr>
        <w:tc>
          <w:tcPr>
            <w:tcW w:type="dxa" w:w="3312"/>
            <w:vAlign w:val="center"/>
          </w:tcPr>
          <w:p>
            <w:r/>
            <w:r>
              <w:rPr>
                <w:rFonts w:ascii="Aptos" w:hAnsi="Aptos"/>
                <w:b w:val="0"/>
                <w:sz w:val="18"/>
              </w:rPr>
              <w:t>Theme service</w:t>
            </w:r>
          </w:p>
        </w:tc>
        <w:tc>
          <w:tcPr>
            <w:tcW w:type="dxa" w:w="3312"/>
            <w:vAlign w:val="center"/>
          </w:tcPr>
          <w:p>
            <w:r/>
            <w:r>
              <w:rPr>
                <w:rFonts w:ascii="Aptos" w:hAnsi="Aptos"/>
                <w:b w:val="0"/>
                <w:sz w:val="18"/>
              </w:rPr>
              <w:t>Theme tokens, previews, publish/rollback</w:t>
            </w:r>
          </w:p>
        </w:tc>
        <w:tc>
          <w:tcPr>
            <w:tcW w:type="dxa" w:w="3312"/>
            <w:vAlign w:val="center"/>
          </w:tcPr>
          <w:p>
            <w:r/>
            <w:r>
              <w:rPr>
                <w:rFonts w:ascii="Aptos" w:hAnsi="Aptos"/>
                <w:b w:val="0"/>
                <w:sz w:val="18"/>
              </w:rPr>
              <w:t>theme_* tables, theme APIs, publish events</w:t>
            </w:r>
          </w:p>
        </w:tc>
      </w:tr>
      <w:tr>
        <w:tc>
          <w:tcPr>
            <w:tcW w:type="dxa" w:w="3312"/>
            <w:vAlign w:val="center"/>
          </w:tcPr>
          <w:p>
            <w:r/>
            <w:r>
              <w:rPr>
                <w:rFonts w:ascii="Aptos" w:hAnsi="Aptos"/>
                <w:b w:val="0"/>
                <w:sz w:val="18"/>
              </w:rPr>
              <w:t>Plugin service</w:t>
            </w:r>
          </w:p>
        </w:tc>
        <w:tc>
          <w:tcPr>
            <w:tcW w:type="dxa" w:w="3312"/>
            <w:vAlign w:val="center"/>
          </w:tcPr>
          <w:p>
            <w:r/>
            <w:r>
              <w:rPr>
                <w:rFonts w:ascii="Aptos" w:hAnsi="Aptos"/>
                <w:b w:val="0"/>
                <w:sz w:val="18"/>
              </w:rPr>
              <w:t>Registry, manifests, install/enable state</w:t>
            </w:r>
          </w:p>
        </w:tc>
        <w:tc>
          <w:tcPr>
            <w:tcW w:type="dxa" w:w="3312"/>
            <w:vAlign w:val="center"/>
          </w:tcPr>
          <w:p>
            <w:r/>
            <w:r>
              <w:rPr>
                <w:rFonts w:ascii="Aptos" w:hAnsi="Aptos"/>
                <w:b w:val="0"/>
                <w:sz w:val="18"/>
              </w:rPr>
              <w:t>plugin_* tables, plugin APIs, lifecycle events</w:t>
            </w:r>
          </w:p>
        </w:tc>
      </w:tr>
      <w:tr>
        <w:tc>
          <w:tcPr>
            <w:tcW w:type="dxa" w:w="3312"/>
            <w:vAlign w:val="center"/>
          </w:tcPr>
          <w:p>
            <w:r/>
            <w:r>
              <w:rPr>
                <w:rFonts w:ascii="Aptos" w:hAnsi="Aptos"/>
                <w:b w:val="0"/>
                <w:sz w:val="18"/>
              </w:rPr>
              <w:t>Queue service</w:t>
            </w:r>
          </w:p>
        </w:tc>
        <w:tc>
          <w:tcPr>
            <w:tcW w:type="dxa" w:w="3312"/>
            <w:vAlign w:val="center"/>
          </w:tcPr>
          <w:p>
            <w:r/>
            <w:r>
              <w:rPr>
                <w:rFonts w:ascii="Aptos" w:hAnsi="Aptos"/>
                <w:b w:val="0"/>
                <w:sz w:val="18"/>
              </w:rPr>
              <w:t>Messaging abstraction and adapter config</w:t>
            </w:r>
          </w:p>
        </w:tc>
        <w:tc>
          <w:tcPr>
            <w:tcW w:type="dxa" w:w="3312"/>
            <w:vAlign w:val="center"/>
          </w:tcPr>
          <w:p>
            <w:r/>
            <w:r>
              <w:rPr>
                <w:rFonts w:ascii="Aptos" w:hAnsi="Aptos"/>
                <w:b w:val="0"/>
                <w:sz w:val="18"/>
              </w:rPr>
              <w:t>queue_* tables/config, queue APIs, delivery events</w:t>
            </w:r>
          </w:p>
        </w:tc>
      </w:tr>
      <w:tr>
        <w:tc>
          <w:tcPr>
            <w:tcW w:type="dxa" w:w="3312"/>
            <w:vAlign w:val="center"/>
          </w:tcPr>
          <w:p>
            <w:r/>
            <w:r>
              <w:rPr>
                <w:rFonts w:ascii="Aptos" w:hAnsi="Aptos"/>
                <w:b w:val="0"/>
                <w:sz w:val="18"/>
              </w:rPr>
              <w:t>Audit service</w:t>
            </w:r>
          </w:p>
        </w:tc>
        <w:tc>
          <w:tcPr>
            <w:tcW w:type="dxa" w:w="3312"/>
            <w:vAlign w:val="center"/>
          </w:tcPr>
          <w:p>
            <w:r/>
            <w:r>
              <w:rPr>
                <w:rFonts w:ascii="Aptos" w:hAnsi="Aptos"/>
                <w:b w:val="0"/>
                <w:sz w:val="18"/>
              </w:rPr>
              <w:t>Immutable operational and admin audit</w:t>
            </w:r>
          </w:p>
        </w:tc>
        <w:tc>
          <w:tcPr>
            <w:tcW w:type="dxa" w:w="3312"/>
            <w:vAlign w:val="center"/>
          </w:tcPr>
          <w:p>
            <w:r/>
            <w:r>
              <w:rPr>
                <w:rFonts w:ascii="Aptos" w:hAnsi="Aptos"/>
                <w:b w:val="0"/>
                <w:sz w:val="18"/>
              </w:rPr>
              <w:t>audit_* tables, audit APIs, export pipelines</w:t>
            </w:r>
          </w:p>
        </w:tc>
      </w:tr>
      <w:tr>
        <w:tc>
          <w:tcPr>
            <w:tcW w:type="dxa" w:w="3312"/>
            <w:vAlign w:val="center"/>
          </w:tcPr>
          <w:p>
            <w:r/>
            <w:r>
              <w:rPr>
                <w:rFonts w:ascii="Aptos" w:hAnsi="Aptos"/>
                <w:b w:val="0"/>
                <w:sz w:val="18"/>
              </w:rPr>
              <w:t>Developer portal service</w:t>
            </w:r>
          </w:p>
        </w:tc>
        <w:tc>
          <w:tcPr>
            <w:tcW w:type="dxa" w:w="3312"/>
            <w:vAlign w:val="center"/>
          </w:tcPr>
          <w:p>
            <w:r/>
            <w:r>
              <w:rPr>
                <w:rFonts w:ascii="Aptos" w:hAnsi="Aptos"/>
                <w:b w:val="0"/>
                <w:sz w:val="18"/>
              </w:rPr>
              <w:t>Docs, catalog, release notes, SDK metadata</w:t>
            </w:r>
          </w:p>
        </w:tc>
        <w:tc>
          <w:tcPr>
            <w:tcW w:type="dxa" w:w="3312"/>
            <w:vAlign w:val="center"/>
          </w:tcPr>
          <w:p>
            <w:r/>
            <w:r>
              <w:rPr>
                <w:rFonts w:ascii="Aptos" w:hAnsi="Aptos"/>
                <w:b w:val="0"/>
                <w:sz w:val="18"/>
              </w:rPr>
              <w:t>developer_* tables/content, portal APIs</w:t>
            </w:r>
          </w:p>
        </w:tc>
      </w:tr>
    </w:tbl>
    <w:p>
      <w:pPr>
        <w:pStyle w:val="Heading1"/>
      </w:pPr>
      <w:r>
        <w:t>17. Data Model Standard</w:t>
      </w:r>
    </w:p>
    <w:p>
      <w:pPr>
        <w:pStyle w:val="ListBullet"/>
      </w:pPr>
      <w:r>
        <w:t>Each persistent entity should define ID, tenant_id where applicable, created_at, updated_at, created_by, updated_by, state/status, and version/revision where needed.</w:t>
      </w:r>
    </w:p>
    <w:p>
      <w:pPr>
        <w:pStyle w:val="ListBullet"/>
      </w:pPr>
      <w:r>
        <w:t>Timestamps must be stored in UTC and rendered in user locale.</w:t>
      </w:r>
    </w:p>
    <w:p>
      <w:pPr>
        <w:pStyle w:val="ListBullet"/>
      </w:pPr>
      <w:r>
        <w:t>Soft-delete, hard-delete, retention, and restore rules must be explicitly defined per domain.</w:t>
      </w:r>
    </w:p>
    <w:p>
      <w:pPr>
        <w:pStyle w:val="ListBullet"/>
      </w:pPr>
      <w:r>
        <w:t>Cross-service references should store external IDs rather than relational dependencies.</w:t>
      </w:r>
    </w:p>
    <w:p>
      <w:pPr>
        <w:pStyle w:val="Heading1"/>
      </w:pPr>
      <w:r>
        <w:t>18. API Product Specification</w:t>
      </w:r>
    </w:p>
    <w:p>
      <w:pPr>
        <w:pStyle w:val="ListBullet"/>
      </w:pPr>
      <w:r>
        <w:t>Public APIs, partner APIs, and internal APIs must be distinguished and governed differently.</w:t>
      </w:r>
    </w:p>
    <w:p>
      <w:pPr>
        <w:pStyle w:val="ListBullet"/>
      </w:pPr>
      <w:r>
        <w:t>Every endpoint must document tenant scope, auth requirements, permissions, request/response schema, error contract, rate limits, and audit behavior.</w:t>
      </w:r>
    </w:p>
    <w:p>
      <w:pPr>
        <w:pStyle w:val="ListBullet"/>
      </w:pPr>
      <w:r>
        <w:t>The API product should include service accounts, webhooks/events, SDKs, example code, and migration guidance.</w:t>
      </w:r>
    </w:p>
    <w:p>
      <w:pPr>
        <w:pStyle w:val="ListBullet"/>
      </w:pPr>
      <w:r>
        <w:t>Idempotency and backward compatibility must be explicit rather than implied.</w:t>
      </w:r>
    </w:p>
    <w:p>
      <w:pPr>
        <w:pStyle w:val="Heading1"/>
      </w:pPr>
      <w:r>
        <w:t>19. Developer Experience Specification</w:t>
      </w:r>
    </w:p>
    <w:p>
      <w:pPr>
        <w:pStyle w:val="ListBullet"/>
      </w:pPr>
      <w:r>
        <w:t>Developers must have access to sandbox tenants or equivalent safe test environments.</w:t>
      </w:r>
    </w:p>
    <w:p>
      <w:pPr>
        <w:pStyle w:val="ListBullet"/>
      </w:pPr>
      <w:r>
        <w:t>Docs must prioritize quick start, copy-paste examples, runnable SDK snippets, and common troubleshooting.</w:t>
      </w:r>
    </w:p>
    <w:p>
      <w:pPr>
        <w:pStyle w:val="ListBullet"/>
      </w:pPr>
      <w:r>
        <w:t>Plugin and theme development must be supported by SDKs, contract tests, and compatibility tooling.</w:t>
      </w:r>
    </w:p>
    <w:p>
      <w:pPr>
        <w:pStyle w:val="ListBullet"/>
      </w:pPr>
      <w:r>
        <w:t>Release notes must call out breaking changes, migration steps, and adapter impact.</w:t>
      </w:r>
    </w:p>
    <w:p>
      <w:pPr>
        <w:pStyle w:val="Heading1"/>
      </w:pPr>
      <w:r>
        <w:t>20. Plugin Ecosystem Specification</w:t>
      </w:r>
    </w:p>
    <w:p>
      <w:pPr>
        <w:pStyle w:val="ListBullet"/>
      </w:pPr>
      <w:r>
        <w:t>The platform must define a plugin lifecycle: develop, package, validate, sign, publish, install, configure, enable, monitor, disable, and uninstall.</w:t>
      </w:r>
    </w:p>
    <w:p>
      <w:pPr>
        <w:pStyle w:val="ListBullet"/>
      </w:pPr>
      <w:r>
        <w:t>If a marketplace is offered, publisher identity, permissions, compatibility, support ownership, and takedown policy must be visible to customers.</w:t>
      </w:r>
    </w:p>
    <w:p>
      <w:pPr>
        <w:pStyle w:val="ListBullet"/>
      </w:pPr>
      <w:r>
        <w:t>Plugin runtime isolation, quotas, crash containment, and secret handling are required platform features.</w:t>
      </w:r>
    </w:p>
    <w:p>
      <w:pPr>
        <w:pStyle w:val="Heading1"/>
      </w:pPr>
      <w:r>
        <w:t>21. Theme System Specification</w:t>
      </w:r>
    </w:p>
    <w:p>
      <w:pPr>
        <w:pStyle w:val="ListBullet"/>
      </w:pPr>
      <w:r>
        <w:t>The theme system must be token-based and versioned.</w:t>
      </w:r>
    </w:p>
    <w:p>
      <w:pPr>
        <w:pStyle w:val="ListBullet"/>
      </w:pPr>
      <w:r>
        <w:t>Themes must support preview, validation, publish, rollback, and compatibility with current product version.</w:t>
      </w:r>
    </w:p>
    <w:p>
      <w:pPr>
        <w:pStyle w:val="ListBullet"/>
      </w:pPr>
      <w:r>
        <w:t>Protected zones must prevent removal of required legal links, security warnings, or environment identity cues.</w:t>
      </w:r>
    </w:p>
    <w:p>
      <w:pPr>
        <w:pStyle w:val="Heading1"/>
      </w:pPr>
      <w:r>
        <w:t>22. Installation and Operations Product Specification</w:t>
      </w:r>
    </w:p>
    <w:p>
      <w:pPr>
        <w:pStyle w:val="ListBullet"/>
      </w:pPr>
      <w:r>
        <w:t>Installation must be a guided operator experience, not a hidden engineering exercise.</w:t>
      </w:r>
    </w:p>
    <w:p>
      <w:pPr>
        <w:pStyle w:val="ListBullet"/>
      </w:pPr>
      <w:r>
        <w:t>Operator flows must include dependency validation, configuration review, secret handling guidance, health checks, and post-install verification.</w:t>
      </w:r>
    </w:p>
    <w:p>
      <w:pPr>
        <w:pStyle w:val="ListBullet"/>
      </w:pPr>
      <w:r>
        <w:t>Upgrade and rollback flows must be documented and tested for supported deployment models.</w:t>
      </w:r>
    </w:p>
    <w:p>
      <w:pPr>
        <w:pStyle w:val="Heading1"/>
      </w:pPr>
      <w:r>
        <w:t>23. Queue and Async Product Specification</w:t>
      </w:r>
    </w:p>
    <w:p>
      <w:pPr>
        <w:pStyle w:val="ListBullet"/>
      </w:pPr>
      <w:r>
        <w:t>Async processing must distinguish commands/jobs from events and document when each pattern is used.</w:t>
      </w:r>
    </w:p>
    <w:p>
      <w:pPr>
        <w:pStyle w:val="ListBullet"/>
      </w:pPr>
      <w:r>
        <w:t>The product must support retries, DLQ, replay strategy where supported, poison message handling, and idempotent consumers where required.</w:t>
      </w:r>
    </w:p>
    <w:p>
      <w:pPr>
        <w:pStyle w:val="ListBullet"/>
      </w:pPr>
      <w:r>
        <w:t>Operator surfaces should expose queue health, lag, failure counts, redrive activity, and adapter-specific diagnostics.</w:t>
      </w:r>
    </w:p>
    <w:p>
      <w:pPr>
        <w:pStyle w:val="Heading1"/>
      </w:pPr>
      <w:r>
        <w:t>24. Reporting, Analytics, and Audit Specification</w:t>
      </w:r>
    </w:p>
    <w:p>
      <w:pPr>
        <w:pStyle w:val="ListBullet"/>
      </w:pPr>
      <w:r>
        <w:t>The product should provide standard dashboards for tenant usage, auth posture, plugin usage, queue health, plan consumption, and operational status.</w:t>
      </w:r>
    </w:p>
    <w:p>
      <w:pPr>
        <w:pStyle w:val="ListBullet"/>
      </w:pPr>
      <w:r>
        <w:t>Audit must be exportable with filters for actor, tenant, action, result, and correlation identifiers.</w:t>
      </w:r>
    </w:p>
    <w:p>
      <w:pPr>
        <w:pStyle w:val="ListBullet"/>
      </w:pPr>
      <w:r>
        <w:t>Reporting models must be built through approved read models or analytics stores, not cross-service SQL joins.</w:t>
      </w:r>
    </w:p>
    <w:p>
      <w:pPr>
        <w:pStyle w:val="Heading1"/>
      </w:pPr>
      <w:r>
        <w:t>25. Support and Customer Success Specification</w:t>
      </w:r>
    </w:p>
    <w:p>
      <w:pPr>
        <w:pStyle w:val="ListBullet"/>
      </w:pPr>
      <w:r>
        <w:t>Support must include scoped access tooling, incident routing, customer communications, and explicit self-hosted support boundaries.</w:t>
      </w:r>
    </w:p>
    <w:p>
      <w:pPr>
        <w:pStyle w:val="ListBullet"/>
      </w:pPr>
      <w:r>
        <w:t>Customer success or implementation workflows should cover onboarding, first integration, first plugin/theme deployment, and upgrade readiness.</w:t>
      </w:r>
    </w:p>
    <w:p>
      <w:pPr>
        <w:pStyle w:val="ListBullet"/>
      </w:pPr>
      <w:r>
        <w:t>Support entitlements should align with commercial packaging and documented SLAs.</w:t>
      </w:r>
    </w:p>
    <w:p>
      <w:pPr>
        <w:pStyle w:val="Heading1"/>
      </w:pPr>
      <w:r>
        <w:t>26. KPIs and Success Metrics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D9E8FB"/>
          </w:tcPr>
          <w:p>
            <w:r/>
            <w:r>
              <w:rPr>
                <w:rFonts w:ascii="Aptos" w:hAnsi="Aptos"/>
                <w:b/>
                <w:sz w:val="20"/>
              </w:rPr>
              <w:t>KPI area</w:t>
            </w:r>
          </w:p>
        </w:tc>
        <w:tc>
          <w:tcPr>
            <w:tcW w:type="dxa" w:w="3312"/>
            <w:vAlign w:val="center"/>
            <w:shd w:fill="D9E8FB"/>
          </w:tcPr>
          <w:p>
            <w:r/>
            <w:r>
              <w:rPr>
                <w:rFonts w:ascii="Aptos" w:hAnsi="Aptos"/>
                <w:b/>
                <w:sz w:val="20"/>
              </w:rPr>
              <w:t>Example measures</w:t>
            </w:r>
          </w:p>
        </w:tc>
        <w:tc>
          <w:tcPr>
            <w:tcW w:type="dxa" w:w="3312"/>
            <w:vAlign w:val="center"/>
            <w:shd w:fill="D9E8FB"/>
          </w:tcPr>
          <w:p>
            <w:r/>
            <w:r>
              <w:rPr>
                <w:rFonts w:ascii="Aptos" w:hAnsi="Aptos"/>
                <w:b/>
                <w:sz w:val="20"/>
              </w:rPr>
              <w:t>Why it matters</w:t>
            </w:r>
          </w:p>
        </w:tc>
      </w:tr>
      <w:tr>
        <w:tc>
          <w:tcPr>
            <w:tcW w:type="dxa" w:w="3312"/>
            <w:vAlign w:val="center"/>
          </w:tcPr>
          <w:p>
            <w:r/>
            <w:r>
              <w:rPr>
                <w:rFonts w:ascii="Aptos" w:hAnsi="Aptos"/>
                <w:b w:val="0"/>
                <w:sz w:val="18"/>
              </w:rPr>
              <w:t>Activation</w:t>
            </w:r>
          </w:p>
        </w:tc>
        <w:tc>
          <w:tcPr>
            <w:tcW w:type="dxa" w:w="3312"/>
            <w:vAlign w:val="center"/>
          </w:tcPr>
          <w:p>
            <w:r/>
            <w:r>
              <w:rPr>
                <w:rFonts w:ascii="Aptos" w:hAnsi="Aptos"/>
                <w:b w:val="0"/>
                <w:sz w:val="18"/>
              </w:rPr>
              <w:t>Time to first tenant activation, time to first successful login, time to first API call</w:t>
            </w:r>
          </w:p>
        </w:tc>
        <w:tc>
          <w:tcPr>
            <w:tcW w:type="dxa" w:w="3312"/>
            <w:vAlign w:val="center"/>
          </w:tcPr>
          <w:p>
            <w:r/>
            <w:r>
              <w:rPr>
                <w:rFonts w:ascii="Aptos" w:hAnsi="Aptos"/>
                <w:b w:val="0"/>
                <w:sz w:val="18"/>
              </w:rPr>
              <w:t>Shows whether the product is adoptable without expert assistance.</w:t>
            </w:r>
          </w:p>
        </w:tc>
      </w:tr>
      <w:tr>
        <w:tc>
          <w:tcPr>
            <w:tcW w:type="dxa" w:w="3312"/>
            <w:vAlign w:val="center"/>
          </w:tcPr>
          <w:p>
            <w:r/>
            <w:r>
              <w:rPr>
                <w:rFonts w:ascii="Aptos" w:hAnsi="Aptos"/>
                <w:b w:val="0"/>
                <w:sz w:val="18"/>
              </w:rPr>
              <w:t>Installation</w:t>
            </w:r>
          </w:p>
        </w:tc>
        <w:tc>
          <w:tcPr>
            <w:tcW w:type="dxa" w:w="3312"/>
            <w:vAlign w:val="center"/>
          </w:tcPr>
          <w:p>
            <w:r/>
            <w:r>
              <w:rPr>
                <w:rFonts w:ascii="Aptos" w:hAnsi="Aptos"/>
                <w:b w:val="0"/>
                <w:sz w:val="18"/>
              </w:rPr>
              <w:t>Bootstrap success rate, dependency validation failure rate, upgrade success rate</w:t>
            </w:r>
          </w:p>
        </w:tc>
        <w:tc>
          <w:tcPr>
            <w:tcW w:type="dxa" w:w="3312"/>
            <w:vAlign w:val="center"/>
          </w:tcPr>
          <w:p>
            <w:r/>
            <w:r>
              <w:rPr>
                <w:rFonts w:ascii="Aptos" w:hAnsi="Aptos"/>
                <w:b w:val="0"/>
                <w:sz w:val="18"/>
              </w:rPr>
              <w:t>Shows whether the product is realistically deployable.</w:t>
            </w:r>
          </w:p>
        </w:tc>
      </w:tr>
      <w:tr>
        <w:tc>
          <w:tcPr>
            <w:tcW w:type="dxa" w:w="3312"/>
            <w:vAlign w:val="center"/>
          </w:tcPr>
          <w:p>
            <w:r/>
            <w:r>
              <w:rPr>
                <w:rFonts w:ascii="Aptos" w:hAnsi="Aptos"/>
                <w:b w:val="0"/>
                <w:sz w:val="18"/>
              </w:rPr>
              <w:t>Admin adoption</w:t>
            </w:r>
          </w:p>
        </w:tc>
        <w:tc>
          <w:tcPr>
            <w:tcW w:type="dxa" w:w="3312"/>
            <w:vAlign w:val="center"/>
          </w:tcPr>
          <w:p>
            <w:r/>
            <w:r>
              <w:rPr>
                <w:rFonts w:ascii="Aptos" w:hAnsi="Aptos"/>
                <w:b w:val="0"/>
                <w:sz w:val="18"/>
              </w:rPr>
              <w:t>Percentage of tenants with MFA enabled, SSO configured, roles reviewed, audit viewed</w:t>
            </w:r>
          </w:p>
        </w:tc>
        <w:tc>
          <w:tcPr>
            <w:tcW w:type="dxa" w:w="3312"/>
            <w:vAlign w:val="center"/>
          </w:tcPr>
          <w:p>
            <w:r/>
            <w:r>
              <w:rPr>
                <w:rFonts w:ascii="Aptos" w:hAnsi="Aptos"/>
                <w:b w:val="0"/>
                <w:sz w:val="18"/>
              </w:rPr>
              <w:t>Shows whether security and governance features are actually being used.</w:t>
            </w:r>
          </w:p>
        </w:tc>
      </w:tr>
      <w:tr>
        <w:tc>
          <w:tcPr>
            <w:tcW w:type="dxa" w:w="3312"/>
            <w:vAlign w:val="center"/>
          </w:tcPr>
          <w:p>
            <w:r/>
            <w:r>
              <w:rPr>
                <w:rFonts w:ascii="Aptos" w:hAnsi="Aptos"/>
                <w:b w:val="0"/>
                <w:sz w:val="18"/>
              </w:rPr>
              <w:t>Developer adoption</w:t>
            </w:r>
          </w:p>
        </w:tc>
        <w:tc>
          <w:tcPr>
            <w:tcW w:type="dxa" w:w="3312"/>
            <w:vAlign w:val="center"/>
          </w:tcPr>
          <w:p>
            <w:r/>
            <w:r>
              <w:rPr>
                <w:rFonts w:ascii="Aptos" w:hAnsi="Aptos"/>
                <w:b w:val="0"/>
                <w:sz w:val="18"/>
              </w:rPr>
              <w:t>API token creation rate, sandbox usage, SDK usage, webhook or plugin adoption</w:t>
            </w:r>
          </w:p>
        </w:tc>
        <w:tc>
          <w:tcPr>
            <w:tcW w:type="dxa" w:w="3312"/>
            <w:vAlign w:val="center"/>
          </w:tcPr>
          <w:p>
            <w:r/>
            <w:r>
              <w:rPr>
                <w:rFonts w:ascii="Aptos" w:hAnsi="Aptos"/>
                <w:b w:val="0"/>
                <w:sz w:val="18"/>
              </w:rPr>
              <w:t>Shows whether the platform is programmable and ecosystem-ready.</w:t>
            </w:r>
          </w:p>
        </w:tc>
      </w:tr>
      <w:tr>
        <w:tc>
          <w:tcPr>
            <w:tcW w:type="dxa" w:w="3312"/>
            <w:vAlign w:val="center"/>
          </w:tcPr>
          <w:p>
            <w:r/>
            <w:r>
              <w:rPr>
                <w:rFonts w:ascii="Aptos" w:hAnsi="Aptos"/>
                <w:b w:val="0"/>
                <w:sz w:val="18"/>
              </w:rPr>
              <w:t>Reliability</w:t>
            </w:r>
          </w:p>
        </w:tc>
        <w:tc>
          <w:tcPr>
            <w:tcW w:type="dxa" w:w="3312"/>
            <w:vAlign w:val="center"/>
          </w:tcPr>
          <w:p>
            <w:r/>
            <w:r>
              <w:rPr>
                <w:rFonts w:ascii="Aptos" w:hAnsi="Aptos"/>
                <w:b w:val="0"/>
                <w:sz w:val="18"/>
              </w:rPr>
              <w:t>Availability, auth latency, queue backlog thresholds, incident rate, rollback rate</w:t>
            </w:r>
          </w:p>
        </w:tc>
        <w:tc>
          <w:tcPr>
            <w:tcW w:type="dxa" w:w="3312"/>
            <w:vAlign w:val="center"/>
          </w:tcPr>
          <w:p>
            <w:r/>
            <w:r>
              <w:rPr>
                <w:rFonts w:ascii="Aptos" w:hAnsi="Aptos"/>
                <w:b w:val="0"/>
                <w:sz w:val="18"/>
              </w:rPr>
              <w:t>Shows whether customers can trust the product in production.</w:t>
            </w:r>
          </w:p>
        </w:tc>
      </w:tr>
      <w:tr>
        <w:tc>
          <w:tcPr>
            <w:tcW w:type="dxa" w:w="3312"/>
            <w:vAlign w:val="center"/>
          </w:tcPr>
          <w:p>
            <w:r/>
            <w:r>
              <w:rPr>
                <w:rFonts w:ascii="Aptos" w:hAnsi="Aptos"/>
                <w:b w:val="0"/>
                <w:sz w:val="18"/>
              </w:rPr>
              <w:t>Commercial</w:t>
            </w:r>
          </w:p>
        </w:tc>
        <w:tc>
          <w:tcPr>
            <w:tcW w:type="dxa" w:w="3312"/>
            <w:vAlign w:val="center"/>
          </w:tcPr>
          <w:p>
            <w:r/>
            <w:r>
              <w:rPr>
                <w:rFonts w:ascii="Aptos" w:hAnsi="Aptos"/>
                <w:b w:val="0"/>
                <w:sz w:val="18"/>
              </w:rPr>
              <w:t>Trial-to-paid conversion, expansion revenue, premium feature adoption, self-hosted support load</w:t>
            </w:r>
          </w:p>
        </w:tc>
        <w:tc>
          <w:tcPr>
            <w:tcW w:type="dxa" w:w="3312"/>
            <w:vAlign w:val="center"/>
          </w:tcPr>
          <w:p>
            <w:r/>
            <w:r>
              <w:rPr>
                <w:rFonts w:ascii="Aptos" w:hAnsi="Aptos"/>
                <w:b w:val="0"/>
                <w:sz w:val="18"/>
              </w:rPr>
              <w:t>Shows whether packaging and product-market fit are working.</w:t>
            </w:r>
          </w:p>
        </w:tc>
      </w:tr>
    </w:tbl>
    <w:p>
      <w:pPr>
        <w:pStyle w:val="Heading1"/>
      </w:pPr>
      <w:r>
        <w:t>27. Roadmap and Release Model</w:t>
      </w:r>
    </w:p>
    <w:tbl>
      <w:tblPr>
        <w:tblStyle w:val="TableGrid"/>
        <w:tblW w:type="auto" w:w="0"/>
        <w:tblLook w:firstColumn="1" w:firstRow="1" w:lastColumn="0" w:lastRow="0" w:noHBand="0" w:noVBand="1" w:val="04A0"/>
      </w:tblPr>
      <w:tblGrid>
        <w:gridCol w:w="4968"/>
        <w:gridCol w:w="4968"/>
      </w:tblGrid>
      <w:tr>
        <w:tc>
          <w:tcPr>
            <w:tcW w:type="dxa" w:w="4968"/>
            <w:vAlign w:val="center"/>
            <w:shd w:fill="D9E8FB"/>
          </w:tcPr>
          <w:p>
            <w:r/>
            <w:r>
              <w:rPr>
                <w:rFonts w:ascii="Aptos" w:hAnsi="Aptos"/>
                <w:b/>
                <w:sz w:val="20"/>
              </w:rPr>
              <w:t>Phase</w:t>
            </w:r>
          </w:p>
        </w:tc>
        <w:tc>
          <w:tcPr>
            <w:tcW w:type="dxa" w:w="4968"/>
            <w:vAlign w:val="center"/>
            <w:shd w:fill="D9E8FB"/>
          </w:tcPr>
          <w:p>
            <w:r/>
            <w:r>
              <w:rPr>
                <w:rFonts w:ascii="Aptos" w:hAnsi="Aptos"/>
                <w:b/>
                <w:sz w:val="20"/>
              </w:rPr>
              <w:t>Scope</w:t>
            </w:r>
          </w:p>
        </w:tc>
      </w:tr>
      <w:tr>
        <w:tc>
          <w:tcPr>
            <w:tcW w:type="dxa" w:w="4968"/>
            <w:vAlign w:val="center"/>
          </w:tcPr>
          <w:p>
            <w:r/>
            <w:r>
              <w:rPr>
                <w:rFonts w:ascii="Aptos" w:hAnsi="Aptos"/>
                <w:b w:val="0"/>
                <w:sz w:val="18"/>
              </w:rPr>
              <w:t>MVP</w:t>
            </w:r>
          </w:p>
        </w:tc>
        <w:tc>
          <w:tcPr>
            <w:tcW w:type="dxa" w:w="4968"/>
            <w:vAlign w:val="center"/>
          </w:tcPr>
          <w:p>
            <w:r/>
            <w:r>
              <w:rPr>
                <w:rFonts w:ascii="Aptos" w:hAnsi="Aptos"/>
                <w:b w:val="0"/>
                <w:sz w:val="18"/>
              </w:rPr>
              <w:t>Tenant lifecycle, auth, roles, admin console, install/bootstrap, APIs, audit, developer docs, basic theming.</w:t>
            </w:r>
          </w:p>
        </w:tc>
      </w:tr>
      <w:tr>
        <w:tc>
          <w:tcPr>
            <w:tcW w:type="dxa" w:w="4968"/>
            <w:vAlign w:val="center"/>
          </w:tcPr>
          <w:p>
            <w:r/>
            <w:r>
              <w:rPr>
                <w:rFonts w:ascii="Aptos" w:hAnsi="Aptos"/>
                <w:b w:val="0"/>
                <w:sz w:val="18"/>
              </w:rPr>
              <w:t>Phase 2</w:t>
            </w:r>
          </w:p>
        </w:tc>
        <w:tc>
          <w:tcPr>
            <w:tcW w:type="dxa" w:w="4968"/>
            <w:vAlign w:val="center"/>
          </w:tcPr>
          <w:p>
            <w:r/>
            <w:r>
              <w:rPr>
                <w:rFonts w:ascii="Aptos" w:hAnsi="Aptos"/>
                <w:b w:val="0"/>
                <w:sz w:val="18"/>
              </w:rPr>
              <w:t>Plugin framework, queue abstraction, advanced SSO/SCIM, support tooling, richer reporting, upgrade automation.</w:t>
            </w:r>
          </w:p>
        </w:tc>
      </w:tr>
      <w:tr>
        <w:tc>
          <w:tcPr>
            <w:tcW w:type="dxa" w:w="4968"/>
            <w:vAlign w:val="center"/>
          </w:tcPr>
          <w:p>
            <w:r/>
            <w:r>
              <w:rPr>
                <w:rFonts w:ascii="Aptos" w:hAnsi="Aptos"/>
                <w:b w:val="0"/>
                <w:sz w:val="18"/>
              </w:rPr>
              <w:t>Enterprise Premium</w:t>
            </w:r>
          </w:p>
        </w:tc>
        <w:tc>
          <w:tcPr>
            <w:tcW w:type="dxa" w:w="4968"/>
            <w:vAlign w:val="center"/>
          </w:tcPr>
          <w:p>
            <w:r/>
            <w:r>
              <w:rPr>
                <w:rFonts w:ascii="Aptos" w:hAnsi="Aptos"/>
                <w:b w:val="0"/>
                <w:sz w:val="18"/>
              </w:rPr>
              <w:t>Private cloud and self-hosted hardening, premium isolation, advanced compliance evidence, marketplace governance.</w:t>
            </w:r>
          </w:p>
        </w:tc>
      </w:tr>
      <w:tr>
        <w:tc>
          <w:tcPr>
            <w:tcW w:type="dxa" w:w="4968"/>
            <w:vAlign w:val="center"/>
          </w:tcPr>
          <w:p>
            <w:r/>
            <w:r>
              <w:rPr>
                <w:rFonts w:ascii="Aptos" w:hAnsi="Aptos"/>
                <w:b w:val="0"/>
                <w:sz w:val="18"/>
              </w:rPr>
              <w:t>Ecosystem Phase</w:t>
            </w:r>
          </w:p>
        </w:tc>
        <w:tc>
          <w:tcPr>
            <w:tcW w:type="dxa" w:w="4968"/>
            <w:vAlign w:val="center"/>
          </w:tcPr>
          <w:p>
            <w:r/>
            <w:r>
              <w:rPr>
                <w:rFonts w:ascii="Aptos" w:hAnsi="Aptos"/>
                <w:b w:val="0"/>
                <w:sz w:val="18"/>
              </w:rPr>
              <w:t>Marketplace, partner tooling, publisher workflows, advanced theme packs, richer SDKs and extension catalog.</w:t>
            </w:r>
          </w:p>
        </w:tc>
      </w:tr>
      <w:tr>
        <w:tc>
          <w:tcPr>
            <w:tcW w:type="dxa" w:w="4968"/>
            <w:vAlign w:val="center"/>
          </w:tcPr>
          <w:p>
            <w:r/>
            <w:r>
              <w:rPr>
                <w:rFonts w:ascii="Aptos" w:hAnsi="Aptos"/>
                <w:b w:val="0"/>
                <w:sz w:val="18"/>
              </w:rPr>
              <w:t>Global Scale Phase</w:t>
            </w:r>
          </w:p>
        </w:tc>
        <w:tc>
          <w:tcPr>
            <w:tcW w:type="dxa" w:w="4968"/>
            <w:vAlign w:val="center"/>
          </w:tcPr>
          <w:p>
            <w:r/>
            <w:r>
              <w:rPr>
                <w:rFonts w:ascii="Aptos" w:hAnsi="Aptos"/>
                <w:b w:val="0"/>
                <w:sz w:val="18"/>
              </w:rPr>
              <w:t>Expanded residency options, multi-region operations, advanced cost controls, broader adapter library.</w:t>
            </w:r>
          </w:p>
        </w:tc>
      </w:tr>
    </w:tbl>
    <w:p>
      <w:r>
        <w:t>Release model: use phased rollout, documented compatibility windows, beta-to-GA criteria, and change control for APIs, adapters, plugins, and installable editions.</w:t>
      </w:r>
    </w:p>
    <w:p>
      <w:pPr>
        <w:pStyle w:val="Heading1"/>
      </w:pPr>
      <w:r>
        <w:t>28. Risks and Trade-Offs</w:t>
      </w:r>
    </w:p>
    <w:p>
      <w:pPr>
        <w:pStyle w:val="ListBullet"/>
      </w:pPr>
      <w:r>
        <w:t>SaaS plus self-hosted support increases complexity and documentation burden.</w:t>
      </w:r>
    </w:p>
    <w:p>
      <w:pPr>
        <w:pStyle w:val="ListBullet"/>
      </w:pPr>
      <w:r>
        <w:t>Adapter flexibility improves portability but increases test matrix size and operational support cost.</w:t>
      </w:r>
    </w:p>
    <w:p>
      <w:pPr>
        <w:pStyle w:val="ListBullet"/>
      </w:pPr>
      <w:r>
        <w:t>Plugin openness accelerates ecosystem growth but raises security, compatibility, and support risks.</w:t>
      </w:r>
    </w:p>
    <w:p>
      <w:pPr>
        <w:pStyle w:val="ListBullet"/>
      </w:pPr>
      <w:r>
        <w:t>Strict service boundaries improve maintainability but make cross-domain reporting and workflow composition harder.</w:t>
      </w:r>
    </w:p>
    <w:p>
      <w:pPr>
        <w:pStyle w:val="ListBullet"/>
      </w:pPr>
      <w:r>
        <w:t>Theme flexibility helps OEM and enterprise deals but can damage usability if not governed tightly.</w:t>
      </w:r>
    </w:p>
    <w:p>
      <w:pPr>
        <w:pStyle w:val="Heading1"/>
      </w:pPr>
      <w:r>
        <w:t>29. Governance and Change Control</w:t>
      </w:r>
    </w:p>
    <w:p>
      <w:pPr>
        <w:pStyle w:val="ListBullet"/>
      </w:pPr>
      <w:r>
        <w:t>Platform-level auth, API, adapter, and extension changes require architecture, security, product, and operations review.</w:t>
      </w:r>
    </w:p>
    <w:p>
      <w:pPr>
        <w:pStyle w:val="ListBullet"/>
      </w:pPr>
      <w:r>
        <w:t>Legal page changes, privacy disclosures, and public trust claims require legal/privacy review before publication.</w:t>
      </w:r>
    </w:p>
    <w:p>
      <w:pPr>
        <w:pStyle w:val="ListBullet"/>
      </w:pPr>
      <w:r>
        <w:t>New adapter types, plugin extension points, or self-hosted support changes require supportability and documentation review.</w:t>
      </w:r>
    </w:p>
    <w:p>
      <w:pPr>
        <w:pStyle w:val="ListBullet"/>
      </w:pPr>
      <w:r>
        <w:t>Every major decision must have an owner, approval path, and communicated compatibility impact.</w:t>
      </w:r>
    </w:p>
    <w:p>
      <w:pPr>
        <w:pStyle w:val="Heading1"/>
      </w:pPr>
      <w:r>
        <w:t>30. Final Product Definition</w:t>
      </w:r>
    </w:p>
    <w:p>
      <w:r>
        <w:t>This product is a world-class multi-tenant platform and application control plane for enterprise software delivery. It combines tenant lifecycle management, security, installability, APIs, developer tooling, extension governance, public trust surfaces, and operational discipline into one coherent system.</w:t>
      </w:r>
    </w:p>
    <w:p>
      <w:r>
        <w:t>It is not merely a framework, a back-office admin panel, or a collection of infrastructure adapters. It is a sellable, operable, and extensible product.</w:t>
      </w:r>
    </w:p>
    <w:p>
      <w:pPr>
        <w:pStyle w:val="ListBullet"/>
      </w:pPr>
      <w:r>
        <w:t>What it is: a governed multi-tenant product platform with install, admin, developer, trust, and ecosystem surfaces.</w:t>
      </w:r>
    </w:p>
    <w:p>
      <w:pPr>
        <w:pStyle w:val="ListBullet"/>
      </w:pPr>
      <w:r>
        <w:t>What it is not: an unopinionated toolkit, a set of disconnected services, or a marketing-only SaaS façade without operator depth.</w:t>
      </w:r>
    </w:p>
    <w:p>
      <w:pPr>
        <w:pStyle w:val="ListBullet"/>
      </w:pPr>
      <w:r>
        <w:t>Category-defining standard: no feature, integration, plugin, or custom deployment may weaken tenant isolation, product coherence, or public trust.</w:t>
      </w:r>
    </w:p>
    <w:p>
      <w:pPr>
        <w:pStyle w:val="Heading1"/>
      </w:pPr>
      <w:r>
        <w:t>Appendix A. Relationship to Volume 1</w:t>
      </w:r>
    </w:p>
    <w:p>
      <w:r>
        <w:t>Volume 1 remains the binding governance and platform standard for tenant isolation, service boundaries, installation requirements, messaging choices, public trust surfaces, and mandatory controls. Volume 2 should be read as the product-level elaboration of those rules.</w:t>
      </w:r>
    </w:p>
    <w:p>
      <w:pPr>
        <w:pStyle w:val="Heading1"/>
      </w:pPr>
      <w:r>
        <w:t>Appendix B. Recommended Companion Documents</w:t>
      </w:r>
    </w:p>
    <w:p>
      <w:pPr>
        <w:pStyle w:val="ListBullet"/>
      </w:pPr>
      <w:r>
        <w:t>Volume 1: Platform Charter and Governance Standard</w:t>
      </w:r>
    </w:p>
    <w:p>
      <w:pPr>
        <w:pStyle w:val="ListBullet"/>
      </w:pPr>
      <w:r>
        <w:t>System Design Specification</w:t>
      </w:r>
    </w:p>
    <w:p>
      <w:pPr>
        <w:pStyle w:val="ListBullet"/>
      </w:pPr>
      <w:r>
        <w:t>API and Developer Platform Specification</w:t>
      </w:r>
    </w:p>
    <w:p>
      <w:pPr>
        <w:pStyle w:val="ListBullet"/>
      </w:pPr>
      <w:r>
        <w:t>Security and Compliance Control Matrix</w:t>
      </w:r>
    </w:p>
    <w:p>
      <w:pPr>
        <w:pStyle w:val="ListBullet"/>
      </w:pPr>
      <w:r>
        <w:t>Installation and Operations Guide</w:t>
      </w:r>
    </w:p>
    <w:p>
      <w:pPr>
        <w:pStyle w:val="ListBullet"/>
      </w:pPr>
      <w:r>
        <w:t>Plugin and Theme Extension Specification</w:t>
      </w:r>
    </w:p>
    <w:sectPr w:rsidR="00FC693F" w:rsidRPr="0006063C" w:rsidSect="00034616">
      <w:footerReference w:type="default" r:id="rId9"/>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Multi-Tenant Product Platform — Full Product Specification</w:t>
    </w:r>
    <w:r>
      <w:t xml:space="preserv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