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Volume 5</w:t>
        <w:br/>
        <w:t>Security and Compliance Control Matrix</w:t>
      </w:r>
    </w:p>
    <w:p>
      <w:r>
        <w:rPr>
          <w:i/>
        </w:rPr>
        <w:t>Security controls, ownership, evidence, compliance mappings, threat coverage, and operational assurance requirements.</w:t>
      </w:r>
    </w:p>
    <w:p>
      <w:r>
        <w:t>Version 1.0</w:t>
        <w:br/>
        <w:t>Prepared: 23 April 2026</w:t>
        <w:br/>
        <w:t>Status: Draft baseline specification</w:t>
      </w:r>
    </w:p>
    <w:p/>
    <w:p>
      <w:pPr>
        <w:pStyle w:val="Heading2"/>
      </w:pPr>
      <w:r>
        <w:t>Purpose</w:t>
      </w:r>
    </w:p>
    <w:p>
      <w:r>
        <w:t>This document provides a formal specification for the product area named in the title. It is intended to be used by product, design, engineering, security, operations, legal, partner, and customer-facing teams as an implementation and governance baseline.</w:t>
      </w:r>
    </w:p>
    <w:p>
      <w:r>
        <w:br w:type="page"/>
      </w:r>
    </w:p>
    <w:p>
      <w:pPr>
        <w:pStyle w:val="Heading2"/>
      </w:pPr>
      <w:r>
        <w:t>Document structure</w:t>
      </w:r>
    </w:p>
    <w:p>
      <w:pPr>
        <w:pStyle w:val="ListNumber"/>
      </w:pPr>
      <w:r>
        <w:t>Executive security posture</w:t>
      </w:r>
    </w:p>
    <w:p>
      <w:pPr>
        <w:pStyle w:val="ListNumber"/>
      </w:pPr>
      <w:r>
        <w:t>Control model and ownership</w:t>
      </w:r>
    </w:p>
    <w:p>
      <w:pPr>
        <w:pStyle w:val="ListNumber"/>
      </w:pPr>
      <w:r>
        <w:t>Identity and access controls</w:t>
      </w:r>
    </w:p>
    <w:p>
      <w:pPr>
        <w:pStyle w:val="ListNumber"/>
      </w:pPr>
      <w:r>
        <w:t>Data protection controls</w:t>
      </w:r>
    </w:p>
    <w:p>
      <w:pPr>
        <w:pStyle w:val="ListNumber"/>
      </w:pPr>
      <w:r>
        <w:t>Application and platform security controls</w:t>
      </w:r>
    </w:p>
    <w:p>
      <w:pPr>
        <w:pStyle w:val="ListNumber"/>
      </w:pPr>
      <w:r>
        <w:t>Logging, audit, and monitoring controls</w:t>
      </w:r>
    </w:p>
    <w:p>
      <w:pPr>
        <w:pStyle w:val="ListNumber"/>
      </w:pPr>
      <w:r>
        <w:t>Operational resilience controls</w:t>
      </w:r>
    </w:p>
    <w:p>
      <w:pPr>
        <w:pStyle w:val="ListNumber"/>
      </w:pPr>
      <w:r>
        <w:t>Plugin, theme, and extension controls</w:t>
      </w:r>
    </w:p>
    <w:p>
      <w:pPr>
        <w:pStyle w:val="ListNumber"/>
      </w:pPr>
      <w:r>
        <w:t>Compliance mapping matrix</w:t>
      </w:r>
    </w:p>
    <w:p>
      <w:pPr>
        <w:pStyle w:val="ListNumber"/>
      </w:pPr>
      <w:r>
        <w:t>Evidence and review cadence</w:t>
      </w:r>
    </w:p>
    <w:p>
      <w:pPr>
        <w:pStyle w:val="ListNumber"/>
      </w:pPr>
      <w:r>
        <w:t>Exceptions and remediation governance</w:t>
      </w:r>
    </w:p>
    <w:p>
      <w:r>
        <w:br w:type="page"/>
      </w:r>
    </w:p>
    <w:p>
      <w:pPr>
        <w:pStyle w:val="Heading1"/>
      </w:pPr>
      <w:r>
        <w:t>1. Executive security posture</w:t>
      </w:r>
    </w:p>
    <w:p>
      <w:r>
        <w:t>The platform must be operated as a trust-first enterprise product. Security controls are distributed across product design, architecture, operations, legal, customer configuration, and evidence generation. This document provides the control matrix needed for consistent implementation and review.</w:t>
      </w:r>
    </w:p>
    <w:p>
      <w:pPr>
        <w:pStyle w:val="ListBullet"/>
      </w:pPr>
      <w:r>
        <w:t>Security by default, least privilege, explicit trust boundaries, and auditable control operation.</w:t>
      </w:r>
    </w:p>
    <w:p>
      <w:pPr>
        <w:pStyle w:val="ListBullet"/>
      </w:pPr>
      <w:r>
        <w:t>Product controls must distinguish platform-owned, customer-configurable, and operationally enforced controls.</w:t>
      </w:r>
    </w:p>
    <w:p>
      <w:pPr>
        <w:pStyle w:val="ListBullet"/>
      </w:pPr>
      <w:r>
        <w:t>Every claim made in security or compliance materials must map to real control ownership and evidence.</w:t>
      </w:r>
    </w:p>
    <w:p>
      <w:pPr>
        <w:pStyle w:val="Heading1"/>
      </w:pPr>
      <w:r>
        <w:t>2. Control model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Control family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Primary owner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Secondary owner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Evidence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Identity and access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Security engineering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 + ops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Auth logs, role reviews, MFA configuration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Data protection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Platform engineering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Encryption settings, key rotation records, storage policy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Application security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Engineering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Code review, dependency scans, release gates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Audit and logging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Audit/platform team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Security + support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Immutable logs, exports, access records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Operational resilience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SRE/operations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Engineering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Backups, DR tests, runbooks, incident reports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Extension security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Platform architecture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Plugin reviews, manifests, approval records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Legal/privacy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Legal/privacy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Published policies, DPA templates, review approvals</w:t>
            </w:r>
          </w:p>
        </w:tc>
      </w:tr>
    </w:tbl>
    <w:p>
      <w:pPr>
        <w:pStyle w:val="Heading1"/>
      </w:pPr>
      <w:r>
        <w:t>3. Identity and access controls</w:t>
      </w:r>
    </w:p>
    <w:p>
      <w:pPr>
        <w:pStyle w:val="ListBullet"/>
      </w:pPr>
      <w:r>
        <w:t>SSO, OIDC, SAML, MFA, step-up auth, session revocation, and service account scopes must be supported and governed.</w:t>
      </w:r>
    </w:p>
    <w:p>
      <w:pPr>
        <w:pStyle w:val="ListBullet"/>
      </w:pPr>
      <w:r>
        <w:t>Admin boundaries must be explicit: platform admin, tenant admin, org admin, security admin, audit/compliance admin, support roles.</w:t>
      </w:r>
    </w:p>
    <w:p>
      <w:pPr>
        <w:pStyle w:val="ListBullet"/>
      </w:pPr>
      <w:r>
        <w:t>Break-glass access requires approval, time-boxing, audit, and post-use review.</w:t>
      </w:r>
    </w:p>
    <w:p>
      <w:pPr>
        <w:pStyle w:val="ListBullet"/>
      </w:pPr>
      <w:r>
        <w:t>Authorization policy changes are high-risk events and require audit plus appropriate review controls.</w:t>
      </w:r>
    </w:p>
    <w:p>
      <w:pPr>
        <w:pStyle w:val="Heading1"/>
      </w:pPr>
      <w:r>
        <w:t>4. Data protection controls</w:t>
      </w:r>
    </w:p>
    <w:p>
      <w:pPr>
        <w:pStyle w:val="ListBullet"/>
      </w:pPr>
      <w:r>
        <w:t>Encryption in transit and at rest is mandatory for supported deployments.</w:t>
      </w:r>
    </w:p>
    <w:p>
      <w:pPr>
        <w:pStyle w:val="ListBullet"/>
      </w:pPr>
      <w:r>
        <w:t>Secrets must be centrally managed and never exposed to plugins, themes, or unapproved tooling.</w:t>
      </w:r>
    </w:p>
    <w:p>
      <w:pPr>
        <w:pStyle w:val="ListBullet"/>
      </w:pPr>
      <w:r>
        <w:t>Tenant boundaries must be preserved in storage, cache, search, queues, analytics, backups, and exports.</w:t>
      </w:r>
    </w:p>
    <w:p>
      <w:pPr>
        <w:pStyle w:val="ListBullet"/>
      </w:pPr>
      <w:r>
        <w:t>Data lifecycle must define retention, deletion, restore, legal hold, and export behavior.</w:t>
      </w:r>
    </w:p>
    <w:p>
      <w:pPr>
        <w:pStyle w:val="Heading1"/>
      </w:pPr>
      <w:r>
        <w:t>5. Application and platform security controls</w:t>
      </w:r>
    </w:p>
    <w:p>
      <w:pPr>
        <w:pStyle w:val="ListBullet"/>
      </w:pPr>
      <w:r>
        <w:t>Secure SDLC, dependency management, vulnerability remediation, and release gating are baseline controls.</w:t>
      </w:r>
    </w:p>
    <w:p>
      <w:pPr>
        <w:pStyle w:val="ListBullet"/>
      </w:pPr>
      <w:r>
        <w:t>The platform must maintain a living threat model and abuse case catalog.</w:t>
      </w:r>
    </w:p>
    <w:p>
      <w:pPr>
        <w:pStyle w:val="ListBullet"/>
      </w:pPr>
      <w:r>
        <w:t>All new extension points, adapters, and install modes require security review.</w:t>
      </w:r>
    </w:p>
    <w:p>
      <w:pPr>
        <w:pStyle w:val="ListBullet"/>
      </w:pPr>
      <w:r>
        <w:t>Async processing must include retry, poison message handling, idempotency, and audit for sensitive replays.</w:t>
      </w:r>
    </w:p>
    <w:p>
      <w:pPr>
        <w:pStyle w:val="Heading1"/>
      </w:pPr>
      <w:r>
        <w:t>6. Logging, audit, and monitoring controls</w:t>
      </w:r>
    </w:p>
    <w:p>
      <w:pPr>
        <w:pStyle w:val="ListBullet"/>
      </w:pPr>
      <w:r>
        <w:t>Critical actions must be logged with actor, tenant, target, correlation ID, outcome, and timestamp.</w:t>
      </w:r>
    </w:p>
    <w:p>
      <w:pPr>
        <w:pStyle w:val="ListBullet"/>
      </w:pPr>
      <w:r>
        <w:t>Audit records must include auth events, role changes, policy updates, exports, support access, plugin lifecycle, theme publish, install/bootstrap, and queue replays or redrive actions.</w:t>
      </w:r>
    </w:p>
    <w:p>
      <w:pPr>
        <w:pStyle w:val="ListBullet"/>
      </w:pPr>
      <w:r>
        <w:t>Security telemetry must be routed to monitoring/SIEM with clear ownership and incident paths.</w:t>
      </w:r>
    </w:p>
    <w:p>
      <w:pPr>
        <w:pStyle w:val="ListBullet"/>
      </w:pPr>
      <w:r>
        <w:t>Customers should have governed visibility into privileged access events where appropriate.</w:t>
      </w:r>
    </w:p>
    <w:p>
      <w:pPr>
        <w:pStyle w:val="Heading1"/>
      </w:pPr>
      <w:r>
        <w:t>7. Operational resilience controls</w:t>
      </w:r>
    </w:p>
    <w:p>
      <w:pPr>
        <w:pStyle w:val="ListBullet"/>
      </w:pPr>
      <w:r>
        <w:t>Backups, restore tests, disaster recovery drills, runbooks, SLOs, and incident classification are mandatory.</w:t>
      </w:r>
    </w:p>
    <w:p>
      <w:pPr>
        <w:pStyle w:val="ListBullet"/>
      </w:pPr>
      <w:r>
        <w:t>Self-hosted editions require published upgrade, rollback, compatibility, and support boundaries.</w:t>
      </w:r>
    </w:p>
    <w:p>
      <w:pPr>
        <w:pStyle w:val="ListBullet"/>
      </w:pPr>
      <w:r>
        <w:t>Capacity planning must include auth load, storage growth, queue throughput, plugin resource usage, and cross-region cost.</w:t>
      </w:r>
    </w:p>
    <w:p>
      <w:pPr>
        <w:pStyle w:val="Heading1"/>
      </w:pPr>
      <w:r>
        <w:t>8. Plugin, theme, and extension controls</w:t>
      </w:r>
    </w:p>
    <w:p>
      <w:pPr>
        <w:pStyle w:val="ListBullet"/>
      </w:pPr>
      <w:r>
        <w:t>Plugins must run through an approved sandbox or isolated runtime model.</w:t>
      </w:r>
    </w:p>
    <w:p>
      <w:pPr>
        <w:pStyle w:val="ListBullet"/>
      </w:pPr>
      <w:r>
        <w:t>Plugins must declare permissions, compatible versions, hook usage, and tenant scope behavior.</w:t>
      </w:r>
    </w:p>
    <w:p>
      <w:pPr>
        <w:pStyle w:val="ListBullet"/>
      </w:pPr>
      <w:r>
        <w:t>Themes may not suppress legal disclosures, hide security warnings, or alter auth-critical UX.</w:t>
      </w:r>
    </w:p>
    <w:p>
      <w:pPr>
        <w:pStyle w:val="ListBullet"/>
      </w:pPr>
      <w:r>
        <w:t>Marketplace or partner-distributed extensions require verification, compatibility checks, support ownership, and revocation capability.</w:t>
      </w:r>
    </w:p>
    <w:p>
      <w:pPr>
        <w:pStyle w:val="Heading1"/>
      </w:pPr>
      <w:r>
        <w:t>9. Compliance mapping matrix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080" w:bottom="864" w:left="1080" w:header="720" w:footer="720" w:gutter="0"/>
          <w:cols w:space="720"/>
          <w:docGrid w:linePitch="360"/>
        </w:sectPr>
      </w:pPr>
    </w:p>
    <w:p>
      <w:r>
        <w:t>The matrix below is a product-control mapping aid. It does not replace formal certification or legal interpretation.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</w:tcPr>
          <w:p>
            <w:r>
              <w:rPr>
                <w:sz w:val="16"/>
              </w:rPr>
              <w:t>Framework area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Representative requirement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Product control response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Evidence source</w:t>
            </w:r>
          </w:p>
        </w:tc>
      </w:tr>
      <w:tr>
        <w:tc>
          <w:tcPr>
            <w:tcW w:type="dxa" w:w="3420"/>
          </w:tcPr>
          <w:p>
            <w:r>
              <w:rPr>
                <w:sz w:val="16"/>
              </w:rPr>
              <w:t>SOC 2 / ISO 27001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Access control and least privilege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Scoped roles, SSO/MFA, audited admin changes, break-glass policy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Role reviews, access logs, policy history</w:t>
            </w:r>
          </w:p>
        </w:tc>
      </w:tr>
      <w:tr>
        <w:tc>
          <w:tcPr>
            <w:tcW w:type="dxa" w:w="3420"/>
          </w:tcPr>
          <w:p>
            <w:r>
              <w:rPr>
                <w:sz w:val="16"/>
              </w:rPr>
              <w:t>SOC 2 / ISO 27001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Change management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Release gates, API review, migration controls, documented ownership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Release records, change approvals</w:t>
            </w:r>
          </w:p>
        </w:tc>
      </w:tr>
      <w:tr>
        <w:tc>
          <w:tcPr>
            <w:tcW w:type="dxa" w:w="3420"/>
          </w:tcPr>
          <w:p>
            <w:r>
              <w:rPr>
                <w:sz w:val="16"/>
              </w:rPr>
              <w:t>GDPR / privacy laws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Data minimization and rights handling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Clear data ownership, deletion/export workflows, published privacy notices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Support tickets, audit events, privacy runbooks</w:t>
            </w:r>
          </w:p>
        </w:tc>
      </w:tr>
      <w:tr>
        <w:tc>
          <w:tcPr>
            <w:tcW w:type="dxa" w:w="3420"/>
          </w:tcPr>
          <w:p>
            <w:r>
              <w:rPr>
                <w:sz w:val="16"/>
              </w:rPr>
              <w:t>HIPAA / sensitive data use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Protected data safeguards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Encryption, auditable access, role restriction, operator controls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Config evidence, audit exports</w:t>
            </w:r>
          </w:p>
        </w:tc>
      </w:tr>
      <w:tr>
        <w:tc>
          <w:tcPr>
            <w:tcW w:type="dxa" w:w="3420"/>
          </w:tcPr>
          <w:p>
            <w:r>
              <w:rPr>
                <w:sz w:val="16"/>
              </w:rPr>
              <w:t>Operational resilience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Backup and recovery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Backup policy, DR targets, restore testing, runbooks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Restore test reports, DR drill evidence</w:t>
            </w:r>
          </w:p>
        </w:tc>
      </w:tr>
      <w:tr>
        <w:tc>
          <w:tcPr>
            <w:tcW w:type="dxa" w:w="3420"/>
          </w:tcPr>
          <w:p>
            <w:r>
              <w:rPr>
                <w:sz w:val="16"/>
              </w:rPr>
              <w:t>Extension governance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Third-party code and permissions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Plugin manifest review, sandbox, revocation, support boundaries</w:t>
            </w:r>
          </w:p>
        </w:tc>
        <w:tc>
          <w:tcPr>
            <w:tcW w:type="dxa" w:w="3420"/>
          </w:tcPr>
          <w:p>
            <w:r>
              <w:rPr>
                <w:sz w:val="16"/>
              </w:rPr>
              <w:t>Plugin approval records, marketplace logs</w:t>
            </w:r>
          </w:p>
        </w:tc>
      </w:tr>
    </w:tbl>
    <w:p>
      <w:pPr>
        <w:pStyle w:val="Heading1"/>
      </w:pPr>
      <w:r>
        <w:t>10. Evidence and review cadence</w:t>
      </w:r>
    </w:p>
    <w:p>
      <w:pPr>
        <w:pStyle w:val="ListBullet"/>
      </w:pPr>
      <w:r>
        <w:t>Evidence must be current, attributable, and tied to named control owners.</w:t>
      </w:r>
    </w:p>
    <w:p>
      <w:pPr>
        <w:pStyle w:val="ListBullet"/>
      </w:pPr>
      <w:r>
        <w:t>Review cadence should include release-time review, quarterly control review, annual policy refresh, and post-incident reassessment.</w:t>
      </w:r>
    </w:p>
    <w:p>
      <w:pPr>
        <w:pStyle w:val="ListBullet"/>
      </w:pPr>
      <w:r>
        <w:t>Any public compliance or trust statement requires proof path review before publication.</w:t>
      </w:r>
    </w:p>
    <w:p>
      <w:pPr>
        <w:pStyle w:val="Heading1"/>
      </w:pPr>
      <w:r>
        <w:t>11. Exceptions and remediation governance</w:t>
      </w:r>
    </w:p>
    <w:p>
      <w:pPr>
        <w:pStyle w:val="ListBullet"/>
      </w:pPr>
      <w:r>
        <w:t>Control exceptions must be documented with owner, scope, reason, expiry date, and remediation plan.</w:t>
      </w:r>
    </w:p>
    <w:p>
      <w:pPr>
        <w:pStyle w:val="ListBullet"/>
      </w:pPr>
      <w:r>
        <w:t>High-risk exceptions require explicit security and leadership approval.</w:t>
      </w:r>
    </w:p>
    <w:p>
      <w:pPr>
        <w:pStyle w:val="ListBullet"/>
      </w:pPr>
      <w:r>
        <w:t>Exceptions must never silently become the default operating model.</w:t>
      </w:r>
    </w:p>
    <w:sectPr w:rsidR="00FC693F" w:rsidRPr="0006063C" w:rsidSect="00034616">
      <w:pgSz w:w="15840" w:h="12240" w:orient="landscape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working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Volume 5 — Security and Compliance Control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