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pPr>
    </w:p>
    <w:p>
      <w:pPr>
        <w:spacing w:after="120" w:before="0" w:line="276" w:lineRule="auto"/>
      </w:pPr>
    </w:p>
    <w:p>
      <w:pPr>
        <w:spacing w:after="40" w:before="0" w:line="276" w:lineRule="auto"/>
        <w:jc w:val="center"/>
      </w:pPr>
      <w:r>
        <w:rPr>
          <w:b/>
          <w:i w:val="0"/>
          <w:color w:val="5A6B7B"/>
          <w:sz w:val="26"/>
        </w:rPr>
        <w:t>GOVERNMENT OF INDIA</w:t>
      </w:r>
    </w:p>
    <w:p>
      <w:pPr>
        <w:spacing w:after="200" w:before="0" w:line="276" w:lineRule="auto"/>
        <w:jc w:val="center"/>
      </w:pPr>
      <w:r>
        <w:rPr>
          <w:b w:val="0"/>
          <w:i w:val="0"/>
          <w:color w:val="5A6B7B"/>
          <w:sz w:val="19"/>
        </w:rPr>
        <w:t>Ministry of Electronics &amp; Information Technology   •   National Informatics Centre</w:t>
      </w:r>
    </w:p>
    <w:p>
      <w:pPr>
        <w:spacing w:after="40" w:before="80" w:line="276" w:lineRule="auto"/>
        <w:jc w:val="center"/>
        <w:pBdr>
          <w:top w:val="single" w:sz="12" w:space="10" w:color="C8641E"/>
        </w:pBdr>
      </w:pPr>
    </w:p>
    <w:p>
      <w:pPr>
        <w:spacing w:after="120" w:before="0" w:line="276" w:lineRule="auto"/>
      </w:pPr>
    </w:p>
    <w:p>
      <w:pPr>
        <w:spacing w:after="80" w:before="0" w:line="276" w:lineRule="auto"/>
        <w:jc w:val="center"/>
      </w:pPr>
      <w:r>
        <w:rPr>
          <w:b/>
          <w:i w:val="0"/>
          <w:color w:val="0B3D6B"/>
          <w:sz w:val="68"/>
        </w:rPr>
        <w:t>GovUX Audit Platform</w:t>
      </w:r>
    </w:p>
    <w:p>
      <w:pPr>
        <w:spacing w:after="40" w:before="0" w:line="276" w:lineRule="auto"/>
        <w:jc w:val="center"/>
      </w:pPr>
      <w:r>
        <w:rPr>
          <w:b w:val="0"/>
          <w:i w:val="0"/>
          <w:color w:val="1F6FB2"/>
          <w:sz w:val="28"/>
        </w:rPr>
        <w:t>A self-service User-Experience audit &amp; compliance engine</w:t>
      </w:r>
    </w:p>
    <w:p>
      <w:pPr>
        <w:spacing w:after="200" w:before="0" w:line="276" w:lineRule="auto"/>
        <w:jc w:val="center"/>
      </w:pPr>
      <w:r>
        <w:rPr>
          <w:b w:val="0"/>
          <w:i w:val="0"/>
          <w:color w:val="1F6FB2"/>
          <w:sz w:val="28"/>
        </w:rPr>
        <w:t>for .gov.in and .nic.in websites and applications</w:t>
      </w:r>
    </w:p>
    <w:p>
      <w:pPr>
        <w:spacing w:after="40" w:before="80" w:line="276" w:lineRule="auto"/>
        <w:jc w:val="center"/>
        <w:pBdr>
          <w:bottom w:val="single" w:sz="12" w:space="10" w:color="138808"/>
        </w:pBdr>
      </w:pPr>
    </w:p>
    <w:p>
      <w:pPr>
        <w:spacing w:after="120" w:before="0" w:line="276" w:lineRule="auto"/>
      </w:pPr>
    </w:p>
    <w:p>
      <w:pPr>
        <w:spacing w:after="120" w:before="0" w:line="276" w:lineRule="auto"/>
      </w:pPr>
    </w:p>
    <w:p>
      <w:pPr>
        <w:spacing w:after="120" w:before="0" w:line="276" w:lineRule="auto"/>
      </w:pPr>
    </w:p>
    <w:p>
      <w:pPr>
        <w:spacing w:after="40" w:before="0" w:line="276" w:lineRule="auto"/>
        <w:jc w:val="center"/>
      </w:pPr>
      <w:r>
        <w:rPr>
          <w:b/>
          <w:i w:val="0"/>
          <w:color w:val="1A1A1A"/>
          <w:sz w:val="30"/>
        </w:rPr>
        <w:t>BUSINESS REQUIREMENTS DOCUMENT</w:t>
      </w:r>
    </w:p>
    <w:p>
      <w:pPr>
        <w:spacing w:after="40" w:before="0" w:line="276" w:lineRule="auto"/>
        <w:jc w:val="center"/>
      </w:pPr>
      <w:r>
        <w:rPr>
          <w:b w:val="0"/>
          <w:i w:val="0"/>
          <w:color w:val="5A6B7B"/>
          <w:sz w:val="22"/>
        </w:rPr>
        <w:t>Version 1.0  —  For Approval</w:t>
      </w:r>
    </w:p>
    <w:p>
      <w:pPr>
        <w:spacing w:after="40" w:before="0" w:line="276" w:lineRule="auto"/>
        <w:jc w:val="center"/>
      </w:pPr>
      <w:r>
        <w:rPr>
          <w:b w:val="0"/>
          <w:i w:val="0"/>
          <w:color w:val="5A6B7B"/>
          <w:sz w:val="22"/>
        </w:rPr>
        <w:t>6 July 2026</w:t>
      </w: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jc w:val="center"/>
      </w:pPr>
      <w:r>
        <w:rPr>
          <w:b w:val="0"/>
          <w:i/>
          <w:color w:val="5A6B7B"/>
          <w:sz w:val="17"/>
        </w:rPr>
        <w:t>Classification: Official    |    Standards baseline: GIGW 3.0  •  WCAG 2.2 AA  •  Baymard-style UX Heuristics  •  Core Web Vitals</w:t>
      </w:r>
    </w:p>
    <w:p>
      <w:pPr>
        <w:sectPr>
          <w:pgSz w:w="12240" w:h="15840"/>
          <w:pgMar w:top="1440" w:right="1440" w:bottom="1440" w:left="1440" w:header="720" w:footer="720" w:gutter="0"/>
          <w:cols w:space="720"/>
          <w:docGrid w:linePitch="360"/>
        </w:sectPr>
      </w:pPr>
    </w:p>
    <w:p>
      <w:pPr>
        <w:pStyle w:val="Heading1"/>
      </w:pPr>
      <w:r>
        <w:t>Document Control</w:t>
      </w:r>
    </w:p>
    <w:tbl>
      <w:tblPr>
        <w:tblW w:type="auto" w:w="0"/>
        <w:jc w:val="center"/>
        <w:tblLook w:firstColumn="1" w:firstRow="1" w:lastColumn="0" w:lastRow="0" w:noHBand="0" w:noVBand="1" w:val="04A0"/>
        <w:tblLayout w:type="fixed"/>
        <w:tblW w:w="9360" w:type="dxa"/>
      </w:tblPr>
      <w:tblGrid>
        <w:gridCol w:w="4680"/>
        <w:gridCol w:w="4680"/>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Attribute</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Detail</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Document title</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Business Requirements Document — GovUX Audit Platform</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Version</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1.0 (Draft for approval)</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Date</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6 July 2026</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Owner / Sponsor</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Ministry of Electronics &amp; Information Technology (MeitY)</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Implementing agency</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National Informatics Centre (NIC)</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Author</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Product &amp; Digital Governance Team</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Classification</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Official</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Status</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For review and sign-off</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Standards baseline</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GIGW 3.0, WCAG 2.2 AA, Baymard-style UX heuristics, Core Web Vitals</w:t>
            </w:r>
          </w:p>
        </w:tc>
      </w:tr>
    </w:tbl>
    <w:p>
      <w:pPr>
        <w:spacing w:after="80"/>
      </w:pPr>
    </w:p>
    <w:p>
      <w:pPr>
        <w:pStyle w:val="Heading2"/>
      </w:pPr>
      <w:r>
        <w:t>Version History</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Version</w:t>
            </w:r>
          </w:p>
        </w:tc>
        <w:tc>
          <w:tcPr>
            <w:tcW w:type="dxa" w:w="17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Date</w:t>
            </w:r>
          </w:p>
        </w:tc>
        <w:tc>
          <w:tcPr>
            <w:tcW w:type="dxa" w:w="32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Summary of change</w:t>
            </w:r>
          </w:p>
        </w:tc>
        <w:tc>
          <w:tcPr>
            <w:tcW w:type="dxa" w:w="30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Author</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0.1</w:t>
            </w:r>
          </w:p>
        </w:tc>
        <w:tc>
          <w:tcPr>
            <w:tcW w:type="dxa" w:w="17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20 Jun 2026</w:t>
            </w:r>
          </w:p>
        </w:tc>
        <w:tc>
          <w:tcPr>
            <w:tcW w:type="dxa" w:w="32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Initial outline and scope definition</w:t>
            </w:r>
          </w:p>
        </w:tc>
        <w:tc>
          <w:tcPr>
            <w:tcW w:type="dxa" w:w="30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Product Team</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0.5</w:t>
            </w:r>
          </w:p>
        </w:tc>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30 Jun 2026</w:t>
            </w:r>
          </w:p>
        </w:tc>
        <w:tc>
          <w:tcPr>
            <w:tcW w:type="dxa" w:w="32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Functional and non-functional requirements drafted</w:t>
            </w:r>
          </w:p>
        </w:tc>
        <w:tc>
          <w:tcPr>
            <w:tcW w:type="dxa" w:w="30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Product Team</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1.0</w:t>
            </w:r>
          </w:p>
        </w:tc>
        <w:tc>
          <w:tcPr>
            <w:tcW w:type="dxa" w:w="17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06 Jul 2026</w:t>
            </w:r>
          </w:p>
        </w:tc>
        <w:tc>
          <w:tcPr>
            <w:tcW w:type="dxa" w:w="32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Consolidated draft issued for approval</w:t>
            </w:r>
          </w:p>
        </w:tc>
        <w:tc>
          <w:tcPr>
            <w:tcW w:type="dxa" w:w="30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Product Team</w:t>
            </w:r>
          </w:p>
        </w:tc>
      </w:tr>
    </w:tbl>
    <w:p>
      <w:pPr>
        <w:spacing w:after="80"/>
      </w:pPr>
    </w:p>
    <w:p>
      <w:pPr>
        <w:pStyle w:val="Heading2"/>
      </w:pPr>
      <w:r>
        <w:t>Approvals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9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Role</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Name / Designation</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Signature &amp; Date</w:t>
            </w:r>
          </w:p>
        </w:tc>
      </w:tr>
      <w:tr>
        <w:tc>
          <w:tcPr>
            <w:tcW w:type="dxa" w:w="29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Executive Sponsor</w:t>
            </w:r>
          </w:p>
        </w:tc>
        <w:tc>
          <w:tcPr>
            <w:tcW w:type="dxa" w:w="3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Secretary, MeitY</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r>
          </w:p>
        </w:tc>
      </w:tr>
      <w:tr>
        <w:tc>
          <w:tcPr>
            <w:tcW w:type="dxa" w:w="29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Programme Director</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DG, NIC</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r>
          </w:p>
        </w:tc>
      </w:tr>
      <w:tr>
        <w:tc>
          <w:tcPr>
            <w:tcW w:type="dxa" w:w="29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Product Owner</w:t>
            </w:r>
          </w:p>
        </w:tc>
        <w:tc>
          <w:tcPr>
            <w:tcW w:type="dxa" w:w="3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Head, Digital Governance</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r>
          </w:p>
        </w:tc>
      </w:tr>
      <w:tr>
        <w:tc>
          <w:tcPr>
            <w:tcW w:type="dxa" w:w="29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Accessibility &amp; Standards Lead</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GIGW / STQC Representative</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r>
          </w:p>
        </w:tc>
      </w:tr>
      <w:tr>
        <w:tc>
          <w:tcPr>
            <w:tcW w:type="dxa" w:w="29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Security Authority</w:t>
            </w:r>
          </w:p>
        </w:tc>
        <w:tc>
          <w:tcPr>
            <w:tcW w:type="dxa" w:w="3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CISO / CERT-In Liaison</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r>
          </w:p>
        </w:tc>
      </w:tr>
    </w:tbl>
    <w:p>
      <w:pPr>
        <w:spacing w:after="80"/>
      </w:pPr>
    </w:p>
    <w:p>
      <w:pPr>
        <w:pStyle w:val="Heading2"/>
      </w:pPr>
      <w:r>
        <w:t>Distribution List</w:t>
      </w:r>
    </w:p>
    <w:p>
      <w:pPr>
        <w:spacing w:after="120" w:before="0" w:line="276" w:lineRule="auto"/>
      </w:pPr>
      <w:r>
        <w:rPr>
          <w:b w:val="0"/>
          <w:i w:val="0"/>
          <w:sz w:val="21"/>
        </w:rPr>
        <w:t>MeitY leadership; NIC programme office; STQC Directorate; CERT-In; nodal officers of participating Ministries, Departments, States and Union Territories; and the platform delivery team.</w:t>
      </w:r>
    </w:p>
    <w:p>
      <w:r>
        <w:br w:type="page"/>
      </w:r>
    </w:p>
    <w:p>
      <w:pPr>
        <w:pBdr>
          <w:bottom w:val="single" w:sz="6" w:space="4" w:color="1F6FB2"/>
        </w:pBdr>
      </w:pPr>
      <w:r>
        <w:rPr>
          <w:b/>
          <w:color w:val="0B3D6B"/>
          <w:sz w:val="32"/>
        </w:rPr>
        <w:t>Table of Contents</w:t>
      </w:r>
    </w:p>
    <w:p>
      <w:r>
        <w:fldChar w:fldCharType="begin"/>
        <w:instrText xml:space="preserve">TOC \o "1-3" \h \z \u</w:instrText>
        <w:fldChar w:fldCharType="separate"/>
        <w:t>Right-click and choose “Update Field” to build the contents.</w:t>
        <w:fldChar w:fldCharType="end"/>
      </w:r>
    </w:p>
    <w:p>
      <w:pPr>
        <w:sectPr>
          <w:pgSz w:w="12240" w:h="15840"/>
          <w:pgMar w:top="1440" w:right="1440" w:bottom="1440" w:left="1440" w:header="720" w:footer="720" w:gutter="0"/>
          <w:cols w:space="720"/>
          <w:docGrid w:linePitch="360"/>
        </w:sectPr>
      </w:pPr>
    </w:p>
    <w:p>
      <w:pPr>
        <w:pStyle w:val="Heading1"/>
      </w:pPr>
      <w:r>
        <w:t>1.  Executive Summary</w:t>
      </w:r>
    </w:p>
    <w:p>
      <w:pPr>
        <w:spacing w:after="120" w:before="0" w:line="276" w:lineRule="auto"/>
      </w:pPr>
      <w:r>
        <w:rPr>
          <w:b w:val="0"/>
          <w:i w:val="0"/>
          <w:sz w:val="21"/>
        </w:rPr>
        <w:t>Citizens increasingly expect to complete essential tasks — paying a bill, applying for a certificate, checking a benefit, booking an appointment — on government websites with the same ease they experience on the best consumer platforms. In practice, a large share of Indian government websites and applications on the .gov.in and .nic.in domains fall short of established usability, accessibility and performance standards. The result is failed tasks, repeat visits, avoidable footfall at offices, exclusion of persons with disabilities, and erosion of trust in digital public services.</w:t>
      </w:r>
    </w:p>
    <w:p>
      <w:pPr>
        <w:spacing w:after="120" w:before="0" w:line="276" w:lineRule="auto"/>
      </w:pPr>
      <w:r>
        <w:rPr>
          <w:b w:val="0"/>
          <w:i w:val="0"/>
          <w:sz w:val="21"/>
        </w:rPr>
        <w:t>This Business Requirements Document (BRD) defines the GovUX Audit Platform: a secure, self-service web platform on which any authorised government website owner can register a .gov.in or .nic.in domain, trigger an automated audit, and receive a clear, prioritised, evidence-backed report of where the user experience is helping or hurting citizens — scored against GIGW 3.0, WCAG 2.2 (Level AA), evidence-based UX heuristics in the style of Baymard, and Google Core Web Vitals. Inspired by rapid heuristic snapshot tools such as Baymard's UX-Ray, the platform adapts the concept to the public-sector context: mandatory Indian standards, citizen (rather than commercial-conversion) outcomes, accessibility as a legal duty, and a centralised compliance view for MeitY and NIC.</w:t>
      </w:r>
    </w:p>
    <w:p>
      <w:pPr>
        <w:spacing w:after="120" w:before="0" w:line="276" w:lineRule="auto"/>
      </w:pPr>
      <w:r>
        <w:rPr>
          <w:b w:val="0"/>
          <w:i w:val="0"/>
          <w:sz w:val="21"/>
        </w:rPr>
        <w:t>The platform converts a currently manual, expensive and inconsistent auditing process into an on-demand, standardised, repeatable service. Each website receives an overall GovUX Score (0–100) with category sub-scores, a ranked list of issues by severity and remediation effort, plain-language guidance mapped to the exact guideline, and the ability to re-audit and track improvement over time. A central dashboard gives programme owners a nationwide, comparable view of digital-service quality and a defensible measure of progress toward Digital India objectives.</w:t>
      </w: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In one line:  </w:t>
      </w:r>
      <w:r>
        <w:rPr>
          <w:sz w:val="21"/>
        </w:rPr>
        <w:t>A national, self-service UX and compliance audit engine that lets every government website owner measure, understand and fix how well citizens can actually use their site — against India's own standards.</w:t>
      </w:r>
    </w:p>
    <w:p>
      <w:pPr>
        <w:pStyle w:val="Heading1"/>
      </w:pPr>
      <w:r>
        <w:t>2.  Background &amp; Problem Statement</w:t>
      </w:r>
    </w:p>
    <w:p>
      <w:pPr>
        <w:pStyle w:val="Heading2"/>
      </w:pPr>
      <w:r>
        <w:t>2.1  Context</w:t>
      </w:r>
    </w:p>
    <w:p>
      <w:pPr>
        <w:spacing w:after="120" w:before="0" w:line="276" w:lineRule="auto"/>
      </w:pPr>
      <w:r>
        <w:rPr>
          <w:b w:val="0"/>
          <w:i w:val="0"/>
          <w:sz w:val="21"/>
        </w:rPr>
        <w:t>The Guidelines for Indian Government Websites and Apps (GIGW), maintained by NIC under MeitY, are the authoritative standard for government digital properties. GIGW 3.0 sharpened its focus on user interface, user experience and user-centric information architecture, aligned accessibility with WCAG, and introduced a dedicated cybersecurity chapter formulated by CERT-In. All central and state ministries, departments and public-sector undertakings are expected to conform and to obtain certification from the STQC Directorate.</w:t>
      </w:r>
    </w:p>
    <w:p>
      <w:pPr>
        <w:spacing w:after="120" w:before="0" w:line="276" w:lineRule="auto"/>
      </w:pPr>
      <w:r>
        <w:rPr>
          <w:b w:val="0"/>
          <w:i w:val="0"/>
          <w:sz w:val="21"/>
        </w:rPr>
        <w:t>Despite this, conformance is uneven. Audits today are largely manual, carried out by a limited pool of empanelled agencies, are slow and costly, and are typically performed only at launch or during periodic reviews. Website owners lack a fast, self-service way to check their own site, understand what is wrong in plain language, and verify that fixes worked. There is no single, comparable, up-to-date national view of how usable government websites actually are.</w:t>
      </w:r>
    </w:p>
    <w:p>
      <w:pPr>
        <w:pStyle w:val="Heading2"/>
      </w:pPr>
      <w:r>
        <w:t>2.2  Problems this platform solves</w:t>
      </w:r>
    </w:p>
    <w:p>
      <w:pPr>
        <w:pStyle w:val="ListBullet"/>
        <w:spacing w:after="60" w:line="269" w:lineRule="auto"/>
      </w:pPr>
      <w:r>
        <w:rPr>
          <w:sz w:val="21"/>
        </w:rPr>
        <w:t>Slow, scarce, expensive auditing — manual reviews cannot keep pace with thousands of government properties that change constantly.</w:t>
      </w:r>
    </w:p>
    <w:p>
      <w:pPr>
        <w:pStyle w:val="ListBullet"/>
        <w:spacing w:after="60" w:line="269" w:lineRule="auto"/>
      </w:pPr>
      <w:r>
        <w:rPr>
          <w:sz w:val="21"/>
        </w:rPr>
        <w:t>Inconsistent standards application — findings vary by auditor; there is no single scoring model applied uniformly.</w:t>
      </w:r>
    </w:p>
    <w:p>
      <w:pPr>
        <w:pStyle w:val="ListBullet"/>
        <w:spacing w:after="60" w:line="269" w:lineRule="auto"/>
      </w:pPr>
      <w:r>
        <w:rPr>
          <w:sz w:val="21"/>
        </w:rPr>
        <w:t>Accessibility exclusion — many sites are not usable by persons with disabilities, breaching WCAG-aligned obligations under GIGW and the RPwD Act, 2016.</w:t>
      </w:r>
    </w:p>
    <w:p>
      <w:pPr>
        <w:pStyle w:val="ListBullet"/>
        <w:spacing w:after="60" w:line="269" w:lineRule="auto"/>
      </w:pPr>
      <w:r>
        <w:rPr>
          <w:sz w:val="21"/>
        </w:rPr>
        <w:t>Poor usability and performance — confusing navigation, unclear forms, broken search and slow pages cause citizens to fail tasks or abandon digital channels.</w:t>
      </w:r>
    </w:p>
    <w:p>
      <w:pPr>
        <w:pStyle w:val="ListBullet"/>
        <w:spacing w:after="60" w:line="269" w:lineRule="auto"/>
      </w:pPr>
      <w:r>
        <w:rPr>
          <w:sz w:val="21"/>
        </w:rPr>
        <w:t>No feedback loop — owners rarely know their score, what to fix first, or whether a change improved things.</w:t>
      </w:r>
    </w:p>
    <w:p>
      <w:pPr>
        <w:pStyle w:val="ListBullet"/>
        <w:spacing w:after="60" w:line="269" w:lineRule="auto"/>
      </w:pPr>
      <w:r>
        <w:rPr>
          <w:sz w:val="21"/>
        </w:rPr>
        <w:t>No national visibility — programme leadership lacks a live, comparable measure of digital-service quality to target support and track progress.</w:t>
      </w:r>
    </w:p>
    <w:p>
      <w:pPr>
        <w:pStyle w:val="Heading2"/>
      </w:pPr>
      <w:r>
        <w:t>2.3  Opportunity</w:t>
      </w:r>
    </w:p>
    <w:p>
      <w:pPr>
        <w:spacing w:after="120" w:before="0" w:line="276" w:lineRule="auto"/>
      </w:pPr>
      <w:r>
        <w:rPr>
          <w:b w:val="0"/>
          <w:i w:val="0"/>
          <w:sz w:val="21"/>
        </w:rPr>
        <w:t>A shared, automated audit platform turns compliance from a periodic, painful event into a continuous, self-service capability. It lowers the cost per audit toward near-zero marginal cost, scales to every domain, standardises scoring, and creates a data asset that lets MeitY and NIC see and steer the quality of India's digital public estate.</w:t>
      </w:r>
    </w:p>
    <w:p>
      <w:pPr>
        <w:pStyle w:val="Heading1"/>
      </w:pPr>
      <w:r>
        <w:t>3.  Vision, Goals &amp; Objectives</w:t>
      </w:r>
    </w:p>
    <w:p>
      <w:pPr>
        <w:pStyle w:val="Heading2"/>
      </w:pPr>
      <w:r>
        <w:t>3.1  Vision</w:t>
      </w: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Vision  </w:t>
      </w:r>
      <w:r>
        <w:rPr>
          <w:sz w:val="21"/>
        </w:rPr>
        <w:t>Every citizen can complete every task on every government website easily, accessibly and quickly — because every website owner can measure and improve their user experience on demand, against India's own standards.</w:t>
      </w:r>
    </w:p>
    <w:p>
      <w:pPr>
        <w:pStyle w:val="Heading2"/>
      </w:pPr>
      <w:r>
        <w:t>3.2  Business goals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Goal</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Why it matters</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G1</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Make UX and accessibility auditing self-service and instant for every .gov.in / .nic.in owner</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Removes the bottleneck of scarce manual auditors</w:t>
            </w:r>
          </w:p>
        </w:tc>
      </w:tr>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G2</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Standardise scoring against GIGW 3.0, WCAG 2.2 AA, UX heuristics and Core Web Vitals</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Comparable, defensible, uniform assessment</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G3</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Drive measurable improvement in citizen task success and accessibility</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Better outcomes and inclusion for citizens</w:t>
            </w:r>
          </w:p>
        </w:tc>
      </w:tr>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G4</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Give MeitY / NIC a live national compliance and quality dashboard</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Evidence-based steering of Digital India</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G5</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Reduce the cost and cycle time of achieving and maintaining GIGW compliance</w:t>
            </w:r>
          </w:p>
        </w:tc>
        <w:tc>
          <w:tcPr>
            <w:tcW w:type="dxa" w:w="433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Frees public funds and staff time</w:t>
            </w:r>
          </w:p>
        </w:tc>
      </w:tr>
    </w:tbl>
    <w:p>
      <w:pPr>
        <w:spacing w:after="80"/>
      </w:pPr>
    </w:p>
    <w:p>
      <w:pPr>
        <w:pStyle w:val="Heading2"/>
      </w:pPr>
      <w:r>
        <w:t>3.3  SMART objectives (first 18 months post-launch)</w:t>
      </w:r>
    </w:p>
    <w:p>
      <w:pPr>
        <w:pStyle w:val="ListBullet"/>
        <w:spacing w:after="60" w:line="269" w:lineRule="auto"/>
      </w:pPr>
      <w:r>
        <w:rPr>
          <w:sz w:val="21"/>
        </w:rPr>
        <w:t>Onboard 2,000+ verified government domains and complete 10,000+ audits.</w:t>
      </w:r>
    </w:p>
    <w:p>
      <w:pPr>
        <w:pStyle w:val="ListBullet"/>
        <w:spacing w:after="60" w:line="269" w:lineRule="auto"/>
      </w:pPr>
      <w:r>
        <w:rPr>
          <w:sz w:val="21"/>
        </w:rPr>
        <w:t>Enable a full automated audit of a standard site to complete within 15 minutes of request.</w:t>
      </w:r>
    </w:p>
    <w:p>
      <w:pPr>
        <w:pStyle w:val="ListBullet"/>
        <w:spacing w:after="60" w:line="269" w:lineRule="auto"/>
      </w:pPr>
      <w:r>
        <w:rPr>
          <w:sz w:val="21"/>
        </w:rPr>
        <w:t>Achieve a median +20-point improvement in GovUX Score for domains that re-audit after remediation.</w:t>
      </w:r>
    </w:p>
    <w:p>
      <w:pPr>
        <w:pStyle w:val="ListBullet"/>
        <w:spacing w:after="60" w:line="269" w:lineRule="auto"/>
      </w:pPr>
      <w:r>
        <w:rPr>
          <w:sz w:val="21"/>
        </w:rPr>
        <w:t>Reach 100% coverage of GIGW 3.0 mandatory guidelines that are automatable, plus a structured manual checklist for the remainder.</w:t>
      </w:r>
    </w:p>
    <w:p>
      <w:pPr>
        <w:pStyle w:val="ListBullet"/>
        <w:spacing w:after="60" w:line="269" w:lineRule="auto"/>
      </w:pPr>
      <w:r>
        <w:rPr>
          <w:sz w:val="21"/>
        </w:rPr>
        <w:t>Attain 95% owner-reported satisfaction that reports are clear and actionable.</w:t>
      </w:r>
    </w:p>
    <w:p>
      <w:pPr>
        <w:pStyle w:val="Heading1"/>
      </w:pPr>
      <w:r>
        <w:t>4.  Scope</w:t>
      </w:r>
    </w:p>
    <w:p>
      <w:pPr>
        <w:pStyle w:val="Heading2"/>
      </w:pPr>
      <w:r>
        <w:t>4.1  In scope</w:t>
      </w:r>
    </w:p>
    <w:p>
      <w:pPr>
        <w:pStyle w:val="ListBullet"/>
        <w:spacing w:after="60" w:line="269" w:lineRule="auto"/>
      </w:pPr>
      <w:r>
        <w:rPr>
          <w:sz w:val="21"/>
        </w:rPr>
        <w:t>Self-service registration and domain-ownership verification restricted to .gov.in and .nic.in (and approved sub-domains).</w:t>
      </w:r>
    </w:p>
    <w:p>
      <w:pPr>
        <w:pStyle w:val="ListBullet"/>
        <w:spacing w:after="60" w:line="269" w:lineRule="auto"/>
      </w:pPr>
      <w:r>
        <w:rPr>
          <w:sz w:val="21"/>
        </w:rPr>
        <w:t>Automated crawling and auditing of public web pages, forms, navigation, search and key citizen journeys.</w:t>
      </w:r>
    </w:p>
    <w:p>
      <w:pPr>
        <w:pStyle w:val="ListBullet"/>
        <w:spacing w:after="60" w:line="269" w:lineRule="auto"/>
      </w:pPr>
      <w:r>
        <w:rPr>
          <w:sz w:val="21"/>
        </w:rPr>
        <w:t>Automated evaluation against GIGW 3.0, WCAG 2.2 AA, UX heuristics (Baymard-style) and Core Web Vitals.</w:t>
      </w:r>
    </w:p>
    <w:p>
      <w:pPr>
        <w:pStyle w:val="ListBullet"/>
        <w:spacing w:after="60" w:line="269" w:lineRule="auto"/>
      </w:pPr>
      <w:r>
        <w:rPr>
          <w:sz w:val="21"/>
        </w:rPr>
        <w:t>Scoring engine producing an overall GovUX Score, category sub-scores and severity-ranked issues.</w:t>
      </w:r>
    </w:p>
    <w:p>
      <w:pPr>
        <w:pStyle w:val="ListBullet"/>
        <w:spacing w:after="60" w:line="269" w:lineRule="auto"/>
      </w:pPr>
      <w:r>
        <w:rPr>
          <w:sz w:val="21"/>
        </w:rPr>
        <w:t>Plain-language remediation guidance mapped to specific guidelines, with effort/impact prioritisation.</w:t>
      </w:r>
    </w:p>
    <w:p>
      <w:pPr>
        <w:pStyle w:val="ListBullet"/>
        <w:spacing w:after="60" w:line="269" w:lineRule="auto"/>
      </w:pPr>
      <w:r>
        <w:rPr>
          <w:sz w:val="21"/>
        </w:rPr>
        <w:t>Re-audit, trend tracking, and downloadable/shareable reports (PDF and machine-readable).</w:t>
      </w:r>
    </w:p>
    <w:p>
      <w:pPr>
        <w:pStyle w:val="ListBullet"/>
        <w:spacing w:after="60" w:line="269" w:lineRule="auto"/>
      </w:pPr>
      <w:r>
        <w:rPr>
          <w:sz w:val="21"/>
        </w:rPr>
        <w:t>A central administrative and analytics dashboard for MeitY / NIC (national, ministry, state and department roll-ups).</w:t>
      </w:r>
    </w:p>
    <w:p>
      <w:pPr>
        <w:pStyle w:val="ListBullet"/>
        <w:spacing w:after="60" w:line="269" w:lineRule="auto"/>
      </w:pPr>
      <w:r>
        <w:rPr>
          <w:sz w:val="21"/>
        </w:rPr>
        <w:t>A structured, guided manual-audit checklist for guidelines that cannot be fully automated.</w:t>
      </w:r>
    </w:p>
    <w:p>
      <w:pPr>
        <w:pStyle w:val="ListBullet"/>
        <w:spacing w:after="60" w:line="269" w:lineRule="auto"/>
      </w:pPr>
      <w:r>
        <w:rPr>
          <w:sz w:val="21"/>
        </w:rPr>
        <w:t>Role-based access, single sign-on integration, notifications and audit logging.</w:t>
      </w:r>
    </w:p>
    <w:p>
      <w:pPr>
        <w:pStyle w:val="Heading2"/>
      </w:pPr>
      <w:r>
        <w:t>4.2  Out of scope (for the initial release)</w:t>
      </w:r>
    </w:p>
    <w:p>
      <w:pPr>
        <w:pStyle w:val="ListBullet"/>
        <w:spacing w:after="60" w:line="269" w:lineRule="auto"/>
      </w:pPr>
      <w:r>
        <w:rPr>
          <w:sz w:val="21"/>
        </w:rPr>
        <w:t>Automatically applying fixes to a website's code or CMS (the platform advises; owners remediate).</w:t>
      </w:r>
    </w:p>
    <w:p>
      <w:pPr>
        <w:pStyle w:val="ListBullet"/>
        <w:spacing w:after="60" w:line="269" w:lineRule="auto"/>
      </w:pPr>
      <w:r>
        <w:rPr>
          <w:sz w:val="21"/>
        </w:rPr>
        <w:t>Full penetration testing or vulnerability scanning beyond surface security-hygiene UX checks (this remains with CERT-In / STQC processes; the platform may integrate signals later).</w:t>
      </w:r>
    </w:p>
    <w:p>
      <w:pPr>
        <w:pStyle w:val="ListBullet"/>
        <w:spacing w:after="60" w:line="269" w:lineRule="auto"/>
      </w:pPr>
      <w:r>
        <w:rPr>
          <w:sz w:val="21"/>
        </w:rPr>
        <w:t>Auditing of non-government domains, intranets not reachable by the crawler, or native mobile app binaries (mobile web is in scope; native-app auditing is a future phase).</w:t>
      </w:r>
    </w:p>
    <w:p>
      <w:pPr>
        <w:pStyle w:val="ListBullet"/>
        <w:spacing w:after="60" w:line="269" w:lineRule="auto"/>
      </w:pPr>
      <w:r>
        <w:rPr>
          <w:sz w:val="21"/>
        </w:rPr>
        <w:t>Content authoring or redesign services.</w:t>
      </w:r>
    </w:p>
    <w:p>
      <w:pPr>
        <w:pStyle w:val="ListBullet"/>
        <w:spacing w:after="60" w:line="269" w:lineRule="auto"/>
      </w:pPr>
      <w:r>
        <w:rPr>
          <w:sz w:val="21"/>
        </w:rPr>
        <w:t>Formal STQC certification issuance (the platform supports readiness; certification remains STQC's statutory function, with potential future data hand-off).</w:t>
      </w:r>
    </w:p>
    <w:p>
      <w:pPr>
        <w:pStyle w:val="Heading2"/>
      </w:pPr>
      <w:r>
        <w:t>4.3  Assumptions</w:t>
      </w:r>
    </w:p>
    <w:p>
      <w:pPr>
        <w:pStyle w:val="ListBullet"/>
        <w:spacing w:after="60" w:line="269" w:lineRule="auto"/>
      </w:pPr>
      <w:r>
        <w:rPr>
          <w:sz w:val="21"/>
        </w:rPr>
        <w:t>Target sites are reachable by an authorised crawler over the public internet or an approved network path.</w:t>
      </w:r>
    </w:p>
    <w:p>
      <w:pPr>
        <w:pStyle w:val="ListBullet"/>
        <w:spacing w:after="60" w:line="269" w:lineRule="auto"/>
      </w:pPr>
      <w:r>
        <w:rPr>
          <w:sz w:val="21"/>
        </w:rPr>
        <w:t>Domain owners can complete a verification challenge (DNS record, metafile, or SSO-linked ownership).</w:t>
      </w:r>
    </w:p>
    <w:p>
      <w:pPr>
        <w:pStyle w:val="ListBullet"/>
        <w:spacing w:after="60" w:line="269" w:lineRule="auto"/>
      </w:pPr>
      <w:r>
        <w:rPr>
          <w:sz w:val="21"/>
        </w:rPr>
        <w:t>NIC provides hosting on approved government cloud (e.g., MeghRaj / NIC cloud) and identity integration.</w:t>
      </w:r>
    </w:p>
    <w:p>
      <w:pPr>
        <w:pStyle w:val="ListBullet"/>
        <w:spacing w:after="60" w:line="269" w:lineRule="auto"/>
      </w:pPr>
      <w:r>
        <w:rPr>
          <w:sz w:val="21"/>
        </w:rPr>
        <w:t>GIGW 3.0 remains the governing standard; the rules engine will be versioned to absorb updates.</w:t>
      </w:r>
    </w:p>
    <w:p>
      <w:pPr>
        <w:pStyle w:val="Heading1"/>
      </w:pPr>
      <w:r>
        <w:t>5.  Stakeholders &amp; User Personas</w:t>
      </w:r>
    </w:p>
    <w:p>
      <w:pPr>
        <w:pStyle w:val="Heading2"/>
      </w:pPr>
      <w:r>
        <w:t>5.1  Stakeholders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Stakeholder</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Interest / role</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Involvement</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MeitY (Sponsor)</w:t>
            </w:r>
          </w:p>
        </w:tc>
        <w:tc>
          <w:tcPr>
            <w:tcW w:type="dxa" w:w="4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Owns Digital India outcomes and the GIGW mandate</w:t>
            </w:r>
          </w:p>
        </w:tc>
        <w:tc>
          <w:tcPr>
            <w:tcW w:type="dxa" w:w="2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Sponsor, approver</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NIC (Implementer)</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Builds, hosts and operates the platform; owns GIGW</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Delivery &amp; operations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STQC Directorate</w:t>
            </w:r>
          </w:p>
        </w:tc>
        <w:tc>
          <w:tcPr>
            <w:tcW w:type="dxa" w:w="4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Certification authority for GIGW conformance</w:t>
            </w:r>
          </w:p>
        </w:tc>
        <w:tc>
          <w:tcPr>
            <w:tcW w:type="dxa" w:w="2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Standards alignment</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CERT-In</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Cybersecurity guidance chapter of GIGW</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Security requirements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Ministry / Dept / State nodal officers</w:t>
            </w:r>
          </w:p>
        </w:tc>
        <w:tc>
          <w:tcPr>
            <w:tcW w:type="dxa" w:w="4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Own individual websites</w:t>
            </w:r>
          </w:p>
        </w:tc>
        <w:tc>
          <w:tcPr>
            <w:tcW w:type="dxa" w:w="2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Primary users</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Web development / CMS vendors</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Build and maintain government sites</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Act on findings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Citizens &amp; persons with disabilities</w:t>
            </w:r>
          </w:p>
        </w:tc>
        <w:tc>
          <w:tcPr>
            <w:tcW w:type="dxa" w:w="4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End beneficiaries of better UX</w:t>
            </w:r>
          </w:p>
        </w:tc>
        <w:tc>
          <w:tcPr>
            <w:tcW w:type="dxa" w:w="2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Ultimate beneficiaries</w:t>
            </w:r>
          </w:p>
        </w:tc>
      </w:tr>
    </w:tbl>
    <w:p>
      <w:pPr>
        <w:spacing w:after="80"/>
      </w:pPr>
    </w:p>
    <w:p>
      <w:pPr>
        <w:pStyle w:val="Heading2"/>
      </w:pPr>
      <w:r>
        <w:t>5.2  Primary personas</w:t>
      </w:r>
    </w:p>
    <w:p>
      <w:pPr>
        <w:pStyle w:val="Heading3"/>
      </w:pPr>
      <w:r>
        <w:t>Persona A — Nodal / Web Information Manager (“The Owner”)</w:t>
      </w:r>
    </w:p>
    <w:p>
      <w:pPr>
        <w:spacing w:after="120" w:before="0" w:line="276" w:lineRule="auto"/>
      </w:pPr>
      <w:r>
        <w:rPr>
          <w:b/>
          <w:i w:val="0"/>
          <w:sz w:val="21"/>
        </w:rPr>
        <w:t xml:space="preserve">Goal: </w:t>
      </w:r>
      <w:r>
        <w:rPr>
          <w:b w:val="0"/>
          <w:i w:val="0"/>
          <w:sz w:val="21"/>
        </w:rPr>
        <w:t xml:space="preserve">Prove and improve their website's compliance without hiring an external auditor.  </w:t>
      </w:r>
      <w:r>
        <w:rPr>
          <w:b/>
          <w:i w:val="0"/>
          <w:sz w:val="21"/>
        </w:rPr>
        <w:t xml:space="preserve">Pain: </w:t>
      </w:r>
      <w:r>
        <w:rPr>
          <w:b w:val="0"/>
          <w:i w:val="0"/>
          <w:sz w:val="21"/>
        </w:rPr>
        <w:t xml:space="preserve">Doesn't know what's wrong, how serious it is, or how to fix it; audits are slow and jargon-heavy.  </w:t>
      </w:r>
      <w:r>
        <w:rPr>
          <w:b/>
          <w:i w:val="0"/>
          <w:sz w:val="21"/>
        </w:rPr>
        <w:t xml:space="preserve">Needs: </w:t>
      </w:r>
      <w:r>
        <w:rPr>
          <w:b w:val="0"/>
          <w:i w:val="0"/>
          <w:sz w:val="21"/>
        </w:rPr>
        <w:t>One-click audit, a clear score, a ranked to-do list in plain language, and proof of improvement.</w:t>
      </w:r>
    </w:p>
    <w:p>
      <w:pPr>
        <w:pStyle w:val="Heading3"/>
      </w:pPr>
      <w:r>
        <w:t>Persona B — Programme Owner at MeitY / NIC (“The Steward”)</w:t>
      </w:r>
    </w:p>
    <w:p>
      <w:pPr>
        <w:spacing w:after="120" w:before="0" w:line="276" w:lineRule="auto"/>
      </w:pPr>
      <w:r>
        <w:rPr>
          <w:b/>
          <w:i w:val="0"/>
          <w:sz w:val="21"/>
        </w:rPr>
        <w:t xml:space="preserve">Goal: </w:t>
      </w:r>
      <w:r>
        <w:rPr>
          <w:b w:val="0"/>
          <w:i w:val="0"/>
          <w:sz w:val="21"/>
        </w:rPr>
        <w:t xml:space="preserve">See the national picture and target support where quality is lowest.  </w:t>
      </w:r>
      <w:r>
        <w:rPr>
          <w:b/>
          <w:i w:val="0"/>
          <w:sz w:val="21"/>
        </w:rPr>
        <w:t xml:space="preserve">Pain: </w:t>
      </w:r>
      <w:r>
        <w:rPr>
          <w:b w:val="0"/>
          <w:i w:val="0"/>
          <w:sz w:val="21"/>
        </w:rPr>
        <w:t xml:space="preserve">No live, comparable data across thousands of sites.  </w:t>
      </w:r>
      <w:r>
        <w:rPr>
          <w:b/>
          <w:i w:val="0"/>
          <w:sz w:val="21"/>
        </w:rPr>
        <w:t xml:space="preserve">Needs: </w:t>
      </w:r>
      <w:r>
        <w:rPr>
          <w:b w:val="0"/>
          <w:i w:val="0"/>
          <w:sz w:val="21"/>
        </w:rPr>
        <w:t>Roll-up dashboards, benchmarking, trend lines, and exception alerts.</w:t>
      </w:r>
    </w:p>
    <w:p>
      <w:pPr>
        <w:pStyle w:val="Heading3"/>
      </w:pPr>
      <w:r>
        <w:t>Persona C — Developer / CMS Vendor (“The Fixer”)</w:t>
      </w:r>
    </w:p>
    <w:p>
      <w:pPr>
        <w:spacing w:after="120" w:before="0" w:line="276" w:lineRule="auto"/>
      </w:pPr>
      <w:r>
        <w:rPr>
          <w:b/>
          <w:i w:val="0"/>
          <w:sz w:val="21"/>
        </w:rPr>
        <w:t xml:space="preserve">Goal: </w:t>
      </w:r>
      <w:r>
        <w:rPr>
          <w:b w:val="0"/>
          <w:i w:val="0"/>
          <w:sz w:val="21"/>
        </w:rPr>
        <w:t xml:space="preserve">Turn findings into code changes efficiently.  </w:t>
      </w:r>
      <w:r>
        <w:rPr>
          <w:b/>
          <w:i w:val="0"/>
          <w:sz w:val="21"/>
        </w:rPr>
        <w:t xml:space="preserve">Pain: </w:t>
      </w:r>
      <w:r>
        <w:rPr>
          <w:b w:val="0"/>
          <w:i w:val="0"/>
          <w:sz w:val="21"/>
        </w:rPr>
        <w:t xml:space="preserve">Findings lack specifics — which element, which guideline, what good looks like.  </w:t>
      </w:r>
      <w:r>
        <w:rPr>
          <w:b/>
          <w:i w:val="0"/>
          <w:sz w:val="21"/>
        </w:rPr>
        <w:t xml:space="preserve">Needs: </w:t>
      </w:r>
      <w:r>
        <w:rPr>
          <w:b w:val="0"/>
          <w:i w:val="0"/>
          <w:sz w:val="21"/>
        </w:rPr>
        <w:t>Element-level detail, code pointers, examples, and machine-readable export.</w:t>
      </w:r>
    </w:p>
    <w:p>
      <w:pPr>
        <w:pStyle w:val="Heading3"/>
      </w:pPr>
      <w:r>
        <w:t>Persona D — Accessibility Reviewer / Auditor (“The Assessor”)</w:t>
      </w:r>
    </w:p>
    <w:p>
      <w:pPr>
        <w:spacing w:after="120" w:before="0" w:line="276" w:lineRule="auto"/>
      </w:pPr>
      <w:r>
        <w:rPr>
          <w:b/>
          <w:i w:val="0"/>
          <w:sz w:val="21"/>
        </w:rPr>
        <w:t xml:space="preserve">Goal: </w:t>
      </w:r>
      <w:r>
        <w:rPr>
          <w:b w:val="0"/>
          <w:i w:val="0"/>
          <w:sz w:val="21"/>
        </w:rPr>
        <w:t xml:space="preserve">Combine automated findings with expert manual review.  </w:t>
      </w:r>
      <w:r>
        <w:rPr>
          <w:b/>
          <w:i w:val="0"/>
          <w:sz w:val="21"/>
        </w:rPr>
        <w:t xml:space="preserve">Needs: </w:t>
      </w:r>
      <w:r>
        <w:rPr>
          <w:b w:val="0"/>
          <w:i w:val="0"/>
          <w:sz w:val="21"/>
        </w:rPr>
        <w:t>Guided manual checklists, ability to annotate, confirm or override automated results, and sign off.</w:t>
      </w:r>
    </w:p>
    <w:p>
      <w:pPr>
        <w:pStyle w:val="Heading1"/>
      </w:pPr>
      <w:r>
        <w:t>6.  Product Overview — How It Works</w:t>
      </w:r>
    </w:p>
    <w:p>
      <w:pPr>
        <w:spacing w:after="120" w:before="0" w:line="276" w:lineRule="auto"/>
      </w:pPr>
      <w:r>
        <w:rPr>
          <w:b w:val="0"/>
          <w:i w:val="0"/>
          <w:sz w:val="21"/>
        </w:rPr>
        <w:t>The owner signs in with a government identity, registers and verifies a domain, and requests an audit. The platform crawls a representative set of pages and journeys, runs a battery of automated checks across four standards families, and computes scores. Within minutes the owner receives a report: an overall GovUX Score, category breakdowns, a severity-ranked issue list, and step-by-step remediation guidance. The owner fixes issues and re-audits to confirm improvement. Meanwhile, every audit feeds anonymised, aggregate signals into the national dashboard.</w:t>
      </w:r>
    </w:p>
    <w:p>
      <w:pPr>
        <w:pStyle w:val="Heading2"/>
      </w:pPr>
      <w:r>
        <w:t>6.1  End-to-end flow</w:t>
      </w:r>
    </w:p>
    <w:p>
      <w:pPr>
        <w:pStyle w:val="ListNumber"/>
        <w:spacing w:after="60" w:line="269" w:lineRule="auto"/>
      </w:pPr>
      <w:r>
        <w:rPr>
          <w:sz w:val="21"/>
        </w:rPr>
        <w:t>Register &amp; verify domain ownership (.gov.in / .nic.in).</w:t>
      </w:r>
    </w:p>
    <w:p>
      <w:pPr>
        <w:pStyle w:val="ListNumber"/>
        <w:spacing w:after="60" w:line="269" w:lineRule="auto"/>
      </w:pPr>
      <w:r>
        <w:rPr>
          <w:sz w:val="21"/>
        </w:rPr>
        <w:t>Configure audit scope (pages, journeys, device profiles, depth).</w:t>
      </w:r>
    </w:p>
    <w:p>
      <w:pPr>
        <w:pStyle w:val="ListNumber"/>
        <w:spacing w:after="60" w:line="269" w:lineRule="auto"/>
      </w:pPr>
      <w:r>
        <w:rPr>
          <w:sz w:val="21"/>
        </w:rPr>
        <w:t>Automated crawl + evaluation against GIGW 3.0, WCAG 2.2, UX heuristics, Core Web Vitals.</w:t>
      </w:r>
    </w:p>
    <w:p>
      <w:pPr>
        <w:pStyle w:val="ListNumber"/>
        <w:spacing w:after="60" w:line="269" w:lineRule="auto"/>
      </w:pPr>
      <w:r>
        <w:rPr>
          <w:sz w:val="21"/>
        </w:rPr>
        <w:t>Scoring engine computes the GovUX Score and category sub-scores.</w:t>
      </w:r>
    </w:p>
    <w:p>
      <w:pPr>
        <w:pStyle w:val="ListNumber"/>
        <w:spacing w:after="60" w:line="269" w:lineRule="auto"/>
      </w:pPr>
      <w:r>
        <w:rPr>
          <w:sz w:val="21"/>
        </w:rPr>
        <w:t>Prioritised report generated with plain-language guidance.</w:t>
      </w:r>
    </w:p>
    <w:p>
      <w:pPr>
        <w:pStyle w:val="ListNumber"/>
        <w:spacing w:after="60" w:line="269" w:lineRule="auto"/>
      </w:pPr>
      <w:r>
        <w:rPr>
          <w:sz w:val="21"/>
        </w:rPr>
        <w:t>Owner remediates; optional guided manual review by an assessor.</w:t>
      </w:r>
    </w:p>
    <w:p>
      <w:pPr>
        <w:pStyle w:val="ListNumber"/>
        <w:spacing w:after="60" w:line="269" w:lineRule="auto"/>
      </w:pPr>
      <w:r>
        <w:rPr>
          <w:sz w:val="21"/>
        </w:rPr>
        <w:t>Re-audit; trend and improvement tracked; results roll up to the national dashboard.</w:t>
      </w:r>
    </w:p>
    <w:p>
      <w:pPr>
        <w:pStyle w:val="Heading1"/>
      </w:pPr>
      <w:r>
        <w:t>7.  The Audit Engine &amp; Standards Framework</w:t>
      </w:r>
    </w:p>
    <w:p>
      <w:pPr>
        <w:spacing w:after="120" w:before="0" w:line="276" w:lineRule="auto"/>
      </w:pPr>
      <w:r>
        <w:rPr>
          <w:b w:val="0"/>
          <w:i w:val="0"/>
          <w:sz w:val="21"/>
        </w:rPr>
        <w:t>The audit engine is the core of the platform. It evaluates each site against four complementary standards families and consolidates the results into a single, transparent scoring model. Every finding is traceable to a specific rule, so scores are defensible and reproducible.</w:t>
      </w:r>
    </w:p>
    <w:p>
      <w:pPr>
        <w:pStyle w:val="Heading2"/>
      </w:pPr>
      <w:r>
        <w:t>7.1  Standards families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Family</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What it checks</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Basis</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GIGW 3.0</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Indian government website mandate: UI/UX, information architecture, content quality, citizen-service standards, mobile, security hygiene</w:t>
            </w:r>
          </w:p>
        </w:tc>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88 mandatory guidelines (NIC / MeitY)</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WCAG 2.2 AA</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Accessibility: perceivable, operable, understandable, robust; support for cognitive, low-vision and mobile disabilities</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W3C WCAG 2.2, Level AA</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UX heuristics</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Evidence-based usability of navigation, search, forms, page layout, trust, error handling and task flows</w:t>
            </w:r>
          </w:p>
        </w:tc>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Baymard-style research heuristics, adapted for citizen services</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Core Web Vitals</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Performance &amp; technical health: LCP, INP, CLS, mobile-readiness, page weight, SEO basics</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Google Web Vitals / Lighthouse</w:t>
            </w:r>
          </w:p>
        </w:tc>
      </w:tr>
    </w:tbl>
    <w:p>
      <w:pPr>
        <w:spacing w:after="80"/>
      </w:pP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Note on standards versions:  </w:t>
      </w:r>
      <w:r>
        <w:rPr>
          <w:sz w:val="21"/>
        </w:rPr>
        <w:t>GIGW 3.0 aligns accessibility to WCAG 2.1 AA. This platform sets WCAG 2.2 AA as the forward-looking baseline (a superset adding success criteria for focus appearance, target size and accessible authentication), so sites meeting the platform's bar exceed the current GIGW floor and are future-proofed.</w:t>
      </w:r>
    </w:p>
    <w:p>
      <w:pPr>
        <w:pStyle w:val="Heading2"/>
      </w:pPr>
      <w:r>
        <w:t>7.2  Audit categories &amp; weighting</w:t>
      </w:r>
    </w:p>
    <w:p>
      <w:pPr>
        <w:spacing w:after="120" w:before="0" w:line="276" w:lineRule="auto"/>
      </w:pPr>
      <w:r>
        <w:rPr>
          <w:b w:val="0"/>
          <w:i w:val="0"/>
          <w:sz w:val="21"/>
        </w:rPr>
        <w:t>Automated and manual checks are organised into scoring categories. Indicative weights (configurable and version-controlled) reflect citizen impact and legal obligation: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3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Category</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Weight</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Representative checks</w:t>
            </w:r>
          </w:p>
        </w:tc>
      </w:tr>
      <w:tr>
        <w:tc>
          <w:tcPr>
            <w:tcW w:type="dxa" w:w="3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Accessibility (WCAG 2.2 AA)</w:t>
            </w:r>
          </w:p>
        </w:tc>
        <w:tc>
          <w:tcPr>
            <w:tcW w:type="dxa" w:w="1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25%</w:t>
            </w:r>
          </w:p>
        </w:tc>
        <w:tc>
          <w:tcPr>
            <w:tcW w:type="dxa" w:w="4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Contrast, alt text, keyboard access, ARIA, focus order, form labels, captions</w:t>
            </w:r>
          </w:p>
        </w:tc>
      </w:tr>
      <w:tr>
        <w:tc>
          <w:tcPr>
            <w:tcW w:type="dxa" w:w="3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Usability &amp; UX heuristics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20%</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Navigation clarity, search quality, form design, error handling, mobile ergonomics</w:t>
            </w:r>
          </w:p>
        </w:tc>
      </w:tr>
      <w:tr>
        <w:tc>
          <w:tcPr>
            <w:tcW w:type="dxa" w:w="3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GIGW compliance</w:t>
            </w:r>
          </w:p>
        </w:tc>
        <w:tc>
          <w:tcPr>
            <w:tcW w:type="dxa" w:w="1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20%</w:t>
            </w:r>
          </w:p>
        </w:tc>
        <w:tc>
          <w:tcPr>
            <w:tcW w:type="dxa" w:w="4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Mandatory elements: contact, policies, copyright, language, IA, security hygiene</w:t>
            </w:r>
          </w:p>
        </w:tc>
      </w:tr>
      <w:tr>
        <w:tc>
          <w:tcPr>
            <w:tcW w:type="dxa" w:w="3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Performance &amp; Core Web Vitals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15%</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LCP, INP, CLS, page weight, render-blocking, mobile speed</w:t>
            </w:r>
          </w:p>
        </w:tc>
      </w:tr>
      <w:tr>
        <w:tc>
          <w:tcPr>
            <w:tcW w:type="dxa" w:w="3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Content quality &amp; readability</w:t>
            </w:r>
          </w:p>
        </w:tc>
        <w:tc>
          <w:tcPr>
            <w:tcW w:type="dxa" w:w="1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10%</w:t>
            </w:r>
          </w:p>
        </w:tc>
        <w:tc>
          <w:tcPr>
            <w:tcW w:type="dxa" w:w="43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Plain language, structure, headings, link text, currency of content</w:t>
            </w:r>
          </w:p>
        </w:tc>
      </w:tr>
      <w:tr>
        <w:tc>
          <w:tcPr>
            <w:tcW w:type="dxa" w:w="3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Trust, security &amp; privacy signals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10%</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HTTPS, valid certificate, privacy policy, no mixed content, safe forms</w:t>
            </w:r>
          </w:p>
        </w:tc>
      </w:tr>
    </w:tbl>
    <w:p>
      <w:pPr>
        <w:spacing w:after="80"/>
      </w:pPr>
    </w:p>
    <w:p>
      <w:pPr>
        <w:pStyle w:val="Heading2"/>
      </w:pPr>
      <w:r>
        <w:t>7.3  Scoring model</w:t>
      </w:r>
    </w:p>
    <w:p>
      <w:pPr>
        <w:pStyle w:val="ListBullet"/>
        <w:spacing w:after="60" w:line="269" w:lineRule="auto"/>
      </w:pPr>
      <w:r>
        <w:rPr>
          <w:sz w:val="21"/>
        </w:rPr>
        <w:t>Each check returns pass / fail / warning / not-applicable, with a severity: Critical, High, Medium or Low.</w:t>
      </w:r>
    </w:p>
    <w:p>
      <w:pPr>
        <w:pStyle w:val="ListBullet"/>
        <w:spacing w:after="60" w:line="269" w:lineRule="auto"/>
      </w:pPr>
      <w:r>
        <w:rPr>
          <w:sz w:val="21"/>
        </w:rPr>
        <w:t>Category score = weighted pass rate, penalised by the count and severity of failures within that category.</w:t>
      </w:r>
    </w:p>
    <w:p>
      <w:pPr>
        <w:pStyle w:val="ListBullet"/>
        <w:spacing w:after="60" w:line="269" w:lineRule="auto"/>
      </w:pPr>
      <w:r>
        <w:rPr>
          <w:sz w:val="21"/>
        </w:rPr>
        <w:t>GovUX Score (0–100) = weighted sum of category scores, mapped to a band: A (90–100, Exemplary), B (75–89, Strong), C (60–74, Needs work), D (40–59, At risk), E (&lt;40, Critical).</w:t>
      </w:r>
    </w:p>
    <w:p>
      <w:pPr>
        <w:pStyle w:val="ListBullet"/>
        <w:spacing w:after="60" w:line="269" w:lineRule="auto"/>
      </w:pPr>
      <w:r>
        <w:rPr>
          <w:sz w:val="21"/>
        </w:rPr>
        <w:t>Critical accessibility or security failures cap the maximum attainable band until resolved (a “guard-rail” rule), reflecting legal obligations.</w:t>
      </w:r>
    </w:p>
    <w:p>
      <w:pPr>
        <w:pStyle w:val="ListBullet"/>
        <w:spacing w:after="60" w:line="269" w:lineRule="auto"/>
      </w:pPr>
      <w:r>
        <w:rPr>
          <w:sz w:val="21"/>
        </w:rPr>
        <w:t>Scores are versioned against the rules-engine version so historical comparisons remain valid.</w:t>
      </w:r>
    </w:p>
    <w:p>
      <w:pPr>
        <w:pStyle w:val="Heading2"/>
      </w:pPr>
      <w:r>
        <w:t>7.4  Severity &amp; prioritisation</w:t>
      </w:r>
    </w:p>
    <w:p>
      <w:pPr>
        <w:spacing w:after="120" w:before="0" w:line="276" w:lineRule="auto"/>
      </w:pPr>
      <w:r>
        <w:rPr>
          <w:b w:val="0"/>
          <w:i w:val="0"/>
          <w:sz w:val="21"/>
        </w:rPr>
        <w:t>Following the UX-Ray principle that not every issue carries the same weight, each finding is placed on an impact/effort matrix so owners fix what matters first.</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Severity</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Meaning</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Example</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Critical</w:t>
            </w:r>
          </w:p>
        </w:tc>
        <w:tc>
          <w:tcPr>
            <w:tcW w:type="dxa" w:w="358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Blocks a citizen from completing a task or excludes a disability group; or a legal/security breach</w:t>
            </w:r>
          </w:p>
        </w:tc>
        <w:tc>
          <w:tcPr>
            <w:tcW w:type="dxa" w:w="358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Form unusable by keyboard; no HTTPS; primary action not reachable</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High</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Major friction; many citizens likely to fail or abandon</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Confusing navigation; search returns no useful results</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Medium</w:t>
            </w:r>
          </w:p>
        </w:tc>
        <w:tc>
          <w:tcPr>
            <w:tcW w:type="dxa" w:w="358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Noticeable friction affecting some users</w:t>
            </w:r>
          </w:p>
        </w:tc>
        <w:tc>
          <w:tcPr>
            <w:tcW w:type="dxa" w:w="358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Low contrast on secondary text; slow LCP on mobile</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Low</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Minor or cosmetic; best-practice polish</w:t>
            </w:r>
          </w:p>
        </w:tc>
        <w:tc>
          <w:tcPr>
            <w:tcW w:type="dxa" w:w="358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Missing meta description; inconsistent button styling</w:t>
            </w:r>
          </w:p>
        </w:tc>
      </w:tr>
    </w:tbl>
    <w:p>
      <w:pPr>
        <w:spacing w:after="80"/>
      </w:pPr>
    </w:p>
    <w:p>
      <w:pPr>
        <w:pStyle w:val="Heading1"/>
      </w:pPr>
      <w:r>
        <w:t>8.  Functional Requirements</w:t>
      </w:r>
    </w:p>
    <w:p>
      <w:pPr>
        <w:spacing w:after="120" w:before="0" w:line="276" w:lineRule="auto"/>
      </w:pPr>
      <w:r>
        <w:rPr>
          <w:b w:val="0"/>
          <w:i w:val="0"/>
          <w:sz w:val="21"/>
        </w:rPr>
        <w:t>Requirements use MoSCoW priority: M = Must, S = Should, C = Could. Each has a unique identifier (FR-xx) for traceability to test cases and acceptance criteria.</w:t>
      </w:r>
    </w:p>
    <w:p>
      <w:pPr>
        <w:pStyle w:val="Heading2"/>
      </w:pPr>
      <w:r>
        <w:t>8.1  Registration, identity &amp; domain verification</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FR-01</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Allow sign-up/sign-in via government single sign-on (e.g., Parichay / JanParichay / NIC-email identity).</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A,B,D</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FR-02</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Restrict domain registration to .gov.in and .nic.in and approved sub-domains only.</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FR-03</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Verify domain ownership via at least one method: DNS TXT record, uploaded verification file, or SSO-linked organisational mapping.</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FR-04</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Support multiple domains per organisation and multiple users per domain with role-based access.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FR-05</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Maintain an approval workflow so a nodal officer authorises who may audit a domain.</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A,B</w:t>
            </w:r>
          </w:p>
        </w:tc>
      </w:tr>
    </w:tbl>
    <w:p>
      <w:pPr>
        <w:spacing w:after="80"/>
      </w:pPr>
    </w:p>
    <w:p>
      <w:pPr>
        <w:pStyle w:val="Heading2"/>
      </w:pPr>
      <w:r>
        <w:t>8.2  Audit configuration &amp; crawling</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FR-06</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Let the owner start an audit on-demand with sensible defaults (auto-discovered key pages).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FR-07</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Allow scoping: specific URLs, sitemap import, crawl depth, and inclusion/exclusion rules.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FR-08</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Support device/viewport profiles (desktop, mobile) and throttled-network profiles.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FR-09</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Allow definition of key citizen journeys (e.g., search → form → submit) for task-based evaluation.</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A,D</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FR-10</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Respect robots directives and crawl politely with rate limiting and an identifiable user agent.</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FR-11</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Queue and schedule audits; support recurring audits (e.g., monthly).</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A,B</w:t>
            </w:r>
          </w:p>
        </w:tc>
      </w:tr>
    </w:tbl>
    <w:p>
      <w:pPr>
        <w:spacing w:after="80"/>
      </w:pPr>
    </w:p>
    <w:p>
      <w:pPr>
        <w:pStyle w:val="Heading2"/>
      </w:pPr>
      <w:r>
        <w:t>8.3  Automated evaluation</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FR-12</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Run WCAG 2.2 AA accessibility checks (contrast, alt text, keyboard, ARIA, focus, labels, headings).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A,D</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FR-13</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Run GIGW 3.0 mandatory-element checks (contact info, policies, copyright, language options, IA rules).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FR-14</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Run UX heuristic checks on navigation, search, forms, layout, trust and error handling.</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FR-15</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Measure Core Web Vitals (LCP, INP, CLS), page weight and mobile-readiness.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FR-16</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Evaluate content readability, heading structure and link-text quality.</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FR-17</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Check trust/security signals: HTTPS, certificate validity, mixed content, secure forms.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FR-18</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Capture page screenshots and highlight the exact element for each visual finding.</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A,C</w:t>
            </w:r>
          </w:p>
        </w:tc>
      </w:tr>
    </w:tbl>
    <w:p>
      <w:pPr>
        <w:spacing w:after="80"/>
      </w:pPr>
    </w:p>
    <w:p>
      <w:pPr>
        <w:pStyle w:val="Heading2"/>
      </w:pPr>
      <w:r>
        <w:t>8.4  Scoring, reporting &amp; remediation</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FR-19</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Compute and display the GovUX Score, band and category sub-scores.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A,B</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FR-20</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Produce a severity-ranked issue list with impact/effort prioritisation.</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FR-21</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For each issue: plain-language explanation, the exact guideline reference, why it matters to citizens, and how to fix it (with a good example).</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FR-22</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Provide element-level detail and code pointers for developers.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FR-23</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Export reports as branded PDF and machine-readable JSON/CSV.</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A,C</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FR-24</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Track score history and show improvement trends across re-audits.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FR-25</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Generate a shareable, read-only report link for internal circulation.</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w:t>
            </w:r>
          </w:p>
        </w:tc>
      </w:tr>
    </w:tbl>
    <w:p>
      <w:pPr>
        <w:spacing w:after="80"/>
      </w:pPr>
    </w:p>
    <w:p>
      <w:pPr>
        <w:pStyle w:val="Heading2"/>
      </w:pPr>
      <w:r>
        <w:t>8.5  Guided manual audit &amp; assessor workflow</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FR-26</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Provide guided checklists for GIGW/WCAG items that require human judgement.</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FR-27</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Let an assessor confirm, override or annotate automated findings, with an audit trail.</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D</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FR-28</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Support a formal review sign-off state distinct from automated results.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D,B</w:t>
            </w:r>
          </w:p>
        </w:tc>
      </w:tr>
    </w:tbl>
    <w:p>
      <w:pPr>
        <w:spacing w:after="80"/>
      </w:pPr>
    </w:p>
    <w:p>
      <w:pPr>
        <w:pStyle w:val="Heading2"/>
      </w:pPr>
      <w:r>
        <w:t>8.6  Central dashboard &amp; analytics (MeitY / NIC)</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FR-29</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National roll-up of scores with drill-down by ministry, state, department and domain.</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FR-30</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Benchmarking and league tables; distribution of scores and top failing guidelines.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FR-31</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Trend analytics over time; cohort comparison of remediated vs. non-remediated sites.</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FR-32</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Exception alerts (e.g., critical failures, domains never audited, score regressions).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FR-33</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Configurable rules-engine versioning and weight management (governance-controlled).</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w:t>
            </w:r>
          </w:p>
        </w:tc>
      </w:tr>
    </w:tbl>
    <w:p>
      <w:pPr>
        <w:spacing w:after="80"/>
      </w:pPr>
    </w:p>
    <w:p>
      <w:pPr>
        <w:pStyle w:val="Heading2"/>
      </w:pPr>
      <w:r>
        <w:t>8.7  Platform administration &amp; notifications</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Persona</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FR-34</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Role-based access control (Owner, Contributor, Assessor, Programme-Admin, Super-Admin).</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All</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FR-35</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Email/SMS/in-app notifications on audit completion, regressions and scheduled runs.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FR-36</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Full audit logging of user and system actions for accountability.</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All</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FR-37</w:t>
            </w:r>
          </w:p>
        </w:tc>
        <w:tc>
          <w:tcPr>
            <w:tcW w:type="dxa" w:w="5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Content management for the guidance library, mapped to standards versions.</w:t>
            </w:r>
          </w:p>
        </w:tc>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B</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FR-38</w:t>
            </w:r>
          </w:p>
        </w:tc>
        <w:tc>
          <w:tcPr>
            <w:tcW w:type="dxa" w:w="5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Public knowledge base and in-product help explaining each guideline.</w:t>
            </w:r>
          </w:p>
        </w:tc>
        <w:tc>
          <w:tcPr>
            <w:tcW w:type="dxa" w:w="1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w:t>
            </w:r>
          </w:p>
        </w:tc>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A,C</w:t>
            </w:r>
          </w:p>
        </w:tc>
      </w:tr>
    </w:tbl>
    <w:p>
      <w:pPr>
        <w:spacing w:after="80"/>
      </w:pPr>
    </w:p>
    <w:p>
      <w:pPr>
        <w:pStyle w:val="Heading1"/>
      </w:pPr>
      <w:r>
        <w:t>9.  Non-Functional Requirements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ID</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Attribute</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Requirement</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NFR-01</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Performance</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 standard audit (up to ~50 pages) completes within 15 minutes; dashboard queries return within 3 seconds.</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NFR-02</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Scalability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Scale horizontally to audit thousands of domains and run hundreds of concurrent audits via a worker queue.</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NFR-03</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Availability</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99.5% monthly uptime for the portal; graceful degradation of the crawl workers.</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NFR-04</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Security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Align with CERT-In guidance and the GIGW security chapter; encryption in transit and at rest; hardened, patched infrastructure; regular VAPT.</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NFR-05</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Privacy &amp; data</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Data residency in India on approved government cloud; least-privilege access; no collection of citizen PII during crawls.</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NFR-06</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Platform accessibility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The platform's own UI must meet WCAG 2.2 AA and GIGW 3.0 — it must pass its own audit.</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NFR-07</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Usability</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 first-time nodal officer can run an audit and read the report without training.</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NFR-08</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Interoperability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Open REST APIs and standard export formats (JSON/CSV/PDF); SSO via government identity.</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NFR-09</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Maintainability</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Rules engine is modular and versioned so new/updated guidelines deploy without downtime.</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NFR-10</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Auditability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Every score is reproducible and traceable to rule version, inputs and evidence.</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NFR-11</w:t>
            </w:r>
          </w:p>
        </w:tc>
        <w:tc>
          <w:tcPr>
            <w:tcW w:type="dxa" w:w="3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Localisation</w:t>
            </w:r>
          </w:p>
        </w:tc>
        <w:tc>
          <w:tcPr>
            <w:tcW w:type="dxa" w:w="4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Bilingual interface (Hindi and English) at launch; architecture ready for additional scheduled languages.</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NFR-12</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Compliance</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Conform to GIGW 3.0, IT Act provisions, the DPDP Act 2023 and applicable government cloud policies.</w:t>
            </w:r>
          </w:p>
        </w:tc>
      </w:tr>
    </w:tbl>
    <w:p>
      <w:pPr>
        <w:spacing w:after="80"/>
      </w:pPr>
    </w:p>
    <w:p>
      <w:pPr>
        <w:pStyle w:val="Heading1"/>
      </w:pPr>
      <w:r>
        <w:t>10.  Solution Architecture (Conceptual)</w:t>
      </w:r>
    </w:p>
    <w:p>
      <w:pPr>
        <w:spacing w:after="120" w:before="0" w:line="276" w:lineRule="auto"/>
      </w:pPr>
      <w:r>
        <w:rPr>
          <w:b w:val="0"/>
          <w:i w:val="0"/>
          <w:sz w:val="21"/>
        </w:rPr>
        <w:t>The platform is a cloud-native, service-oriented system hosted on approved government cloud infrastructure. It separates the user-facing portal from the compute-heavy audit workers, connected by a durable job queue so audits scale independently of the web tier.</w:t>
      </w:r>
    </w:p>
    <w:p>
      <w:pPr>
        <w:pStyle w:val="Heading2"/>
      </w:pPr>
      <w:r>
        <w:t>10.1  Logical layers</w:t>
      </w:r>
    </w:p>
    <w:tbl>
      <w:tblPr>
        <w:tblW w:type="auto" w:w="0"/>
        <w:jc w:val="center"/>
        <w:tblLook w:firstColumn="1" w:firstRow="1" w:lastColumn="0" w:lastRow="0" w:noHBand="0" w:noVBand="1" w:val="04A0"/>
        <w:tblLayout w:type="fixed"/>
        <w:tblW w:w="9360" w:type="dxa"/>
      </w:tblPr>
      <w:tblGrid>
        <w:gridCol w:w="4680"/>
        <w:gridCol w:w="4680"/>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Layer</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Responsibility</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Presentation</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Responsive, accessible web portal (owner workspace) and admin dashboard; bilingual; WCAG 2.2 AA compliant.</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Application / API</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Authentication &amp; SSO, domain verification, audit orchestration, scoring, reporting, RBAC, notifications; exposed via secured REST APIs.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Audit workers</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Headless-browser crawlers and analysers running accessibility, UX-heuristic, GIGW, performance and security checks; horizontally scalable, queue-driven.</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Rules &amp; scoring engine</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Versioned rule sets mapping checks to GIGW/WCAG/heuristics/CWV; computes category and overall scores; guard-rail logic.</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Data &amp; analytics</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Relational store for accounts/domains/audits; object store for evidence (screenshots, HAR); analytics store for dashboards and trends.</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Integration</w:t>
            </w:r>
          </w:p>
        </w:tc>
        <w:tc>
          <w:tcPr>
            <w:tcW w:type="dxa" w:w="67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Government SSO, DigiLocker/Aadhaar (where applicable), India Portal, STQC/CERT-In signals, email/SMS gateways.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Cross-cutting</w:t>
            </w:r>
          </w:p>
        </w:tc>
        <w:tc>
          <w:tcPr>
            <w:tcW w:type="dxa" w:w="67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Security, encryption, logging, monitoring, secrets management, CI/CD and infrastructure-as-code.</w:t>
            </w:r>
          </w:p>
        </w:tc>
      </w:tr>
    </w:tbl>
    <w:p>
      <w:pPr>
        <w:spacing w:after="80"/>
      </w:pPr>
    </w:p>
    <w:p>
      <w:pPr>
        <w:pStyle w:val="Heading2"/>
      </w:pPr>
      <w:r>
        <w:t>10.2  Key technical considerations</w:t>
      </w:r>
    </w:p>
    <w:p>
      <w:pPr>
        <w:pStyle w:val="ListBullet"/>
        <w:spacing w:after="60" w:line="269" w:lineRule="auto"/>
      </w:pPr>
      <w:r>
        <w:rPr>
          <w:sz w:val="21"/>
        </w:rPr>
        <w:t>Headless browser automation (a Chromium-based engine) to render JavaScript-heavy pages accurately before evaluation.</w:t>
      </w:r>
    </w:p>
    <w:p>
      <w:pPr>
        <w:pStyle w:val="ListBullet"/>
        <w:spacing w:after="60" w:line="269" w:lineRule="auto"/>
      </w:pPr>
      <w:r>
        <w:rPr>
          <w:sz w:val="21"/>
        </w:rPr>
        <w:t>Established open engines for automated accessibility and performance (e.g., axe-core-class rules and Lighthouse-class metrics) wrapped by the platform's own scoring layer.</w:t>
      </w:r>
    </w:p>
    <w:p>
      <w:pPr>
        <w:pStyle w:val="ListBullet"/>
        <w:spacing w:after="60" w:line="269" w:lineRule="auto"/>
      </w:pPr>
      <w:r>
        <w:rPr>
          <w:sz w:val="21"/>
        </w:rPr>
        <w:t>A durable message queue and stateless workers so audit throughput scales elastically.</w:t>
      </w:r>
    </w:p>
    <w:p>
      <w:pPr>
        <w:pStyle w:val="ListBullet"/>
        <w:spacing w:after="60" w:line="269" w:lineRule="auto"/>
      </w:pPr>
      <w:r>
        <w:rPr>
          <w:sz w:val="21"/>
        </w:rPr>
        <w:t>Idempotent, versioned rules so re-running an old audit yields the same score; new rule versions clearly labelled.</w:t>
      </w:r>
    </w:p>
    <w:p>
      <w:pPr>
        <w:pStyle w:val="ListBullet"/>
        <w:spacing w:after="60" w:line="269" w:lineRule="auto"/>
      </w:pPr>
      <w:r>
        <w:rPr>
          <w:sz w:val="21"/>
        </w:rPr>
        <w:t>Polite crawling: rate limits, concurrency caps per domain, an identifiable user agent, and honouring of robots directives.</w:t>
      </w:r>
    </w:p>
    <w:p>
      <w:pPr>
        <w:pStyle w:val="Heading1"/>
      </w:pPr>
      <w:r>
        <w:t>11.  Data Requirements &amp; Model (High-Level)</w:t>
      </w:r>
    </w:p>
    <w:tbl>
      <w:tblPr>
        <w:tblW w:type="auto" w:w="0"/>
        <w:jc w:val="center"/>
        <w:tblLook w:firstColumn="1" w:firstRow="1" w:lastColumn="0" w:lastRow="0" w:noHBand="0" w:noVBand="1" w:val="04A0"/>
        <w:tblLayout w:type="fixed"/>
        <w:tblW w:w="9360" w:type="dxa"/>
      </w:tblPr>
      <w:tblGrid>
        <w:gridCol w:w="4680"/>
        <w:gridCol w:w="4680"/>
      </w:tblGrid>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Entity</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Key attributes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Organisation</w:t>
            </w:r>
          </w:p>
        </w:tc>
        <w:tc>
          <w:tcPr>
            <w:tcW w:type="dxa" w:w="6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Ministry/dept/state identifier, type, parent hierarchy, nodal officer(s).</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User</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Government identity, role(s), organisation link, contact, status.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Domain</w:t>
            </w:r>
          </w:p>
        </w:tc>
        <w:tc>
          <w:tcPr>
            <w:tcW w:type="dxa" w:w="6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URL, TLD (.gov.in/.nic.in), verification method &amp; status, owner org, tags.</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Audit</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Domain, scope config, device profiles, rules-engine version, timestamps, status.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Finding</w:t>
            </w:r>
          </w:p>
        </w:tc>
        <w:tc>
          <w:tcPr>
            <w:tcW w:type="dxa" w:w="6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Audit link, check ID, standard reference, category, severity, element/URL, evidence, guidance.</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Score</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Audit link, category scores, overall GovUX Score, band, guard-rail flags.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Report</w:t>
            </w:r>
          </w:p>
        </w:tc>
        <w:tc>
          <w:tcPr>
            <w:tcW w:type="dxa" w:w="68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Audit link, format, generated artefacts, share links, access log.</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Guideline (library)</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Standard family, version, description, plain-language guidance, examples.</w:t>
            </w:r>
          </w:p>
        </w:tc>
      </w:tr>
    </w:tbl>
    <w:p>
      <w:pPr>
        <w:spacing w:after="80"/>
      </w:pP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Data protection:  </w:t>
      </w:r>
      <w:r>
        <w:rPr>
          <w:sz w:val="21"/>
        </w:rPr>
        <w:t>Crawls target public pages and must not capture citizen personal data. All platform data is stored in India on approved government cloud, encrypted, access-controlled, retained per policy, and handled in line with the DPDP Act, 2023 and CERT-In guidance.</w:t>
      </w:r>
    </w:p>
    <w:p>
      <w:pPr>
        <w:pStyle w:val="Heading1"/>
      </w:pPr>
      <w:r>
        <w:t>12.  Integrations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System</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Purpose</w:t>
            </w:r>
          </w:p>
        </w:tc>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Priority</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Government SSO (Parichay / JanParichay)</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Authenticate government users; map organisational identity</w:t>
            </w:r>
          </w:p>
        </w:tc>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Must</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DNS / registry checks</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Verify .gov.in / .nic.in domain ownership</w:t>
            </w:r>
          </w:p>
        </w:tc>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Must</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India Portal</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Discover and cross-reference the government website inventory</w:t>
            </w:r>
          </w:p>
        </w:tc>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Should</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DigiLocker / Aadhaar-based identity</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Optional stronger identity assurance for owners/assessors</w:t>
            </w:r>
          </w:p>
        </w:tc>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Could</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STQC Directorate</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Share readiness data to support certification (future)</w:t>
            </w:r>
          </w:p>
        </w:tc>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Could</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CERT-In feeds</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Incorporate security-hygiene signals and guidance</w:t>
            </w:r>
          </w:p>
        </w:tc>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Should</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Email / SMS gateways</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Notifications and alerts</w:t>
            </w:r>
          </w:p>
        </w:tc>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Should</w:t>
            </w:r>
          </w:p>
        </w:tc>
      </w:tr>
    </w:tbl>
    <w:p>
      <w:pPr>
        <w:spacing w:after="80"/>
      </w:pPr>
    </w:p>
    <w:p>
      <w:pPr>
        <w:pStyle w:val="Heading1"/>
      </w:pPr>
      <w:r>
        <w:t>13.  Security, Privacy &amp; Compliance</w:t>
      </w:r>
    </w:p>
    <w:p>
      <w:pPr>
        <w:pStyle w:val="ListBullet"/>
        <w:spacing w:after="60" w:line="269" w:lineRule="auto"/>
      </w:pPr>
      <w:r>
        <w:rPr>
          <w:sz w:val="21"/>
        </w:rPr>
        <w:t>Conform to the GIGW 3.0 cybersecurity chapter authored by CERT-In and to CERT-In directions generally.</w:t>
      </w:r>
    </w:p>
    <w:p>
      <w:pPr>
        <w:pStyle w:val="ListBullet"/>
        <w:spacing w:after="60" w:line="269" w:lineRule="auto"/>
      </w:pPr>
      <w:r>
        <w:rPr>
          <w:sz w:val="21"/>
        </w:rPr>
        <w:t>Encrypt data in transit (TLS) and at rest; manage secrets in a vault; enforce least-privilege RBAC and MFA for admins.</w:t>
      </w:r>
    </w:p>
    <w:p>
      <w:pPr>
        <w:pStyle w:val="ListBullet"/>
        <w:spacing w:after="60" w:line="269" w:lineRule="auto"/>
      </w:pPr>
      <w:r>
        <w:rPr>
          <w:sz w:val="21"/>
        </w:rPr>
        <w:t>Host on approved government cloud with data residency in India; segregate environments; harden and patch continuously.</w:t>
      </w:r>
    </w:p>
    <w:p>
      <w:pPr>
        <w:pStyle w:val="ListBullet"/>
        <w:spacing w:after="60" w:line="269" w:lineRule="auto"/>
      </w:pPr>
      <w:r>
        <w:rPr>
          <w:sz w:val="21"/>
        </w:rPr>
        <w:t>Conduct regular VAPT and third-party security assessment before go-live and periodically thereafter.</w:t>
      </w:r>
    </w:p>
    <w:p>
      <w:pPr>
        <w:pStyle w:val="ListBullet"/>
        <w:spacing w:after="60" w:line="269" w:lineRule="auto"/>
      </w:pPr>
      <w:r>
        <w:rPr>
          <w:sz w:val="21"/>
        </w:rPr>
        <w:t>Comply with the Digital Personal Data Protection Act, 2023; minimise data; define retention and deletion policies.</w:t>
      </w:r>
    </w:p>
    <w:p>
      <w:pPr>
        <w:pStyle w:val="ListBullet"/>
        <w:spacing w:after="60" w:line="269" w:lineRule="auto"/>
      </w:pPr>
      <w:r>
        <w:rPr>
          <w:sz w:val="21"/>
        </w:rPr>
        <w:t>Maintain comprehensive, tamper-evident audit logs and a documented incident-response process.</w:t>
      </w:r>
    </w:p>
    <w:p>
      <w:pPr>
        <w:pStyle w:val="ListBullet"/>
        <w:spacing w:after="60" w:line="269" w:lineRule="auto"/>
      </w:pPr>
      <w:r>
        <w:rPr>
          <w:sz w:val="21"/>
        </w:rPr>
        <w:t>Crawl responsibly and only with verified authorisation for the target domain.</w:t>
      </w:r>
    </w:p>
    <w:p>
      <w:pPr>
        <w:pStyle w:val="Heading1"/>
      </w:pPr>
      <w:r>
        <w:t>14.  Success Metrics &amp; KPIs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KPI</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Definition</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Target (Yr 1)</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Domains onboarded</w:t>
            </w:r>
          </w:p>
        </w:tc>
        <w:tc>
          <w:tcPr>
            <w:tcW w:type="dxa" w:w="3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Verified .gov.in/.nic.in domains registered</w:t>
            </w:r>
          </w:p>
        </w:tc>
        <w:tc>
          <w:tcPr>
            <w:tcW w:type="dxa" w:w="2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2,000+</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Audits completed</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Total automated audits run</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10,000+</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Median score improvement</w:t>
            </w:r>
          </w:p>
        </w:tc>
        <w:tc>
          <w:tcPr>
            <w:tcW w:type="dxa" w:w="3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Δ GovUX Score for re-audited domains</w:t>
            </w:r>
          </w:p>
        </w:tc>
        <w:tc>
          <w:tcPr>
            <w:tcW w:type="dxa" w:w="2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+20 points</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Accessibility pass rate</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Share of audited pages meeting WCAG 2.2 AA critical criteria</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+30 pts vs. baseline</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Time-to-audit</w:t>
            </w:r>
          </w:p>
        </w:tc>
        <w:tc>
          <w:tcPr>
            <w:tcW w:type="dxa" w:w="3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Request to report for a standard site</w:t>
            </w:r>
          </w:p>
        </w:tc>
        <w:tc>
          <w:tcPr>
            <w:tcW w:type="dxa" w:w="2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 15 minutes</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Owner satisfaction</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Reported clarity/actionability of reports</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 95%</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Critical-issue closure</w:t>
            </w:r>
          </w:p>
        </w:tc>
        <w:tc>
          <w:tcPr>
            <w:tcW w:type="dxa" w:w="3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 of critical findings resolved within 90 days</w:t>
            </w:r>
          </w:p>
        </w:tc>
        <w:tc>
          <w:tcPr>
            <w:tcW w:type="dxa" w:w="24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 70%</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National coverage</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 of known govt domains audited at least once</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 60%</w:t>
            </w:r>
          </w:p>
        </w:tc>
      </w:tr>
    </w:tbl>
    <w:p>
      <w:pPr>
        <w:spacing w:after="80"/>
      </w:pPr>
    </w:p>
    <w:p>
      <w:pPr>
        <w:pStyle w:val="Heading1"/>
      </w:pPr>
      <w:r>
        <w:t>15.  Implementation Roadmap</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5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Phase</w:t>
            </w:r>
          </w:p>
        </w:tc>
        <w:tc>
          <w:tcPr>
            <w:tcW w:type="dxa" w:w="21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Timeline</w:t>
            </w:r>
          </w:p>
        </w:tc>
        <w:tc>
          <w:tcPr>
            <w:tcW w:type="dxa" w:w="33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Scope</w:t>
            </w:r>
          </w:p>
        </w:tc>
        <w:tc>
          <w:tcPr>
            <w:tcW w:type="dxa" w:w="24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Outcome</w:t>
            </w:r>
          </w:p>
        </w:tc>
      </w:tr>
      <w:tr>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Discovery</w:t>
            </w:r>
          </w:p>
        </w:tc>
        <w:tc>
          <w:tcPr>
            <w:tcW w:type="dxa" w:w="2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Months 0–2</w:t>
            </w:r>
          </w:p>
        </w:tc>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Detailed requirements, rules mapping, UX design, architecture, security design</w:t>
            </w:r>
          </w:p>
        </w:tc>
        <w:tc>
          <w:tcPr>
            <w:tcW w:type="dxa" w:w="24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Approved design baseline</w:t>
            </w:r>
          </w:p>
        </w:tc>
      </w:tr>
      <w:tr>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MVP</w:t>
            </w:r>
          </w:p>
        </w:tc>
        <w:tc>
          <w:tcPr>
            <w:tcW w:type="dxa" w:w="2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Months 2–6</w:t>
            </w:r>
          </w:p>
        </w:tc>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Onboarding + verification, core crawler, WCAG + Core Web Vitals checks, scoring, PDF report</w:t>
            </w:r>
          </w:p>
        </w:tc>
        <w:tc>
          <w:tcPr>
            <w:tcW w:type="dxa" w:w="24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Pilot with 5–10 domains</w:t>
            </w:r>
          </w:p>
        </w:tc>
      </w:tr>
      <w:tr>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Standards depth</w:t>
            </w:r>
          </w:p>
        </w:tc>
        <w:tc>
          <w:tcPr>
            <w:tcW w:type="dxa" w:w="2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Months 6–10</w:t>
            </w:r>
          </w:p>
        </w:tc>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Full GIGW 3.0 rule set, UX heuristics, guided manual audit, re-audit &amp; trends</w:t>
            </w:r>
          </w:p>
        </w:tc>
        <w:tc>
          <w:tcPr>
            <w:tcW w:type="dxa" w:w="24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Full audit capability</w:t>
            </w:r>
          </w:p>
        </w:tc>
      </w:tr>
      <w:tr>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Scale &amp; dashboard</w:t>
            </w:r>
          </w:p>
        </w:tc>
        <w:tc>
          <w:tcPr>
            <w:tcW w:type="dxa" w:w="21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Months 10–14</w:t>
            </w:r>
          </w:p>
        </w:tc>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Central dashboard, benchmarking, alerts, APIs, SSO at scale, hardening</w:t>
            </w:r>
          </w:p>
        </w:tc>
        <w:tc>
          <w:tcPr>
            <w:tcW w:type="dxa" w:w="24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National rollout</w:t>
            </w:r>
          </w:p>
        </w:tc>
      </w:tr>
      <w:tr>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Optimise</w:t>
            </w:r>
          </w:p>
        </w:tc>
        <w:tc>
          <w:tcPr>
            <w:tcW w:type="dxa" w:w="21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Months 14–18+</w:t>
            </w:r>
          </w:p>
        </w:tc>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Native-app phase, STQC hand-off, ML-assisted prioritisation, additional languages</w:t>
            </w:r>
          </w:p>
        </w:tc>
        <w:tc>
          <w:tcPr>
            <w:tcW w:type="dxa" w:w="24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Continuous improvement</w:t>
            </w:r>
          </w:p>
        </w:tc>
      </w:tr>
    </w:tbl>
    <w:p>
      <w:pPr>
        <w:spacing w:after="80"/>
      </w:pPr>
    </w:p>
    <w:p>
      <w:pPr>
        <w:pStyle w:val="Heading1"/>
      </w:pPr>
      <w:r>
        <w:t>16.  Risks &amp; Mitigation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Risk</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Rating</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Mitigation</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Automated checks miss context-dependent issues</w:t>
            </w:r>
          </w:p>
        </w:tc>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High</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Pair automation with guided manual review; be transparent about coverage; label automated vs. reviewed.</w:t>
            </w:r>
          </w:p>
        </w:tc>
      </w:tr>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False positives erode trust in scores</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Medium</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Tune rules with expert validation; allow assessor override; show evidence for every finding.</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Crawling sensitive or auth-gated pages</w:t>
            </w:r>
          </w:p>
        </w:tc>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High</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Verify ownership before audit; respect robots; never capture PII; scope to public pages.</w:t>
            </w:r>
          </w:p>
        </w:tc>
      </w:tr>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Low adoption by nodal officers</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Medium</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Frictionless onboarding, plain language, mandate alignment, and recognition/league tables.</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Standards evolve (GIGW/WCAG updates)</w:t>
            </w:r>
          </w:p>
        </w:tc>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Medium</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Versioned rules engine; governance process to absorb changes without downtime.</w:t>
            </w:r>
          </w:p>
        </w:tc>
      </w:tr>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Security incident on a high-visibility platform</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High</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CERT-In-aligned controls, VAPT, monitoring, incident response, least privilege.</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Gaming the score</w:t>
            </w:r>
          </w:p>
        </w:tc>
        <w:tc>
          <w:tcPr>
            <w:tcW w:type="dxa" w:w="15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Low</w:t>
            </w:r>
          </w:p>
        </w:tc>
        <w:tc>
          <w:tcPr>
            <w:tcW w:type="dxa" w:w="45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Guard-rail rules, evidence-based checks, periodic audit of the auditor.</w:t>
            </w:r>
          </w:p>
        </w:tc>
      </w:tr>
    </w:tbl>
    <w:p>
      <w:pPr>
        <w:spacing w:after="80"/>
      </w:pPr>
    </w:p>
    <w:p>
      <w:pPr>
        <w:pStyle w:val="Heading1"/>
      </w:pPr>
      <w:r>
        <w:t>17.  Constraints &amp; Dependencies</w:t>
      </w:r>
    </w:p>
    <w:p>
      <w:pPr>
        <w:pStyle w:val="ListBullet"/>
        <w:spacing w:after="60" w:line="269" w:lineRule="auto"/>
      </w:pPr>
      <w:r>
        <w:rPr>
          <w:sz w:val="21"/>
        </w:rPr>
        <w:t>Hosting, identity and network access depend on NIC-provided government cloud and SSO services.</w:t>
      </w:r>
    </w:p>
    <w:p>
      <w:pPr>
        <w:pStyle w:val="ListBullet"/>
        <w:spacing w:after="60" w:line="269" w:lineRule="auto"/>
      </w:pPr>
      <w:r>
        <w:rPr>
          <w:sz w:val="21"/>
        </w:rPr>
        <w:t>GIGW 3.0 and WCAG 2.2 are the governing standards; changes require rules-engine updates.</w:t>
      </w:r>
    </w:p>
    <w:p>
      <w:pPr>
        <w:pStyle w:val="ListBullet"/>
        <w:spacing w:after="60" w:line="269" w:lineRule="auto"/>
      </w:pPr>
      <w:r>
        <w:rPr>
          <w:sz w:val="21"/>
        </w:rPr>
        <w:t>Certain sites behind firewalls or requiring authentication may need an approved network path or owner-assisted access.</w:t>
      </w:r>
    </w:p>
    <w:p>
      <w:pPr>
        <w:pStyle w:val="ListBullet"/>
        <w:spacing w:after="60" w:line="269" w:lineRule="auto"/>
      </w:pPr>
      <w:r>
        <w:rPr>
          <w:sz w:val="21"/>
        </w:rPr>
        <w:t>STQC certification remains a statutory function; the platform supports readiness, not issuance, at launch.</w:t>
      </w:r>
    </w:p>
    <w:p>
      <w:pPr>
        <w:pStyle w:val="Heading1"/>
      </w:pPr>
      <w:r>
        <w:t>18.  Acceptance Criteria (Illustrative)</w:t>
      </w:r>
    </w:p>
    <w:p>
      <w:pPr>
        <w:pStyle w:val="ListBullet"/>
        <w:spacing w:after="60" w:line="269" w:lineRule="auto"/>
      </w:pPr>
      <w:r>
        <w:rPr>
          <w:sz w:val="21"/>
        </w:rPr>
        <w:t>An authorised user can register and verify a .gov.in/.nic.in domain and is blocked from registering any other TLD.</w:t>
      </w:r>
    </w:p>
    <w:p>
      <w:pPr>
        <w:pStyle w:val="ListBullet"/>
        <w:spacing w:after="60" w:line="269" w:lineRule="auto"/>
      </w:pPr>
      <w:r>
        <w:rPr>
          <w:sz w:val="21"/>
        </w:rPr>
        <w:t>An on-demand audit of a standard site completes within 15 minutes and returns a GovUX Score with category sub-scores.</w:t>
      </w:r>
    </w:p>
    <w:p>
      <w:pPr>
        <w:pStyle w:val="ListBullet"/>
        <w:spacing w:after="60" w:line="269" w:lineRule="auto"/>
      </w:pPr>
      <w:r>
        <w:rPr>
          <w:sz w:val="21"/>
        </w:rPr>
        <w:t>Every finding shows its severity, the exact GIGW/WCAG/heuristic/CWV reference, plain-language reasoning, and remediation guidance.</w:t>
      </w:r>
    </w:p>
    <w:p>
      <w:pPr>
        <w:pStyle w:val="ListBullet"/>
        <w:spacing w:after="60" w:line="269" w:lineRule="auto"/>
      </w:pPr>
      <w:r>
        <w:rPr>
          <w:sz w:val="21"/>
        </w:rPr>
        <w:t>A re-audit after remediation reflects the improvement and updates the trend.</w:t>
      </w:r>
    </w:p>
    <w:p>
      <w:pPr>
        <w:pStyle w:val="ListBullet"/>
        <w:spacing w:after="60" w:line="269" w:lineRule="auto"/>
      </w:pPr>
      <w:r>
        <w:rPr>
          <w:sz w:val="21"/>
        </w:rPr>
        <w:t>The platform's own interface passes a WCAG 2.2 AA and GIGW 3.0 audit.</w:t>
      </w:r>
    </w:p>
    <w:p>
      <w:pPr>
        <w:pStyle w:val="ListBullet"/>
        <w:spacing w:after="60" w:line="269" w:lineRule="auto"/>
      </w:pPr>
      <w:r>
        <w:rPr>
          <w:sz w:val="21"/>
        </w:rPr>
        <w:t>The central dashboard rolls up scores by ministry, state and department with working drill-down.</w:t>
      </w:r>
    </w:p>
    <w:p>
      <w:pPr>
        <w:pStyle w:val="Heading1"/>
      </w:pPr>
      <w:r>
        <w:t>19.  Appendix A — Glossary</w:t>
      </w:r>
    </w:p>
    <w:tbl>
      <w:tblPr>
        <w:tblW w:type="auto" w:w="0"/>
        <w:jc w:val="center"/>
        <w:tblLook w:firstColumn="1" w:firstRow="1" w:lastColumn="0" w:lastRow="0" w:noHBand="0" w:noVBand="1" w:val="04A0"/>
        <w:tblLayout w:type="fixed"/>
        <w:tblW w:w="9360" w:type="dxa"/>
      </w:tblPr>
      <w:tblGrid>
        <w:gridCol w:w="4680"/>
        <w:gridCol w:w="4680"/>
      </w:tblGrid>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Term</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0B3D6B"/>
            <w:tcMar>
              <w:top w:w="50" w:type="dxa"/>
              <w:bottom w:w="50" w:type="dxa"/>
              <w:left w:w="90" w:type="dxa"/>
              <w:right w:w="90" w:type="dxa"/>
            </w:tcMar>
          </w:tcPr>
          <w:p>
            <w:pPr>
              <w:spacing w:after="20" w:line="252" w:lineRule="auto"/>
            </w:pPr>
            <w:r/>
            <w:r>
              <w:rPr>
                <w:b/>
                <w:color w:val="FFFFFF"/>
                <w:sz w:val="19"/>
              </w:rPr>
              <w:t>Meaning</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GIGW 3.0</w:t>
            </w:r>
          </w:p>
        </w:tc>
        <w:tc>
          <w:tcPr>
            <w:tcW w:type="dxa" w:w="7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Guidelines for Indian Government Websites and Apps, v3.0 — the national standard maintained by NIC/MeitY.</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WCAG 2.2 AA</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Web Content Accessibility Guidelines 2.2, conformance Level AA — the accessibility baseline.</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Core Web Vitals</w:t>
            </w:r>
          </w:p>
        </w:tc>
        <w:tc>
          <w:tcPr>
            <w:tcW w:type="dxa" w:w="7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Google's user-centred performance metrics: LCP, INP, CLS.</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UX heuristic</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Evidence-based usability principle used to detect friction, in the style of Baymard research.</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GovUX Score</w:t>
            </w:r>
          </w:p>
        </w:tc>
        <w:tc>
          <w:tcPr>
            <w:tcW w:type="dxa" w:w="7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The platform's overall 0–100 usability &amp; compliance score for a website.</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STQC</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Standardisation Testing and Quality Certification Directorate — GIGW certification authority.</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CERT-In</w:t>
            </w:r>
          </w:p>
        </w:tc>
        <w:tc>
          <w:tcPr>
            <w:tcW w:type="dxa" w:w="7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Indian Computer Emergency Response Team — the national cybersecurity agency.</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color w:val="1A1A1A"/>
                <w:sz w:val="19"/>
              </w:rPr>
              <w:t>Guard-rail rule</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50" w:type="dxa"/>
              <w:bottom w:w="50" w:type="dxa"/>
              <w:left w:w="90" w:type="dxa"/>
              <w:right w:w="90" w:type="dxa"/>
            </w:tcMar>
          </w:tcPr>
          <w:p>
            <w:pPr>
              <w:spacing w:after="20" w:line="252" w:lineRule="auto"/>
            </w:pPr>
            <w:r/>
            <w:r>
              <w:rPr>
                <w:b w:val="0"/>
                <w:color w:val="1A1A1A"/>
                <w:sz w:val="19"/>
              </w:rPr>
              <w:t>Logic that caps the attainable score band when a critical accessibility/security failure exists.</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color w:val="1A1A1A"/>
                <w:sz w:val="19"/>
              </w:rPr>
              <w:t>VAPT</w:t>
            </w:r>
          </w:p>
        </w:tc>
        <w:tc>
          <w:tcPr>
            <w:tcW w:type="dxa" w:w="7160"/>
            <w:vAlign w:val="center"/>
            <w:tcBorders>
              <w:top w:val="single" w:sz="4" w:space="0" w:color="C7D3DE"/>
              <w:left w:val="single" w:sz="4" w:space="0" w:color="C7D3DE"/>
              <w:bottom w:val="single" w:sz="4" w:space="0" w:color="C7D3DE"/>
              <w:right w:val="single" w:sz="4" w:space="0" w:color="C7D3DE"/>
            </w:tcBorders>
            <w:tcMar>
              <w:top w:w="50" w:type="dxa"/>
              <w:bottom w:w="50" w:type="dxa"/>
              <w:left w:w="90" w:type="dxa"/>
              <w:right w:w="90" w:type="dxa"/>
            </w:tcMar>
          </w:tcPr>
          <w:p>
            <w:pPr>
              <w:spacing w:after="20" w:line="252" w:lineRule="auto"/>
            </w:pPr>
            <w:r/>
            <w:r>
              <w:rPr>
                <w:b w:val="0"/>
                <w:color w:val="1A1A1A"/>
                <w:sz w:val="19"/>
              </w:rPr>
              <w:t>Vulnerability Assessment and Penetration Testing.</w:t>
            </w:r>
          </w:p>
        </w:tc>
      </w:tr>
    </w:tbl>
    <w:p>
      <w:pPr>
        <w:spacing w:after="80"/>
      </w:pPr>
    </w:p>
    <w:p>
      <w:pPr>
        <w:pStyle w:val="Heading1"/>
      </w:pPr>
      <w:r>
        <w:t>20.  Appendix B — References</w:t>
      </w:r>
    </w:p>
    <w:p>
      <w:pPr>
        <w:pStyle w:val="ListBullet"/>
        <w:spacing w:after="60" w:line="269" w:lineRule="auto"/>
      </w:pPr>
      <w:r>
        <w:rPr>
          <w:sz w:val="21"/>
        </w:rPr>
        <w:t>Guidelines for Indian Government Websites and Apps (GIGW 3.0) — guidelines.india.gov.in</w:t>
      </w:r>
    </w:p>
    <w:p>
      <w:pPr>
        <w:pStyle w:val="ListBullet"/>
        <w:spacing w:after="60" w:line="269" w:lineRule="auto"/>
      </w:pPr>
      <w:r>
        <w:rPr>
          <w:sz w:val="21"/>
        </w:rPr>
        <w:t>Web Content Accessibility Guidelines (WCAG) 2.2, W3C</w:t>
      </w:r>
    </w:p>
    <w:p>
      <w:pPr>
        <w:pStyle w:val="ListBullet"/>
        <w:spacing w:after="60" w:line="269" w:lineRule="auto"/>
      </w:pPr>
      <w:r>
        <w:rPr>
          <w:sz w:val="21"/>
        </w:rPr>
        <w:t>Google Core Web Vitals / Lighthouse performance metrics</w:t>
      </w:r>
    </w:p>
    <w:p>
      <w:pPr>
        <w:pStyle w:val="ListBullet"/>
        <w:spacing w:after="60" w:line="269" w:lineRule="auto"/>
      </w:pPr>
      <w:r>
        <w:rPr>
          <w:sz w:val="21"/>
        </w:rPr>
        <w:t>Baymard Institute — UX-Ray and evidence-based UX research methodology (baymard.com/product/ux-ray)</w:t>
      </w:r>
    </w:p>
    <w:p>
      <w:pPr>
        <w:pStyle w:val="ListBullet"/>
        <w:spacing w:after="60" w:line="269" w:lineRule="auto"/>
      </w:pPr>
      <w:r>
        <w:rPr>
          <w:sz w:val="21"/>
        </w:rPr>
        <w:t>Digital Personal Data Protection Act, 2023; CERT-In directions; Rights of Persons with Disabilities Act, 2016</w:t>
      </w:r>
    </w:p>
    <w:p>
      <w:pPr>
        <w:spacing w:after="120" w:before="200" w:line="276" w:lineRule="auto"/>
        <w:jc w:val="center"/>
        <w:pBdr>
          <w:top w:val="single" w:sz="4" w:space="6" w:color="C7D3DE"/>
        </w:pBdr>
      </w:pPr>
      <w:r>
        <w:rPr>
          <w:b w:val="0"/>
          <w:i/>
          <w:color w:val="5A6B7B"/>
          <w:sz w:val="20"/>
        </w:rPr>
        <w:t>— End of Business Requirements Document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6" w:color="C7D3DE"/>
      </w:pBdr>
    </w:pPr>
    <w:r/>
    <w:r>
      <w:rPr>
        <w:color w:val="5A6B7B"/>
        <w:sz w:val="16"/>
      </w:rPr>
      <w:t>Official — v1.0</w:t>
    </w:r>
    <w:r>
      <w:rPr>
        <w:color w:val="5A6B7B"/>
        <w:sz w:val="16"/>
      </w:rPr>
      <w:tab/>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6" w:color="C7D3DE"/>
      </w:pBdr>
    </w:pPr>
    <w:r/>
    <w:r>
      <w:rPr>
        <w:b/>
        <w:color w:val="0B3D6B"/>
        <w:sz w:val="16"/>
      </w:rPr>
      <w:t>GovUX Audit Platform</w:t>
    </w:r>
    <w:r>
      <w:rPr>
        <w:color w:val="5A6B7B"/>
        <w:sz w:val="16"/>
      </w:rPr>
      <w:tab/>
      <w:t>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Bdr>
        <w:bottom w:val="single" w:sz="6" w:space="4" w:color="1F6FB2"/>
      </w:pBdr>
    </w:pPr>
    <w:rPr>
      <w:rFonts w:asciiTheme="majorHAnsi" w:eastAsiaTheme="majorEastAsia" w:hAnsiTheme="majorHAnsi" w:cstheme="majorBidi" w:ascii="Calibri" w:hAnsi="Calibri"/>
      <w:b/>
      <w:bCs/>
      <w:color w:val="0B3D6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4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