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4" w:lineRule="auto"/>
      </w:pPr>
    </w:p>
    <w:p>
      <w:pPr>
        <w:spacing w:after="120" w:before="0" w:line="274" w:lineRule="auto"/>
      </w:pPr>
    </w:p>
    <w:p>
      <w:pPr>
        <w:spacing w:after="40" w:before="0" w:line="274" w:lineRule="auto"/>
        <w:jc w:val="center"/>
      </w:pPr>
      <w:r>
        <w:rPr>
          <w:b/>
          <w:i w:val="0"/>
          <w:color w:val="5A6B7B"/>
          <w:sz w:val="26"/>
        </w:rPr>
        <w:t>GOVERNMENT OF INDIA</w:t>
      </w:r>
    </w:p>
    <w:p>
      <w:pPr>
        <w:spacing w:after="200" w:before="0" w:line="274" w:lineRule="auto"/>
        <w:jc w:val="center"/>
      </w:pPr>
      <w:r>
        <w:rPr>
          <w:b w:val="0"/>
          <w:i w:val="0"/>
          <w:color w:val="5A6B7B"/>
          <w:sz w:val="19"/>
        </w:rPr>
        <w:t>Ministry of Electronics &amp; Information Technology  •  National Informatics Centre</w:t>
      </w:r>
    </w:p>
    <w:p>
      <w:pPr>
        <w:spacing w:after="40" w:before="80" w:line="274" w:lineRule="auto"/>
        <w:jc w:val="center"/>
        <w:pBdr>
          <w:top w:val="single" w:sz="12" w:space="10" w:color="C8641E"/>
        </w:pBdr>
      </w:pPr>
    </w:p>
    <w:p>
      <w:pPr>
        <w:spacing w:after="120" w:before="0" w:line="274" w:lineRule="auto"/>
      </w:pPr>
    </w:p>
    <w:p>
      <w:pPr>
        <w:spacing w:after="80" w:before="0" w:line="274" w:lineRule="auto"/>
        <w:jc w:val="center"/>
      </w:pPr>
      <w:r>
        <w:rPr>
          <w:b/>
          <w:i w:val="0"/>
          <w:color w:val="0B3D6B"/>
          <w:sz w:val="64"/>
        </w:rPr>
        <w:t>GovUX Audit Platform</w:t>
      </w:r>
    </w:p>
    <w:p>
      <w:pPr>
        <w:spacing w:after="40" w:before="0" w:line="274" w:lineRule="auto"/>
        <w:jc w:val="center"/>
      </w:pPr>
      <w:r>
        <w:rPr>
          <w:b w:val="0"/>
          <w:i w:val="0"/>
          <w:color w:val="1F6FB2"/>
          <w:sz w:val="30"/>
        </w:rPr>
        <w:t>Consolidated Business Requirements Document</w:t>
      </w:r>
    </w:p>
    <w:p>
      <w:pPr>
        <w:spacing w:after="200" w:before="0" w:line="274" w:lineRule="auto"/>
        <w:jc w:val="center"/>
      </w:pPr>
      <w:r>
        <w:rPr>
          <w:b w:val="0"/>
          <w:i/>
          <w:color w:val="5A6B7B"/>
          <w:sz w:val="23"/>
        </w:rPr>
        <w:t>Product · Scoring · Architecture · Technology · Roadmap</w:t>
      </w:r>
    </w:p>
    <w:p>
      <w:pPr>
        <w:spacing w:after="40" w:before="80" w:line="274" w:lineRule="auto"/>
        <w:jc w:val="center"/>
        <w:pBdr>
          <w:bottom w:val="single" w:sz="12" w:space="10" w:color="138808"/>
        </w:pBdr>
      </w:pPr>
    </w:p>
    <w:p>
      <w:pPr>
        <w:spacing w:after="120" w:before="0" w:line="274" w:lineRule="auto"/>
      </w:pPr>
    </w:p>
    <w:p>
      <w:pPr>
        <w:spacing w:after="120" w:before="0" w:line="274" w:lineRule="auto"/>
      </w:pPr>
    </w:p>
    <w:p>
      <w:pPr>
        <w:spacing w:after="120" w:before="0" w:line="274" w:lineRule="auto"/>
      </w:pPr>
    </w:p>
    <w:p>
      <w:pPr>
        <w:spacing w:after="120" w:before="0" w:line="274" w:lineRule="auto"/>
      </w:pPr>
    </w:p>
    <w:p>
      <w:pPr>
        <w:spacing w:after="40" w:before="0" w:line="274" w:lineRule="auto"/>
        <w:jc w:val="center"/>
      </w:pPr>
      <w:r>
        <w:rPr>
          <w:b/>
          <w:i w:val="0"/>
          <w:color w:val="1A1A1A"/>
          <w:sz w:val="26"/>
        </w:rPr>
        <w:t>BUSINESS REQUIREMENTS DOCUMENT — VERSION 1.1 (CONSOLIDATED)</w:t>
      </w:r>
    </w:p>
    <w:p>
      <w:pPr>
        <w:spacing w:after="160" w:before="0" w:line="274" w:lineRule="auto"/>
        <w:jc w:val="center"/>
      </w:pPr>
      <w:r>
        <w:rPr>
          <w:b w:val="0"/>
          <w:i/>
          <w:color w:val="5A6B7B"/>
          <w:sz w:val="19"/>
        </w:rPr>
        <w:t>Supersedes BRD v1.0 and merges the Gap Analysis, Scoring Model, Phase-1 ML Plan and Technology &amp; Architecture notes</w:t>
      </w:r>
    </w:p>
    <w:p>
      <w:pPr>
        <w:spacing w:after="40" w:before="0" w:line="274" w:lineRule="auto"/>
        <w:jc w:val="center"/>
      </w:pPr>
      <w:r>
        <w:rPr>
          <w:b w:val="0"/>
          <w:i w:val="0"/>
          <w:color w:val="5A6B7B"/>
          <w:sz w:val="19"/>
        </w:rPr>
        <w:t>6 July 2026  ·  Classification: Official  ·  Standards: GIGW 3.0 · WCAG 2.2 AA · UX4G · Core Web Vitals</w:t>
      </w:r>
    </w:p>
    <w:p>
      <w:pPr>
        <w:sectPr>
          <w:pgSz w:w="12240" w:h="15840"/>
          <w:pgMar w:top="1440" w:right="1440" w:bottom="1440" w:left="1440" w:header="720" w:footer="720" w:gutter="0"/>
          <w:cols w:space="720"/>
          <w:docGrid w:linePitch="360"/>
        </w:sectPr>
      </w:pPr>
    </w:p>
    <w:p>
      <w:pPr>
        <w:pStyle w:val="Heading1"/>
      </w:pPr>
      <w:r>
        <w:t>Document Control</w:t>
      </w:r>
    </w:p>
    <w:tbl>
      <w:tblPr>
        <w:tblW w:type="auto" w:w="0"/>
        <w:jc w:val="center"/>
        <w:tblLook w:firstColumn="1" w:firstRow="1" w:lastColumn="0" w:lastRow="0" w:noHBand="0" w:noVBand="1" w:val="04A0"/>
        <w:tblLayout w:type="fixed"/>
        <w:tblW w:w="9360" w:type="dxa"/>
      </w:tblPr>
      <w:tblGrid>
        <w:gridCol w:w="4680"/>
        <w:gridCol w:w="4680"/>
      </w:tblGrid>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Attribute</w:t>
            </w:r>
          </w:p>
        </w:tc>
        <w:tc>
          <w:tcPr>
            <w:tcW w:type="dxa" w:w="68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Detail</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Title</w:t>
            </w:r>
          </w:p>
        </w:tc>
        <w:tc>
          <w:tcPr>
            <w:tcW w:type="dxa" w:w="6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GovUX Audit Platform — Consolidated Business Requirements Document</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color w:val="1A1A1A"/>
                <w:sz w:val="18"/>
              </w:rPr>
              <w:t>Version</w:t>
            </w:r>
          </w:p>
        </w:tc>
        <w:tc>
          <w:tcPr>
            <w:tcW w:type="dxa" w:w="6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1.1 (Consolidated; supersedes v1.0)</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Date</w:t>
            </w:r>
          </w:p>
        </w:tc>
        <w:tc>
          <w:tcPr>
            <w:tcW w:type="dxa" w:w="6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6 July 2026</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color w:val="1A1A1A"/>
                <w:sz w:val="18"/>
              </w:rPr>
              <w:t>Owner / Sponsor</w:t>
            </w:r>
          </w:p>
        </w:tc>
        <w:tc>
          <w:tcPr>
            <w:tcW w:type="dxa" w:w="6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Ministry of Electronics &amp; Information Technology (MeitY)</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Implementing agency</w:t>
            </w:r>
          </w:p>
        </w:tc>
        <w:tc>
          <w:tcPr>
            <w:tcW w:type="dxa" w:w="6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National Informatics Centre (NIC)</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color w:val="1A1A1A"/>
                <w:sz w:val="18"/>
              </w:rPr>
              <w:t>Consolidates</w:t>
            </w:r>
          </w:p>
        </w:tc>
        <w:tc>
          <w:tcPr>
            <w:tcW w:type="dxa" w:w="6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BRD v1.0 · Benchmark &amp; Gap Analysis · Scoring Model · Phase-1 ML Plan · Technology &amp; Architecture</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Standards baseline</w:t>
            </w:r>
          </w:p>
        </w:tc>
        <w:tc>
          <w:tcPr>
            <w:tcW w:type="dxa" w:w="6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GIGW 3.0 · WCAG 2.2 AA · UX4G · Core Web Vitals</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color w:val="1A1A1A"/>
                <w:sz w:val="18"/>
              </w:rPr>
              <w:t>Classification</w:t>
            </w:r>
          </w:p>
        </w:tc>
        <w:tc>
          <w:tcPr>
            <w:tcW w:type="dxa" w:w="6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Official — for approval</w:t>
            </w:r>
          </w:p>
        </w:tc>
      </w:tr>
    </w:tbl>
    <w:p>
      <w:pPr>
        <w:spacing w:after="80" w:before="0" w:line="274" w:lineRule="auto"/>
      </w:pPr>
    </w:p>
    <w:p>
      <w:pPr>
        <w:spacing w:after="120" w:before="0" w:line="274" w:lineRule="auto"/>
      </w:pPr>
    </w:p>
    <w:p>
      <w:pPr>
        <w:pStyle w:val="Heading2"/>
      </w:pPr>
      <w:r>
        <w:t>Version History</w:t>
      </w:r>
    </w:p>
    <w:tbl>
      <w:tblPr>
        <w:tblW w:type="auto" w:w="0"/>
        <w:jc w:val="center"/>
        <w:tblLook w:firstColumn="1" w:firstRow="1" w:lastColumn="0" w:lastRow="0" w:noHBand="0" w:noVBand="1" w:val="04A0"/>
        <w:tblLayout w:type="fixed"/>
        <w:tblW w:w="9360" w:type="dxa"/>
      </w:tblPr>
      <w:tblGrid>
        <w:gridCol w:w="2340"/>
        <w:gridCol w:w="2340"/>
        <w:gridCol w:w="2340"/>
        <w:gridCol w:w="2340"/>
      </w:tblGrid>
      <w:tr>
        <w:tc>
          <w:tcPr>
            <w:tcW w:type="dxa" w:w="13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Version</w:t>
            </w:r>
          </w:p>
        </w:tc>
        <w:tc>
          <w:tcPr>
            <w:tcW w:type="dxa" w:w="17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Date</w:t>
            </w:r>
          </w:p>
        </w:tc>
        <w:tc>
          <w:tcPr>
            <w:tcW w:type="dxa" w:w="43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Summary</w:t>
            </w:r>
          </w:p>
        </w:tc>
        <w:tc>
          <w:tcPr>
            <w:tcW w:type="dxa" w:w="20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Author</w:t>
            </w:r>
          </w:p>
        </w:tc>
      </w:tr>
      <w:tr>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0.1</w:t>
            </w:r>
          </w:p>
        </w:tc>
        <w:tc>
          <w:tcPr>
            <w:tcW w:type="dxa" w:w="17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20 Jun 2026</w:t>
            </w:r>
          </w:p>
        </w:tc>
        <w:tc>
          <w:tcPr>
            <w:tcW w:type="dxa" w:w="43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Initial outline &amp; scope</w:t>
            </w:r>
          </w:p>
        </w:tc>
        <w:tc>
          <w:tcPr>
            <w:tcW w:type="dxa" w:w="20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Product Team</w:t>
            </w:r>
          </w:p>
        </w:tc>
      </w:tr>
      <w:tr>
        <w:tc>
          <w:tcPr>
            <w:tcW w:type="dxa" w:w="1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1.0</w:t>
            </w:r>
          </w:p>
        </w:tc>
        <w:tc>
          <w:tcPr>
            <w:tcW w:type="dxa" w:w="17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06 Jul 2026</w:t>
            </w:r>
          </w:p>
        </w:tc>
        <w:tc>
          <w:tcPr>
            <w:tcW w:type="dxa" w:w="43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Business &amp; functional BRD issued</w:t>
            </w:r>
          </w:p>
        </w:tc>
        <w:tc>
          <w:tcPr>
            <w:tcW w:type="dxa" w:w="20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Product Team</w:t>
            </w:r>
          </w:p>
        </w:tc>
      </w:tr>
      <w:tr>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1.1</w:t>
            </w:r>
          </w:p>
        </w:tc>
        <w:tc>
          <w:tcPr>
            <w:tcW w:type="dxa" w:w="17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06 Jul 2026</w:t>
            </w:r>
          </w:p>
        </w:tc>
        <w:tc>
          <w:tcPr>
            <w:tcW w:type="dxa" w:w="43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Consolidated: adds scoring model, Phase-1 ML, async jobs, architecture, tech stack, gap-closing scope</w:t>
            </w:r>
          </w:p>
        </w:tc>
        <w:tc>
          <w:tcPr>
            <w:tcW w:type="dxa" w:w="20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Product Team</w:t>
            </w:r>
          </w:p>
        </w:tc>
      </w:tr>
    </w:tbl>
    <w:p>
      <w:pPr>
        <w:spacing w:after="80" w:before="0" w:line="274" w:lineRule="auto"/>
      </w:pPr>
    </w:p>
    <w:p>
      <w:pPr>
        <w:spacing w:after="120" w:before="0" w:line="274" w:lineRule="auto"/>
      </w:pPr>
    </w:p>
    <w:p>
      <w:pPr>
        <w:pStyle w:val="Heading2"/>
      </w:pPr>
      <w:r>
        <w:t>Companion annexes (delivered separately)</w:t>
      </w:r>
    </w:p>
    <w:p>
      <w:pPr>
        <w:pStyle w:val="ListBullet"/>
        <w:spacing w:after="40" w:line="264" w:lineRule="auto"/>
      </w:pPr>
      <w:r>
        <w:rPr>
          <w:sz w:val="21"/>
        </w:rPr>
        <w:t>Annex A — Audit Points &amp; Automation Coverage (Excel): 135 checks mapped to open-source tools and automation level.</w:t>
      </w:r>
    </w:p>
    <w:p>
      <w:pPr>
        <w:pStyle w:val="ListBullet"/>
        <w:spacing w:after="40" w:line="264" w:lineRule="auto"/>
      </w:pPr>
      <w:r>
        <w:rPr>
          <w:sz w:val="21"/>
        </w:rPr>
        <w:t>Annex B — Scoring Model &amp; Phase-1 ML Plan (Excel): live parameter-level score with worked example.</w:t>
      </w:r>
    </w:p>
    <w:p>
      <w:pPr>
        <w:pStyle w:val="ListBullet"/>
        <w:spacing w:after="40" w:line="264" w:lineRule="auto"/>
      </w:pPr>
      <w:r>
        <w:rPr>
          <w:sz w:val="21"/>
        </w:rPr>
        <w:t>Annex C — Interactive prototype (HTML): 19 screens across the owner and steward journeys.</w:t>
      </w:r>
    </w:p>
    <w:p>
      <w:r>
        <w:br w:type="page"/>
      </w:r>
    </w:p>
    <w:p>
      <w:pPr>
        <w:pBdr>
          <w:bottom w:val="single" w:sz="6" w:space="4" w:color="1F6FB2"/>
        </w:pBdr>
      </w:pPr>
      <w:r>
        <w:rPr>
          <w:b/>
          <w:color w:val="0B3D6B"/>
          <w:sz w:val="30"/>
        </w:rPr>
        <w:t>Table of Contents</w:t>
      </w:r>
    </w:p>
    <w:p>
      <w:r>
        <w:fldChar w:fldCharType="begin"/>
        <w:instrText xml:space="preserve">TOC \o "1-2" \h \z \u</w:instrText>
        <w:fldChar w:fldCharType="separate"/>
        <w:t>Right-click and choose “Update Field” to build the contents.</w:t>
        <w:fldChar w:fldCharType="end"/>
      </w:r>
    </w:p>
    <w:p>
      <w:pPr>
        <w:sectPr>
          <w:footerReference w:type="default" r:id="rId9"/>
          <w:pgSz w:w="12240" w:h="15840"/>
          <w:pgMar w:top="1440" w:right="1440" w:bottom="1440" w:left="1440" w:header="720" w:footer="720" w:gutter="0"/>
          <w:cols w:space="720"/>
          <w:docGrid w:linePitch="360"/>
        </w:sectPr>
      </w:pPr>
    </w:p>
    <w:p>
      <w:pPr>
        <w:pStyle w:val="Heading1"/>
      </w:pPr>
      <w:r>
        <w:t>1.  Executive Summary</w:t>
      </w:r>
    </w:p>
    <w:p>
      <w:pPr>
        <w:spacing w:after="120" w:before="0" w:line="274" w:lineRule="auto"/>
      </w:pPr>
      <w:r>
        <w:rPr>
          <w:b w:val="0"/>
          <w:i w:val="0"/>
          <w:sz w:val="21"/>
        </w:rPr>
        <w:t>Citizens expect to complete essential tasks on government websites as easily as on the best consumer platforms. Many Indian government sites on .gov.in and .nic.in fall short of established usability, accessibility and performance standards, causing failed tasks, exclusion of persons with disabilities, and erosion of trust. The GovUX Audit Platform is a secure, self-service platform on which any authorised owner can register a .gov.in/.nic.in domain, trigger an automated audit, and receive a clear, prioritised, evidence-backed report scored against GIGW 3.0, WCAG 2.2 AA, UX4G and Core Web Vitals — with a central compliance view for MeitY and NIC.</w:t>
      </w:r>
    </w:p>
    <w:p>
      <w:pPr>
        <w:spacing w:after="120" w:before="0" w:line="274" w:lineRule="auto"/>
      </w:pPr>
      <w:r>
        <w:rPr>
          <w:b w:val="0"/>
          <w:i w:val="0"/>
          <w:sz w:val="21"/>
        </w:rPr>
        <w:t>This consolidated version (v1.1) supersedes BRD v1.0 and folds in everything developed since: a parameter-level scoring model, a Phase-1 machine-learning plan (classical ML, no LLM), an asynchronous audit-job subsystem, the solution architecture and technology stack (including the FastAPI-vs-Fastify decision), and a competitive benchmark that positions the platform against global comparators.</w:t>
      </w:r>
    </w:p>
    <w:p>
      <w:pPr>
        <w:spacing w:before="80" w:after="160" w:line="274" w:lineRule="auto"/>
        <w:ind w:left="120"/>
        <w:shd w:val="clear" w:color="auto" w:fill="EEF5FB"/>
        <w:pBdr>
          <w:left w:val="single" w:sz="18" w:space="6" w:color="1F6FB2"/>
          <w:top w:val="single" w:sz="2" w:space="6" w:color="D6E6F2"/>
          <w:bottom w:val="single" w:sz="2" w:space="6" w:color="D6E6F2"/>
          <w:right w:val="single" w:sz="2" w:space="6" w:color="D6E6F2"/>
        </w:pBdr>
      </w:pPr>
      <w:r>
        <w:rPr>
          <w:b/>
          <w:color w:val="0B3D6B"/>
          <w:sz w:val="21"/>
        </w:rPr>
        <w:t xml:space="preserve">In one line:  </w:t>
      </w:r>
      <w:r>
        <w:rPr>
          <w:sz w:val="21"/>
        </w:rPr>
        <w:t>A national, self-service UX and compliance audit engine that lets every government website owner measure, understand and fix how well citizens can actually use their site — against India's own standards.</w:t>
      </w:r>
    </w:p>
    <w:p>
      <w:pPr>
        <w:pStyle w:val="Heading1"/>
      </w:pPr>
      <w:r>
        <w:t>2.  Background &amp; Problem Statement</w:t>
      </w:r>
    </w:p>
    <w:p>
      <w:pPr>
        <w:spacing w:after="120" w:before="0" w:line="274" w:lineRule="auto"/>
      </w:pPr>
      <w:r>
        <w:rPr>
          <w:b w:val="0"/>
          <w:i w:val="0"/>
          <w:sz w:val="21"/>
        </w:rPr>
        <w:t>GIGW, maintained by NIC under MeitY, is the authoritative standard for government digital properties; GIGW 3.0 sharpened its focus on UI/UX and information architecture, aligned accessibility with WCAG, and added a CERT-In cybersecurity chapter. UX4G (NeGD/MeitY) provides government UX guidelines, a design system and an audit toolkit across 99+ parameters. Yet conformance is uneven: audits are manual, slow, costly and periodic, owners lack a fast self-service check, and there is no single, comparable national view of quality.</w:t>
      </w:r>
    </w:p>
    <w:p>
      <w:pPr>
        <w:pStyle w:val="ListBullet"/>
        <w:spacing w:after="40" w:line="264" w:lineRule="auto"/>
      </w:pPr>
      <w:r>
        <w:rPr>
          <w:sz w:val="21"/>
        </w:rPr>
        <w:t>Slow, scarce, expensive auditing that cannot keep pace with thousands of changing sites.</w:t>
      </w:r>
    </w:p>
    <w:p>
      <w:pPr>
        <w:pStyle w:val="ListBullet"/>
        <w:spacing w:after="40" w:line="264" w:lineRule="auto"/>
      </w:pPr>
      <w:r>
        <w:rPr>
          <w:sz w:val="21"/>
        </w:rPr>
        <w:t>Inconsistent standards application — no single uniform scoring model.</w:t>
      </w:r>
    </w:p>
    <w:p>
      <w:pPr>
        <w:pStyle w:val="ListBullet"/>
        <w:spacing w:after="40" w:line="264" w:lineRule="auto"/>
      </w:pPr>
      <w:r>
        <w:rPr>
          <w:sz w:val="21"/>
        </w:rPr>
        <w:t>Accessibility exclusion, breaching WCAG-aligned duties under GIGW and the RPwD Act, 2016.</w:t>
      </w:r>
    </w:p>
    <w:p>
      <w:pPr>
        <w:pStyle w:val="ListBullet"/>
        <w:spacing w:after="40" w:line="264" w:lineRule="auto"/>
      </w:pPr>
      <w:r>
        <w:rPr>
          <w:sz w:val="21"/>
        </w:rPr>
        <w:t>Poor usability and performance causing citizens to fail tasks or abandon digital channels.</w:t>
      </w:r>
    </w:p>
    <w:p>
      <w:pPr>
        <w:pStyle w:val="ListBullet"/>
        <w:spacing w:after="40" w:line="264" w:lineRule="auto"/>
      </w:pPr>
      <w:r>
        <w:rPr>
          <w:sz w:val="21"/>
        </w:rPr>
        <w:t>No feedback loop and no national visibility of digital-service quality.</w:t>
      </w:r>
    </w:p>
    <w:p>
      <w:pPr>
        <w:pStyle w:val="Heading1"/>
      </w:pPr>
      <w:r>
        <w:t>3.  Vision, Goals &amp; Objectives</w:t>
      </w:r>
    </w:p>
    <w:p>
      <w:pPr>
        <w:spacing w:before="80" w:after="160" w:line="274" w:lineRule="auto"/>
        <w:ind w:left="120"/>
        <w:shd w:val="clear" w:color="auto" w:fill="EEF5FB"/>
        <w:pBdr>
          <w:left w:val="single" w:sz="18" w:space="6" w:color="1F6FB2"/>
          <w:top w:val="single" w:sz="2" w:space="6" w:color="D6E6F2"/>
          <w:bottom w:val="single" w:sz="2" w:space="6" w:color="D6E6F2"/>
          <w:right w:val="single" w:sz="2" w:space="6" w:color="D6E6F2"/>
        </w:pBdr>
      </w:pPr>
      <w:r>
        <w:rPr>
          <w:b/>
          <w:color w:val="0B3D6B"/>
          <w:sz w:val="21"/>
        </w:rPr>
        <w:t xml:space="preserve">Vision  </w:t>
      </w:r>
      <w:r>
        <w:rPr>
          <w:sz w:val="21"/>
        </w:rPr>
        <w:t>Every citizen can complete every task on every government website easily, accessibly and quickly — because every owner can measure and improve their UX on demand, against India's own standards.</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7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w:t>
            </w:r>
          </w:p>
        </w:tc>
        <w:tc>
          <w:tcPr>
            <w:tcW w:type="dxa" w:w="433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Goal</w:t>
            </w:r>
          </w:p>
        </w:tc>
        <w:tc>
          <w:tcPr>
            <w:tcW w:type="dxa" w:w="433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Why it matters</w:t>
            </w:r>
          </w:p>
        </w:tc>
      </w:tr>
      <w:tr>
        <w:tc>
          <w:tcPr>
            <w:tcW w:type="dxa" w:w="7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G1</w:t>
            </w:r>
          </w:p>
        </w:tc>
        <w:tc>
          <w:tcPr>
            <w:tcW w:type="dxa" w:w="433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Self-service, instant UX &amp; accessibility auditing for every .gov.in/.nic.in owner</w:t>
            </w:r>
          </w:p>
        </w:tc>
        <w:tc>
          <w:tcPr>
            <w:tcW w:type="dxa" w:w="433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Removes the manual-auditor bottleneck</w:t>
            </w:r>
          </w:p>
        </w:tc>
      </w:tr>
      <w:tr>
        <w:tc>
          <w:tcPr>
            <w:tcW w:type="dxa" w:w="7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G2</w:t>
            </w:r>
          </w:p>
        </w:tc>
        <w:tc>
          <w:tcPr>
            <w:tcW w:type="dxa" w:w="433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Standardise scoring against GIGW 3.0, WCAG 2.2 AA, UX4G and Core Web Vitals</w:t>
            </w:r>
          </w:p>
        </w:tc>
        <w:tc>
          <w:tcPr>
            <w:tcW w:type="dxa" w:w="433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Comparable, defensible assessment</w:t>
            </w:r>
          </w:p>
        </w:tc>
      </w:tr>
      <w:tr>
        <w:tc>
          <w:tcPr>
            <w:tcW w:type="dxa" w:w="7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G3</w:t>
            </w:r>
          </w:p>
        </w:tc>
        <w:tc>
          <w:tcPr>
            <w:tcW w:type="dxa" w:w="433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Drive measurable improvement in citizen task success and accessibility</w:t>
            </w:r>
          </w:p>
        </w:tc>
        <w:tc>
          <w:tcPr>
            <w:tcW w:type="dxa" w:w="433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Better outcomes and inclusion</w:t>
            </w:r>
          </w:p>
        </w:tc>
      </w:tr>
      <w:tr>
        <w:tc>
          <w:tcPr>
            <w:tcW w:type="dxa" w:w="7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G4</w:t>
            </w:r>
          </w:p>
        </w:tc>
        <w:tc>
          <w:tcPr>
            <w:tcW w:type="dxa" w:w="433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Give MeitY/NIC a live national compliance and quality dashboard</w:t>
            </w:r>
          </w:p>
        </w:tc>
        <w:tc>
          <w:tcPr>
            <w:tcW w:type="dxa" w:w="433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Evidence-based steering of Digital India</w:t>
            </w:r>
          </w:p>
        </w:tc>
      </w:tr>
      <w:tr>
        <w:tc>
          <w:tcPr>
            <w:tcW w:type="dxa" w:w="7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G5</w:t>
            </w:r>
          </w:p>
        </w:tc>
        <w:tc>
          <w:tcPr>
            <w:tcW w:type="dxa" w:w="433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Reduce the cost and cycle time of GIGW compliance</w:t>
            </w:r>
          </w:p>
        </w:tc>
        <w:tc>
          <w:tcPr>
            <w:tcW w:type="dxa" w:w="433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Frees public funds and staff time</w:t>
            </w:r>
          </w:p>
        </w:tc>
      </w:tr>
    </w:tbl>
    <w:p>
      <w:pPr>
        <w:spacing w:after="80" w:before="0" w:line="274" w:lineRule="auto"/>
      </w:pPr>
    </w:p>
    <w:p>
      <w:pPr>
        <w:spacing w:after="120" w:before="0" w:line="274" w:lineRule="auto"/>
      </w:pPr>
      <w:r>
        <w:rPr>
          <w:b w:val="0"/>
          <w:i w:val="0"/>
          <w:sz w:val="21"/>
        </w:rPr>
        <w:t>SMART targets (18 months): 2,000+ verified domains and 10,000+ audits; a standard audit completing within 15 minutes; a median +20-point score improvement for re-audited domains; 95% owner satisfaction that reports are clear and actionable.</w:t>
      </w:r>
    </w:p>
    <w:p>
      <w:pPr>
        <w:pStyle w:val="Heading1"/>
      </w:pPr>
      <w:r>
        <w:t>4.  Scope</w:t>
      </w:r>
    </w:p>
    <w:p>
      <w:pPr>
        <w:pStyle w:val="Heading2"/>
      </w:pPr>
      <w:r>
        <w:t>4.1  In scope</w:t>
      </w:r>
    </w:p>
    <w:p>
      <w:pPr>
        <w:pStyle w:val="ListBullet"/>
        <w:spacing w:after="40" w:line="264" w:lineRule="auto"/>
      </w:pPr>
      <w:r>
        <w:rPr>
          <w:sz w:val="21"/>
        </w:rPr>
        <w:t>Self-service registration and domain-ownership verification restricted to .gov.in / .nic.in.</w:t>
      </w:r>
    </w:p>
    <w:p>
      <w:pPr>
        <w:pStyle w:val="ListBullet"/>
        <w:spacing w:after="40" w:line="264" w:lineRule="auto"/>
      </w:pPr>
      <w:r>
        <w:rPr>
          <w:sz w:val="21"/>
        </w:rPr>
        <w:t>Asynchronous, queue-based auditing of public pages, forms, navigation, search and citizen journeys.</w:t>
      </w:r>
    </w:p>
    <w:p>
      <w:pPr>
        <w:pStyle w:val="ListBullet"/>
        <w:spacing w:after="40" w:line="264" w:lineRule="auto"/>
      </w:pPr>
      <w:r>
        <w:rPr>
          <w:sz w:val="21"/>
        </w:rPr>
        <w:t>Automated evaluation against GIGW 3.0, WCAG 2.2 AA, UX4G heuristics and Core Web Vitals.</w:t>
      </w:r>
    </w:p>
    <w:p>
      <w:pPr>
        <w:pStyle w:val="ListBullet"/>
        <w:spacing w:after="40" w:line="264" w:lineRule="auto"/>
      </w:pPr>
      <w:r>
        <w:rPr>
          <w:sz w:val="21"/>
        </w:rPr>
        <w:t>Parameter-level scoring engine → overall GovUX Score, category sub-scores, severity-ranked issues, guard-rails.</w:t>
      </w:r>
    </w:p>
    <w:p>
      <w:pPr>
        <w:pStyle w:val="ListBullet"/>
        <w:spacing w:after="40" w:line="264" w:lineRule="auto"/>
      </w:pPr>
      <w:r>
        <w:rPr>
          <w:sz w:val="21"/>
        </w:rPr>
        <w:t>Plain-language remediation guidance; re-audit, date-wise history and page-wise coverage tracking.</w:t>
      </w:r>
    </w:p>
    <w:p>
      <w:pPr>
        <w:pStyle w:val="ListBullet"/>
        <w:spacing w:after="40" w:line="264" w:lineRule="auto"/>
      </w:pPr>
      <w:r>
        <w:rPr>
          <w:sz w:val="21"/>
        </w:rPr>
        <w:t>Central analytics dashboard (national, ministry, state, department roll-ups) and guided manual review.</w:t>
      </w:r>
    </w:p>
    <w:p>
      <w:pPr>
        <w:pStyle w:val="Heading2"/>
      </w:pPr>
      <w:r>
        <w:t>4.2  Out of scope (initial release)</w:t>
      </w:r>
    </w:p>
    <w:p>
      <w:pPr>
        <w:pStyle w:val="ListBullet"/>
        <w:spacing w:after="40" w:line="264" w:lineRule="auto"/>
      </w:pPr>
      <w:r>
        <w:rPr>
          <w:sz w:val="21"/>
        </w:rPr>
        <w:t>Auto-applying fixes to a site's code/CMS (the platform advises; owners remediate).</w:t>
      </w:r>
    </w:p>
    <w:p>
      <w:pPr>
        <w:pStyle w:val="ListBullet"/>
        <w:spacing w:after="40" w:line="264" w:lineRule="auto"/>
      </w:pPr>
      <w:r>
        <w:rPr>
          <w:sz w:val="21"/>
        </w:rPr>
        <w:t>Full penetration testing beyond security-hygiene UX checks (remains with CERT-In/STQC).</w:t>
      </w:r>
    </w:p>
    <w:p>
      <w:pPr>
        <w:pStyle w:val="ListBullet"/>
        <w:spacing w:after="40" w:line="264" w:lineRule="auto"/>
      </w:pPr>
      <w:r>
        <w:rPr>
          <w:sz w:val="21"/>
        </w:rPr>
        <w:t>Native mobile-app binaries (mobile web is in scope; native-app track is a later phase).</w:t>
      </w:r>
    </w:p>
    <w:p>
      <w:pPr>
        <w:pStyle w:val="ListBullet"/>
        <w:spacing w:after="40" w:line="264" w:lineRule="auto"/>
      </w:pPr>
      <w:r>
        <w:rPr>
          <w:sz w:val="21"/>
        </w:rPr>
        <w:t>Formal STQC certification issuance (the platform supports readiness).</w:t>
      </w:r>
    </w:p>
    <w:p>
      <w:pPr>
        <w:pStyle w:val="Heading2"/>
      </w:pPr>
      <w:r>
        <w:t>4.3  Additions in v1.1 (from the gap analysis)</w:t>
      </w:r>
    </w:p>
    <w:p>
      <w:pPr>
        <w:pStyle w:val="ListBullet"/>
        <w:spacing w:after="40" w:line="264" w:lineRule="auto"/>
      </w:pPr>
      <w:r>
        <w:rPr>
          <w:sz w:val="21"/>
        </w:rPr>
        <w:t>Hybrid rigour: automated at scale + structured expert review; explicit two-tier (simplified + in-depth) method.</w:t>
      </w:r>
    </w:p>
    <w:p>
      <w:pPr>
        <w:pStyle w:val="ListBullet"/>
        <w:spacing w:after="40" w:line="264" w:lineRule="auto"/>
      </w:pPr>
      <w:r>
        <w:rPr>
          <w:sz w:val="21"/>
        </w:rPr>
        <w:t>Continuous, estate-wide monitoring with auto-discovery and regression alerts.</w:t>
      </w:r>
    </w:p>
    <w:p>
      <w:pPr>
        <w:pStyle w:val="ListBullet"/>
        <w:spacing w:after="40" w:line="264" w:lineRule="auto"/>
      </w:pPr>
      <w:r>
        <w:rPr>
          <w:sz w:val="21"/>
        </w:rPr>
        <w:t>PDF/document accessibility and full-site crawl.</w:t>
      </w:r>
    </w:p>
    <w:p>
      <w:pPr>
        <w:pStyle w:val="ListBullet"/>
        <w:spacing w:after="40" w:line="264" w:lineRule="auto"/>
      </w:pPr>
      <w:r>
        <w:rPr>
          <w:sz w:val="21"/>
        </w:rPr>
        <w:t>Field (real-user) performance data alongside lab metrics.</w:t>
      </w:r>
    </w:p>
    <w:p>
      <w:pPr>
        <w:pStyle w:val="ListBullet"/>
        <w:spacing w:after="40" w:line="264" w:lineRule="auto"/>
      </w:pPr>
      <w:r>
        <w:rPr>
          <w:sz w:val="21"/>
        </w:rPr>
        <w:t>Indian-language (multilingual) auditing — a differentiator no incumbent offers.</w:t>
      </w:r>
    </w:p>
    <w:p>
      <w:pPr>
        <w:pStyle w:val="Heading1"/>
      </w:pPr>
      <w:r>
        <w:t>5.  Stakeholders &amp; Personas</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Stakeholder</w:t>
            </w:r>
          </w:p>
        </w:tc>
        <w:tc>
          <w:tcPr>
            <w:tcW w:type="dxa" w:w="42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Role</w:t>
            </w:r>
          </w:p>
        </w:tc>
        <w:tc>
          <w:tcPr>
            <w:tcW w:type="dxa" w:w="26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Involvement</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MeitY (Sponsor)</w:t>
            </w:r>
          </w:p>
        </w:tc>
        <w:tc>
          <w:tcPr>
            <w:tcW w:type="dxa" w:w="4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Owns Digital India outcomes &amp; GIGW mandate</w:t>
            </w:r>
          </w:p>
        </w:tc>
        <w:tc>
          <w:tcPr>
            <w:tcW w:type="dxa" w:w="26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Sponsor/approver</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NIC (Implementer)</w:t>
            </w:r>
          </w:p>
        </w:tc>
        <w:tc>
          <w:tcPr>
            <w:tcW w:type="dxa" w:w="4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Builds, hosts, operates; owns GIGW</w:t>
            </w:r>
          </w:p>
        </w:tc>
        <w:tc>
          <w:tcPr>
            <w:tcW w:type="dxa" w:w="26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Delivery &amp; ops</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STQC / CERT-In</w:t>
            </w:r>
          </w:p>
        </w:tc>
        <w:tc>
          <w:tcPr>
            <w:tcW w:type="dxa" w:w="4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Certification &amp; cybersecurity</w:t>
            </w:r>
          </w:p>
        </w:tc>
        <w:tc>
          <w:tcPr>
            <w:tcW w:type="dxa" w:w="26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Standards &amp; security</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Nodal / Web Information Managers</w:t>
            </w:r>
          </w:p>
        </w:tc>
        <w:tc>
          <w:tcPr>
            <w:tcW w:type="dxa" w:w="4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Own individual websites</w:t>
            </w:r>
          </w:p>
        </w:tc>
        <w:tc>
          <w:tcPr>
            <w:tcW w:type="dxa" w:w="26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Primary users</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Developers / CMS vendors</w:t>
            </w:r>
          </w:p>
        </w:tc>
        <w:tc>
          <w:tcPr>
            <w:tcW w:type="dxa" w:w="4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Build &amp; maintain sites</w:t>
            </w:r>
          </w:p>
        </w:tc>
        <w:tc>
          <w:tcPr>
            <w:tcW w:type="dxa" w:w="26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Act on findings</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Citizens &amp; persons with disabilities</w:t>
            </w:r>
          </w:p>
        </w:tc>
        <w:tc>
          <w:tcPr>
            <w:tcW w:type="dxa" w:w="4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Beneficiaries</w:t>
            </w:r>
          </w:p>
        </w:tc>
        <w:tc>
          <w:tcPr>
            <w:tcW w:type="dxa" w:w="26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Ultimate beneficiaries</w:t>
            </w:r>
          </w:p>
        </w:tc>
      </w:tr>
    </w:tbl>
    <w:p>
      <w:pPr>
        <w:spacing w:after="80" w:before="0" w:line="274" w:lineRule="auto"/>
      </w:pPr>
    </w:p>
    <w:p>
      <w:pPr>
        <w:spacing w:after="120" w:before="0" w:line="274" w:lineRule="auto"/>
      </w:pPr>
      <w:r>
        <w:rPr>
          <w:b w:val="0"/>
          <w:i w:val="0"/>
          <w:sz w:val="21"/>
        </w:rPr>
        <w:t>Personas: (A) Nodal Officer — the Owner; (B) MeitY/NIC Programme Owner — the Steward; (C) Developer/CMS Vendor — the Fixer; (D) Accessibility Reviewer — the Assessor.</w:t>
      </w:r>
    </w:p>
    <w:p>
      <w:pPr>
        <w:pStyle w:val="Heading1"/>
      </w:pPr>
      <w:r>
        <w:t>6.  The Audit Engine &amp; Standards Framework</w:t>
      </w:r>
    </w:p>
    <w:p>
      <w:pPr>
        <w:spacing w:after="120" w:before="0" w:line="274" w:lineRule="auto"/>
      </w:pPr>
      <w:r>
        <w:rPr>
          <w:b w:val="0"/>
          <w:i w:val="0"/>
          <w:sz w:val="21"/>
        </w:rPr>
        <w:t>The engine evaluates each site against four complementary standards families and consolidates results into one transparent, reproducible score. Every finding is traceable to a specific rule.</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Family</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What it checks</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Basis</w:t>
            </w:r>
          </w:p>
        </w:tc>
      </w:tr>
      <w:tr>
        <w:tc>
          <w:tcPr>
            <w:tcW w:type="dxa" w:w="2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GIGW 3.0</w:t>
            </w:r>
          </w:p>
        </w:tc>
        <w:tc>
          <w:tcPr>
            <w:tcW w:type="dxa" w:w="4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UI/UX, information architecture, mandatory elements, mobile, security hygiene</w:t>
            </w:r>
          </w:p>
        </w:tc>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88 mandatory guidelines (NIC/MeitY)</w:t>
            </w:r>
          </w:p>
        </w:tc>
      </w:tr>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color w:val="1A1A1A"/>
                <w:sz w:val="18"/>
              </w:rPr>
              <w:t>WCAG 2.2 AA</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Accessibility: perceivable, operable, understandable, robust</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W3C WCAG 2.2, Level AA</w:t>
            </w:r>
          </w:p>
        </w:tc>
      </w:tr>
      <w:tr>
        <w:tc>
          <w:tcPr>
            <w:tcW w:type="dxa" w:w="2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UX4G</w:t>
            </w:r>
          </w:p>
        </w:tc>
        <w:tc>
          <w:tcPr>
            <w:tcW w:type="dxa" w:w="4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Design foundation, navigation &amp; usability, feedback &amp; consistency</w:t>
            </w:r>
          </w:p>
        </w:tc>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MeitY/NeGD, 99+ parameters</w:t>
            </w:r>
          </w:p>
        </w:tc>
      </w:tr>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color w:val="1A1A1A"/>
                <w:sz w:val="18"/>
              </w:rPr>
              <w:t>Core Web Vitals</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Performance &amp; technical health: LCP, INP, CLS, page weight, mobile</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Google Web Vitals / Lighthouse</w:t>
            </w:r>
          </w:p>
        </w:tc>
      </w:tr>
    </w:tbl>
    <w:p>
      <w:pPr>
        <w:spacing w:after="80" w:before="0" w:line="274" w:lineRule="auto"/>
      </w:pPr>
    </w:p>
    <w:p>
      <w:pPr>
        <w:spacing w:before="80" w:after="160" w:line="274" w:lineRule="auto"/>
        <w:ind w:left="120"/>
        <w:shd w:val="clear" w:color="auto" w:fill="EEF5FB"/>
        <w:pBdr>
          <w:left w:val="single" w:sz="18" w:space="6" w:color="1F6FB2"/>
          <w:top w:val="single" w:sz="2" w:space="6" w:color="D6E6F2"/>
          <w:bottom w:val="single" w:sz="2" w:space="6" w:color="D6E6F2"/>
          <w:right w:val="single" w:sz="2" w:space="6" w:color="D6E6F2"/>
        </w:pBdr>
      </w:pPr>
      <w:r>
        <w:rPr>
          <w:b/>
          <w:color w:val="0B3D6B"/>
          <w:sz w:val="21"/>
        </w:rPr>
        <w:t xml:space="preserve">Standards note:  </w:t>
      </w:r>
      <w:r>
        <w:rPr>
          <w:sz w:val="21"/>
        </w:rPr>
        <w:t>GIGW 3.0 aligns accessibility to WCAG 2.1 AA; the platform adopts WCAG 2.2 AA as a forward-looking superset, so sites that meet the platform's bar exceed the current GIGW floor.</w:t>
      </w:r>
    </w:p>
    <w:p>
      <w:pPr>
        <w:pStyle w:val="Heading1"/>
      </w:pPr>
      <w:r>
        <w:t>7.  Parameter-Level Scoring Model</w:t>
      </w:r>
    </w:p>
    <w:p>
      <w:pPr>
        <w:spacing w:after="120" w:before="0" w:line="274" w:lineRule="auto"/>
      </w:pPr>
      <w:r>
        <w:rPr>
          <w:b w:val="0"/>
          <w:i w:val="0"/>
          <w:sz w:val="21"/>
        </w:rPr>
        <w:t>Every parameter is measured 0–100. Parameters roll up to a category score (weighted average); the eight category scores combine by weight into the overall GovUX Score (0–100), mapped to a band. A critical accessibility or security failure activates a guard-rail that caps the band at C until fixed. Weights are configurable and version-controlled. (Full 55-parameter model with a worked example is Annex B.)</w:t>
      </w:r>
    </w:p>
    <w:tbl>
      <w:tblPr>
        <w:tblW w:type="auto" w:w="0"/>
        <w:jc w:val="center"/>
        <w:tblLook w:firstColumn="1" w:firstRow="1" w:lastColumn="0" w:lastRow="0" w:noHBand="0" w:noVBand="1" w:val="04A0"/>
        <w:tblLayout w:type="fixed"/>
        <w:tblW w:w="9360" w:type="dxa"/>
      </w:tblPr>
      <w:tblGrid>
        <w:gridCol w:w="2340"/>
        <w:gridCol w:w="2340"/>
        <w:gridCol w:w="2340"/>
        <w:gridCol w:w="2340"/>
      </w:tblGrid>
      <w:tr>
        <w:tc>
          <w:tcPr>
            <w:tcW w:type="dxa" w:w="32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Category</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Weight</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Example</w:t>
            </w:r>
          </w:p>
        </w:tc>
        <w:tc>
          <w:tcPr>
            <w:tcW w:type="dxa" w:w="33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Representative parameters</w:t>
            </w:r>
          </w:p>
        </w:tc>
      </w:tr>
      <w:tr>
        <w:tc>
          <w:tcPr>
            <w:tcW w:type="dxa" w:w="3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Accessibility (WCAG 2.2 AA)</w:t>
            </w:r>
          </w:p>
        </w:tc>
        <w:tc>
          <w:tcPr>
            <w:tcW w:type="dxa" w:w="1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22%</w:t>
            </w:r>
          </w:p>
        </w:tc>
        <w:tc>
          <w:tcPr>
            <w:tcW w:type="dxa" w:w="1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57.8</w:t>
            </w:r>
          </w:p>
        </w:tc>
        <w:tc>
          <w:tcPr>
            <w:tcW w:type="dxa" w:w="33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Contrast, keyboard, alt meaning, focus, target size</w:t>
            </w:r>
          </w:p>
        </w:tc>
      </w:tr>
      <w:tr>
        <w:tc>
          <w:tcPr>
            <w:tcW w:type="dxa" w:w="3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Usability &amp; UX heuristics</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17%</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64.5</w:t>
            </w:r>
          </w:p>
        </w:tc>
        <w:tc>
          <w:tcPr>
            <w:tcW w:type="dxa" w:w="33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Navigation, feedback, search, forms, consistency</w:t>
            </w:r>
          </w:p>
        </w:tc>
      </w:tr>
      <w:tr>
        <w:tc>
          <w:tcPr>
            <w:tcW w:type="dxa" w:w="3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GIGW 3.0 compliance</w:t>
            </w:r>
          </w:p>
        </w:tc>
        <w:tc>
          <w:tcPr>
            <w:tcW w:type="dxa" w:w="1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15%</w:t>
            </w:r>
          </w:p>
        </w:tc>
        <w:tc>
          <w:tcPr>
            <w:tcW w:type="dxa" w:w="1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71.6</w:t>
            </w:r>
          </w:p>
        </w:tc>
        <w:tc>
          <w:tcPr>
            <w:tcW w:type="dxa" w:w="33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Mandatory elements, HTTPS, valid HTML, links</w:t>
            </w:r>
          </w:p>
        </w:tc>
      </w:tr>
      <w:tr>
        <w:tc>
          <w:tcPr>
            <w:tcW w:type="dxa" w:w="3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Design foundation (UX4G)</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11%</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66.8</w:t>
            </w:r>
          </w:p>
        </w:tc>
        <w:tc>
          <w:tcPr>
            <w:tcW w:type="dxa" w:w="33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Typography, colour, layout, hierarchy, components</w:t>
            </w:r>
          </w:p>
        </w:tc>
      </w:tr>
      <w:tr>
        <w:tc>
          <w:tcPr>
            <w:tcW w:type="dxa" w:w="3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Performance &amp; Core Web Vitals</w:t>
            </w:r>
          </w:p>
        </w:tc>
        <w:tc>
          <w:tcPr>
            <w:tcW w:type="dxa" w:w="1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12%</w:t>
            </w:r>
          </w:p>
        </w:tc>
        <w:tc>
          <w:tcPr>
            <w:tcW w:type="dxa" w:w="1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61.8</w:t>
            </w:r>
          </w:p>
        </w:tc>
        <w:tc>
          <w:tcPr>
            <w:tcW w:type="dxa" w:w="33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LCP, INP, CLS, page weight, caching</w:t>
            </w:r>
          </w:p>
        </w:tc>
      </w:tr>
      <w:tr>
        <w:tc>
          <w:tcPr>
            <w:tcW w:type="dxa" w:w="3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Responsiveness &amp; Compatibility</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10%</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61.2</w:t>
            </w:r>
          </w:p>
        </w:tc>
        <w:tc>
          <w:tcPr>
            <w:tcW w:type="dxa" w:w="33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Responsive layout, cross-browser (Chromium/Firefox/WebKit), multi-device-size, orientation</w:t>
            </w:r>
          </w:p>
        </w:tc>
      </w:tr>
      <w:tr>
        <w:tc>
          <w:tcPr>
            <w:tcW w:type="dxa" w:w="3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Content quality &amp; readability</w:t>
            </w:r>
          </w:p>
        </w:tc>
        <w:tc>
          <w:tcPr>
            <w:tcW w:type="dxa" w:w="1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7%</w:t>
            </w:r>
          </w:p>
        </w:tc>
        <w:tc>
          <w:tcPr>
            <w:tcW w:type="dxa" w:w="1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61.3</w:t>
            </w:r>
          </w:p>
        </w:tc>
        <w:tc>
          <w:tcPr>
            <w:tcW w:type="dxa" w:w="33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Readability, plain language, multilingual</w:t>
            </w:r>
          </w:p>
        </w:tc>
      </w:tr>
      <w:tr>
        <w:tc>
          <w:tcPr>
            <w:tcW w:type="dxa" w:w="3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Trust, security &amp; privacy</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6%</w:t>
            </w:r>
          </w:p>
        </w:tc>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70.9</w:t>
            </w:r>
          </w:p>
        </w:tc>
        <w:tc>
          <w:tcPr>
            <w:tcW w:type="dxa" w:w="33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HTTPS/TLS, headers, cookies, CVEs</w:t>
            </w:r>
          </w:p>
        </w:tc>
      </w:tr>
      <w:tr>
        <w:tc>
          <w:tcPr>
            <w:tcW w:type="dxa" w:w="3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Overall GovUX Score</w:t>
            </w:r>
          </w:p>
        </w:tc>
        <w:tc>
          <w:tcPr>
            <w:tcW w:type="dxa" w:w="1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100%</w:t>
            </w:r>
          </w:p>
        </w:tc>
        <w:tc>
          <w:tcPr>
            <w:tcW w:type="dxa" w:w="1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63.9</w:t>
            </w:r>
          </w:p>
        </w:tc>
        <w:tc>
          <w:tcPr>
            <w:tcW w:type="dxa" w:w="33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Band C · guard-rail ACTIVE (keyboard fail)</w:t>
            </w:r>
          </w:p>
        </w:tc>
      </w:tr>
    </w:tbl>
    <w:p>
      <w:pPr>
        <w:spacing w:after="80" w:before="0" w:line="274" w:lineRule="auto"/>
      </w:pPr>
    </w:p>
    <w:p>
      <w:pPr>
        <w:spacing w:after="120" w:before="0" w:line="274" w:lineRule="auto"/>
      </w:pPr>
      <w:r>
        <w:rPr>
          <w:b w:val="0"/>
          <w:i w:val="0"/>
          <w:sz w:val="21"/>
        </w:rPr>
        <w:t>Bands: A 90–100 Exemplary · B 75–89 Strong · C 60–74 Needs work · D 40–59 At risk · E &lt;40 Critical.</w:t>
      </w:r>
    </w:p>
    <w:p>
      <w:pPr>
        <w:pStyle w:val="Heading1"/>
      </w:pPr>
      <w:r>
        <w:t>8.  Audit Points &amp; Open-Source Automation Coverage</w:t>
      </w:r>
    </w:p>
    <w:p>
      <w:pPr>
        <w:spacing w:after="120" w:before="0" w:line="274" w:lineRule="auto"/>
      </w:pPr>
      <w:r>
        <w:rPr>
          <w:b w:val="0"/>
          <w:i w:val="0"/>
          <w:sz w:val="21"/>
        </w:rPr>
        <w:t>The audit decomposes into 135 checks across eight categories. Most are fully automatable with deterministic open-source tools and NO AI; a minority need classical ML/CV or human judgement. (Full catalogue with tool-per-check is Annex A.)</w:t>
      </w:r>
    </w:p>
    <w:tbl>
      <w:tblPr>
        <w:tblW w:type="auto" w:w="0"/>
        <w:jc w:val="center"/>
        <w:tblLook w:firstColumn="1" w:firstRow="1" w:lastColumn="0" w:lastRow="0" w:noHBand="0" w:noVBand="1" w:val="04A0"/>
        <w:tblLayout w:type="fixed"/>
        <w:tblW w:w="9360" w:type="dxa"/>
      </w:tblPr>
      <w:tblGrid>
        <w:gridCol w:w="1872"/>
        <w:gridCol w:w="1872"/>
        <w:gridCol w:w="1872"/>
        <w:gridCol w:w="1872"/>
        <w:gridCol w:w="1872"/>
      </w:tblGrid>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Category</w:t>
            </w:r>
          </w:p>
        </w:tc>
        <w:tc>
          <w:tcPr>
            <w:tcW w:type="dxa" w:w="13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jc w:val="center"/>
            </w:pPr>
            <w:r/>
            <w:r>
              <w:rPr>
                <w:b/>
                <w:color w:val="FFFFFF"/>
                <w:sz w:val="18"/>
              </w:rPr>
              <w:t>Full</w:t>
            </w:r>
          </w:p>
        </w:tc>
        <w:tc>
          <w:tcPr>
            <w:tcW w:type="dxa" w:w="13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jc w:val="center"/>
            </w:pPr>
            <w:r/>
            <w:r>
              <w:rPr>
                <w:b/>
                <w:color w:val="FFFFFF"/>
                <w:sz w:val="18"/>
              </w:rPr>
              <w:t>Partial</w:t>
            </w:r>
          </w:p>
        </w:tc>
        <w:tc>
          <w:tcPr>
            <w:tcW w:type="dxa" w:w="13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jc w:val="center"/>
            </w:pPr>
            <w:r/>
            <w:r>
              <w:rPr>
                <w:b/>
                <w:color w:val="FFFFFF"/>
                <w:sz w:val="18"/>
              </w:rPr>
              <w:t>Manual</w:t>
            </w:r>
          </w:p>
        </w:tc>
        <w:tc>
          <w:tcPr>
            <w:tcW w:type="dxa" w:w="28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Primary tools</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Performance</w:t>
            </w:r>
          </w:p>
        </w:tc>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jc w:val="center"/>
            </w:pPr>
            <w:r/>
            <w:r>
              <w:rPr>
                <w:b w:val="0"/>
                <w:color w:val="1A1A1A"/>
                <w:sz w:val="18"/>
              </w:rPr>
              <w:t>25</w:t>
            </w:r>
          </w:p>
        </w:tc>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jc w:val="center"/>
            </w:pPr>
            <w:r/>
            <w:r>
              <w:rPr>
                <w:b w:val="0"/>
                <w:color w:val="1A1A1A"/>
                <w:sz w:val="18"/>
              </w:rPr>
              <w:t>0</w:t>
            </w:r>
          </w:p>
        </w:tc>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jc w:val="center"/>
            </w:pPr>
            <w:r/>
            <w:r>
              <w:rPr>
                <w:b w:val="0"/>
                <w:color w:val="1A1A1A"/>
                <w:sz w:val="18"/>
              </w:rPr>
              <w:t>0</w:t>
            </w:r>
          </w:p>
        </w:tc>
        <w:tc>
          <w:tcPr>
            <w:tcW w:type="dxa" w:w="2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Lighthouse, Playwright, web-vitals</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Accessibility</w:t>
            </w:r>
          </w:p>
        </w:tc>
        <w:tc>
          <w:tcPr>
            <w:tcW w:type="dxa" w:w="1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jc w:val="center"/>
            </w:pPr>
            <w:r/>
            <w:r>
              <w:rPr>
                <w:b w:val="0"/>
                <w:color w:val="1A1A1A"/>
                <w:sz w:val="18"/>
              </w:rPr>
              <w:t>13</w:t>
            </w:r>
          </w:p>
        </w:tc>
        <w:tc>
          <w:tcPr>
            <w:tcW w:type="dxa" w:w="1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jc w:val="center"/>
            </w:pPr>
            <w:r/>
            <w:r>
              <w:rPr>
                <w:b w:val="0"/>
                <w:color w:val="1A1A1A"/>
                <w:sz w:val="18"/>
              </w:rPr>
              <w:t>8</w:t>
            </w:r>
          </w:p>
        </w:tc>
        <w:tc>
          <w:tcPr>
            <w:tcW w:type="dxa" w:w="1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jc w:val="center"/>
            </w:pPr>
            <w:r/>
            <w:r>
              <w:rPr>
                <w:b w:val="0"/>
                <w:color w:val="1A1A1A"/>
                <w:sz w:val="18"/>
              </w:rPr>
              <w:t>5</w:t>
            </w:r>
          </w:p>
        </w:tc>
        <w:tc>
          <w:tcPr>
            <w:tcW w:type="dxa" w:w="2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axe-core, Playwright, NVDA</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GIGW 3.0</w:t>
            </w:r>
          </w:p>
        </w:tc>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jc w:val="center"/>
            </w:pPr>
            <w:r/>
            <w:r>
              <w:rPr>
                <w:b w:val="0"/>
                <w:color w:val="1A1A1A"/>
                <w:sz w:val="18"/>
              </w:rPr>
              <w:t>23</w:t>
            </w:r>
          </w:p>
        </w:tc>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jc w:val="center"/>
            </w:pPr>
            <w:r/>
            <w:r>
              <w:rPr>
                <w:b w:val="0"/>
                <w:color w:val="1A1A1A"/>
                <w:sz w:val="18"/>
              </w:rPr>
              <w:t>5</w:t>
            </w:r>
          </w:p>
        </w:tc>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jc w:val="center"/>
            </w:pPr>
            <w:r/>
            <w:r>
              <w:rPr>
                <w:b w:val="0"/>
                <w:color w:val="1A1A1A"/>
                <w:sz w:val="18"/>
              </w:rPr>
              <w:t>3</w:t>
            </w:r>
          </w:p>
        </w:tc>
        <w:tc>
          <w:tcPr>
            <w:tcW w:type="dxa" w:w="2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lxml, Nu validator, link crawler</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UX4G</w:t>
            </w:r>
          </w:p>
        </w:tc>
        <w:tc>
          <w:tcPr>
            <w:tcW w:type="dxa" w:w="1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jc w:val="center"/>
            </w:pPr>
            <w:r/>
            <w:r>
              <w:rPr>
                <w:b w:val="0"/>
                <w:color w:val="1A1A1A"/>
                <w:sz w:val="18"/>
              </w:rPr>
              <w:t>2</w:t>
            </w:r>
          </w:p>
        </w:tc>
        <w:tc>
          <w:tcPr>
            <w:tcW w:type="dxa" w:w="1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jc w:val="center"/>
            </w:pPr>
            <w:r/>
            <w:r>
              <w:rPr>
                <w:b w:val="0"/>
                <w:color w:val="1A1A1A"/>
                <w:sz w:val="18"/>
              </w:rPr>
              <w:t>12</w:t>
            </w:r>
          </w:p>
        </w:tc>
        <w:tc>
          <w:tcPr>
            <w:tcW w:type="dxa" w:w="1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jc w:val="center"/>
            </w:pPr>
            <w:r/>
            <w:r>
              <w:rPr>
                <w:b w:val="0"/>
                <w:color w:val="1A1A1A"/>
                <w:sz w:val="18"/>
              </w:rPr>
              <w:t>4</w:t>
            </w:r>
          </w:p>
        </w:tc>
        <w:tc>
          <w:tcPr>
            <w:tcW w:type="dxa" w:w="2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DOM/CV heuristics + human</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SEO</w:t>
            </w:r>
          </w:p>
        </w:tc>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jc w:val="center"/>
            </w:pPr>
            <w:r/>
            <w:r>
              <w:rPr>
                <w:b w:val="0"/>
                <w:color w:val="1A1A1A"/>
                <w:sz w:val="18"/>
              </w:rPr>
              <w:t>9</w:t>
            </w:r>
          </w:p>
        </w:tc>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jc w:val="center"/>
            </w:pPr>
            <w:r/>
            <w:r>
              <w:rPr>
                <w:b w:val="0"/>
                <w:color w:val="1A1A1A"/>
                <w:sz w:val="18"/>
              </w:rPr>
              <w:t>0</w:t>
            </w:r>
          </w:p>
        </w:tc>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jc w:val="center"/>
            </w:pPr>
            <w:r/>
            <w:r>
              <w:rPr>
                <w:b w:val="0"/>
                <w:color w:val="1A1A1A"/>
                <w:sz w:val="18"/>
              </w:rPr>
              <w:t>0</w:t>
            </w:r>
          </w:p>
        </w:tc>
        <w:tc>
          <w:tcPr>
            <w:tcW w:type="dxa" w:w="2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lxml, extruct, advertools</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Security</w:t>
            </w:r>
          </w:p>
        </w:tc>
        <w:tc>
          <w:tcPr>
            <w:tcW w:type="dxa" w:w="1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jc w:val="center"/>
            </w:pPr>
            <w:r/>
            <w:r>
              <w:rPr>
                <w:b w:val="0"/>
                <w:color w:val="1A1A1A"/>
                <w:sz w:val="18"/>
              </w:rPr>
              <w:t>8</w:t>
            </w:r>
          </w:p>
        </w:tc>
        <w:tc>
          <w:tcPr>
            <w:tcW w:type="dxa" w:w="1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jc w:val="center"/>
            </w:pPr>
            <w:r/>
            <w:r>
              <w:rPr>
                <w:b w:val="0"/>
                <w:color w:val="1A1A1A"/>
                <w:sz w:val="18"/>
              </w:rPr>
              <w:t>0</w:t>
            </w:r>
          </w:p>
        </w:tc>
        <w:tc>
          <w:tcPr>
            <w:tcW w:type="dxa" w:w="1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jc w:val="center"/>
            </w:pPr>
            <w:r/>
            <w:r>
              <w:rPr>
                <w:b w:val="0"/>
                <w:color w:val="1A1A1A"/>
                <w:sz w:val="18"/>
              </w:rPr>
              <w:t>1</w:t>
            </w:r>
          </w:p>
        </w:tc>
        <w:tc>
          <w:tcPr>
            <w:tcW w:type="dxa" w:w="2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sslyze, testssl.sh, retire.js</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Responsiveness &amp; Compatibility</w:t>
            </w:r>
          </w:p>
        </w:tc>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jc w:val="center"/>
            </w:pPr>
            <w:r/>
            <w:r>
              <w:rPr>
                <w:b w:val="0"/>
                <w:color w:val="1A1A1A"/>
                <w:sz w:val="18"/>
              </w:rPr>
              <w:t>6</w:t>
            </w:r>
          </w:p>
        </w:tc>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jc w:val="center"/>
            </w:pPr>
            <w:r/>
            <w:r>
              <w:rPr>
                <w:b w:val="0"/>
                <w:color w:val="1A1A1A"/>
                <w:sz w:val="18"/>
              </w:rPr>
              <w:t>3</w:t>
            </w:r>
          </w:p>
        </w:tc>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jc w:val="center"/>
            </w:pPr>
            <w:r/>
            <w:r>
              <w:rPr>
                <w:b w:val="0"/>
                <w:color w:val="1A1A1A"/>
                <w:sz w:val="18"/>
              </w:rPr>
              <w:t>0</w:t>
            </w:r>
          </w:p>
        </w:tc>
        <w:tc>
          <w:tcPr>
            <w:tcW w:type="dxa" w:w="2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Playwright (3 engines) + visual diff</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Content QA</w:t>
            </w:r>
          </w:p>
        </w:tc>
        <w:tc>
          <w:tcPr>
            <w:tcW w:type="dxa" w:w="1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jc w:val="center"/>
            </w:pPr>
            <w:r/>
            <w:r>
              <w:rPr>
                <w:b w:val="0"/>
                <w:color w:val="1A1A1A"/>
                <w:sz w:val="18"/>
              </w:rPr>
              <w:t>5</w:t>
            </w:r>
          </w:p>
        </w:tc>
        <w:tc>
          <w:tcPr>
            <w:tcW w:type="dxa" w:w="1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jc w:val="center"/>
            </w:pPr>
            <w:r/>
            <w:r>
              <w:rPr>
                <w:b w:val="0"/>
                <w:color w:val="1A1A1A"/>
                <w:sz w:val="18"/>
              </w:rPr>
              <w:t>3</w:t>
            </w:r>
          </w:p>
        </w:tc>
        <w:tc>
          <w:tcPr>
            <w:tcW w:type="dxa" w:w="1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jc w:val="center"/>
            </w:pPr>
            <w:r/>
            <w:r>
              <w:rPr>
                <w:b w:val="0"/>
                <w:color w:val="1A1A1A"/>
                <w:sz w:val="18"/>
              </w:rPr>
              <w:t>0</w:t>
            </w:r>
          </w:p>
        </w:tc>
        <w:tc>
          <w:tcPr>
            <w:tcW w:type="dxa" w:w="2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textstat, LanguageTool</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TOTAL</w:t>
            </w:r>
          </w:p>
        </w:tc>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jc w:val="center"/>
            </w:pPr>
            <w:r/>
            <w:r>
              <w:rPr>
                <w:b/>
                <w:color w:val="1A1A1A"/>
                <w:sz w:val="18"/>
              </w:rPr>
              <w:t>91</w:t>
            </w:r>
          </w:p>
        </w:tc>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jc w:val="center"/>
            </w:pPr>
            <w:r/>
            <w:r>
              <w:rPr>
                <w:b/>
                <w:color w:val="1A1A1A"/>
                <w:sz w:val="18"/>
              </w:rPr>
              <w:t>31</w:t>
            </w:r>
          </w:p>
        </w:tc>
        <w:tc>
          <w:tcPr>
            <w:tcW w:type="dxa" w:w="1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jc w:val="center"/>
            </w:pPr>
            <w:r/>
            <w:r>
              <w:rPr>
                <w:b/>
                <w:color w:val="1A1A1A"/>
                <w:sz w:val="18"/>
              </w:rPr>
              <w:t>13</w:t>
            </w:r>
          </w:p>
        </w:tc>
        <w:tc>
          <w:tcPr>
            <w:tcW w:type="dxa" w:w="2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~67% fully automatable with no AI</w:t>
            </w:r>
          </w:p>
        </w:tc>
      </w:tr>
    </w:tbl>
    <w:p>
      <w:pPr>
        <w:spacing w:after="80" w:before="0" w:line="274" w:lineRule="auto"/>
      </w:pPr>
    </w:p>
    <w:p>
      <w:pPr>
        <w:pStyle w:val="Heading1"/>
      </w:pPr>
      <w:r>
        <w:t>9.  AI / ML Approach — LLM vs ML</w:t>
      </w:r>
    </w:p>
    <w:p>
      <w:pPr>
        <w:spacing w:after="120" w:before="0" w:line="274" w:lineRule="auto"/>
      </w:pPr>
      <w:r>
        <w:rPr>
          <w:b w:val="0"/>
          <w:i w:val="0"/>
          <w:sz w:val="21"/>
        </w:rPr>
        <w:t>Match the technique to the task. The bulk of the audit is deterministic rules and measurement (no ML). Classical ML/CV handles pattern work. An LLM/VLM is reserved for the semantic minority (alt-text meaning, plain-language, visual UX) and is kept out of the reproducible score path. Models are self-hosted for data residency.</w:t>
      </w:r>
    </w:p>
    <w:p>
      <w:pPr>
        <w:pStyle w:val="Heading2"/>
      </w:pPr>
      <w:r>
        <w:t>9.1  Decision rule</w:t>
      </w:r>
    </w:p>
    <w:p>
      <w:pPr>
        <w:spacing w:before="80" w:after="160" w:line="274" w:lineRule="auto"/>
        <w:ind w:left="120"/>
        <w:shd w:val="clear" w:color="auto" w:fill="EEF5FB"/>
        <w:pBdr>
          <w:left w:val="single" w:sz="18" w:space="6" w:color="1F6FB2"/>
          <w:top w:val="single" w:sz="2" w:space="6" w:color="D6E6F2"/>
          <w:bottom w:val="single" w:sz="2" w:space="6" w:color="D6E6F2"/>
          <w:right w:val="single" w:sz="2" w:space="6" w:color="D6E6F2"/>
        </w:pBdr>
      </w:pPr>
      <w:r>
        <w:rPr>
          <w:b/>
          <w:color w:val="0B3D6B"/>
          <w:sz w:val="21"/>
        </w:rPr>
        <w:t xml:space="preserve">Rule:  </w:t>
      </w:r>
      <w:r>
        <w:rPr>
          <w:sz w:val="21"/>
        </w:rPr>
        <w:t>Deterministic if it is measurable → classical ML if it is a pattern and rules are brittle → LLM/VLM only if it needs language or visual judgement, and never as the sole basis for a compliance claim.</w:t>
      </w:r>
    </w:p>
    <w:p>
      <w:pPr>
        <w:pStyle w:val="Heading2"/>
      </w:pPr>
      <w:r>
        <w:t>9.2  Phase-1 ML — classical models only (no LLM)</w:t>
      </w:r>
    </w:p>
    <w:p>
      <w:pPr>
        <w:spacing w:after="120" w:before="0" w:line="274" w:lineRule="auto"/>
      </w:pPr>
      <w:r>
        <w:rPr>
          <w:b w:val="0"/>
          <w:i w:val="0"/>
          <w:sz w:val="21"/>
        </w:rPr>
        <w:t>These eight components lift automatable coverage from ~68% (rules only) to ~85% with no LLM, each emitting an explainable sub-score with confidence; low-confidence cases route to a human.</w:t>
      </w:r>
    </w:p>
    <w:tbl>
      <w:tblPr>
        <w:tblW w:type="auto" w:w="0"/>
        <w:jc w:val="center"/>
        <w:tblLook w:firstColumn="1" w:firstRow="1" w:lastColumn="0" w:lastRow="0" w:noHBand="0" w:noVBand="1" w:val="04A0"/>
        <w:tblLayout w:type="fixed"/>
        <w:tblW w:w="9360" w:type="dxa"/>
      </w:tblPr>
      <w:tblGrid>
        <w:gridCol w:w="2340"/>
        <w:gridCol w:w="2340"/>
        <w:gridCol w:w="2340"/>
        <w:gridCol w:w="2340"/>
      </w:tblGrid>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ID</w:t>
            </w:r>
          </w:p>
        </w:tc>
        <w:tc>
          <w:tcPr>
            <w:tcW w:type="dxa" w:w="25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Component</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Model type</w:t>
            </w:r>
          </w:p>
        </w:tc>
        <w:tc>
          <w:tcPr>
            <w:tcW w:type="dxa" w:w="36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Upgrades / library</w:t>
            </w:r>
          </w:p>
        </w:tc>
      </w:tr>
      <w:tr>
        <w:tc>
          <w:tcPr>
            <w:tcW w:type="dxa" w:w="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M1</w:t>
            </w:r>
          </w:p>
        </w:tc>
        <w:tc>
          <w:tcPr>
            <w:tcW w:type="dxa" w:w="2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Priority &amp; impact ranking</w:t>
            </w:r>
          </w:p>
        </w:tc>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XGBoost / LightGBM</w:t>
            </w:r>
          </w:p>
        </w:tc>
        <w:tc>
          <w:tcPr>
            <w:tcW w:type="dxa" w:w="36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Report prioritisation · scikit-learn</w:t>
            </w:r>
          </w:p>
        </w:tc>
      </w:tr>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M2</w:t>
            </w:r>
          </w:p>
        </w:tc>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Decorative vs informative images</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CNN transfer learning</w:t>
            </w:r>
          </w:p>
        </w:tc>
        <w:tc>
          <w:tcPr>
            <w:tcW w:type="dxa" w:w="36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Alt-text triage · PyTorch/timm</w:t>
            </w:r>
          </w:p>
        </w:tc>
      </w:tr>
      <w:tr>
        <w:tc>
          <w:tcPr>
            <w:tcW w:type="dxa" w:w="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M3</w:t>
            </w:r>
          </w:p>
        </w:tc>
        <w:tc>
          <w:tcPr>
            <w:tcW w:type="dxa" w:w="2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Layout &amp; visual-hierarchy analyzer</w:t>
            </w:r>
          </w:p>
        </w:tc>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Object detection + CV</w:t>
            </w:r>
          </w:p>
        </w:tc>
        <w:tc>
          <w:tcPr>
            <w:tcW w:type="dxa" w:w="36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Design layout · Detectron2/OpenCV</w:t>
            </w:r>
          </w:p>
        </w:tc>
      </w:tr>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M4</w:t>
            </w:r>
          </w:p>
        </w:tc>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Colour &amp; typography consistency</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k-means + CSS parse</w:t>
            </w:r>
          </w:p>
        </w:tc>
        <w:tc>
          <w:tcPr>
            <w:tcW w:type="dxa" w:w="36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Design system · scikit-learn</w:t>
            </w:r>
          </w:p>
        </w:tc>
      </w:tr>
      <w:tr>
        <w:tc>
          <w:tcPr>
            <w:tcW w:type="dxa" w:w="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M5</w:t>
            </w:r>
          </w:p>
        </w:tc>
        <w:tc>
          <w:tcPr>
            <w:tcW w:type="dxa" w:w="2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Cross-page consistency</w:t>
            </w:r>
          </w:p>
        </w:tc>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SSIM + structural hash</w:t>
            </w:r>
          </w:p>
        </w:tc>
        <w:tc>
          <w:tcPr>
            <w:tcW w:type="dxa" w:w="36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Consistency · scikit-image</w:t>
            </w:r>
          </w:p>
        </w:tc>
      </w:tr>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M6</w:t>
            </w:r>
          </w:p>
        </w:tc>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Plain-language / jargon classifier</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TF-IDF + SVM</w:t>
            </w:r>
          </w:p>
        </w:tc>
        <w:tc>
          <w:tcPr>
            <w:tcW w:type="dxa" w:w="36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Content clarity · scikit-learn/spaCy</w:t>
            </w:r>
          </w:p>
        </w:tc>
      </w:tr>
      <w:tr>
        <w:tc>
          <w:tcPr>
            <w:tcW w:type="dxa" w:w="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M7</w:t>
            </w:r>
          </w:p>
        </w:tc>
        <w:tc>
          <w:tcPr>
            <w:tcW w:type="dxa" w:w="2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Language &amp; script detection</w:t>
            </w:r>
          </w:p>
        </w:tc>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fastText / CLD3</w:t>
            </w:r>
          </w:p>
        </w:tc>
        <w:tc>
          <w:tcPr>
            <w:tcW w:type="dxa" w:w="36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Multilingual · AI4Bharat</w:t>
            </w:r>
          </w:p>
        </w:tc>
      </w:tr>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M8</w:t>
            </w:r>
          </w:p>
        </w:tc>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Score regression &amp; anomaly detection</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Isolation Forest</w:t>
            </w:r>
          </w:p>
        </w:tc>
        <w:tc>
          <w:tcPr>
            <w:tcW w:type="dxa" w:w="36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Dashboard alerts · scikit-learn</w:t>
            </w:r>
          </w:p>
        </w:tc>
      </w:tr>
    </w:tbl>
    <w:p>
      <w:pPr>
        <w:spacing w:after="80" w:before="0" w:line="274" w:lineRule="auto"/>
      </w:pPr>
    </w:p>
    <w:p>
      <w:pPr>
        <w:pStyle w:val="Heading1"/>
      </w:pPr>
      <w:r>
        <w:t>10.  Functional Requirements</w:t>
      </w:r>
    </w:p>
    <w:p>
      <w:pPr>
        <w:spacing w:after="120" w:before="0" w:line="274" w:lineRule="auto"/>
      </w:pPr>
      <w:r>
        <w:rPr>
          <w:b w:val="0"/>
          <w:i w:val="0"/>
          <w:sz w:val="21"/>
        </w:rPr>
        <w:t>MoSCoW priority: M=Must, S=Should, C=Could.</w:t>
      </w:r>
    </w:p>
    <w:p>
      <w:pPr>
        <w:pStyle w:val="Heading2"/>
      </w:pPr>
      <w:r>
        <w:t>10.1  Registration, identity &amp; domain verification</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ID</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Requirement</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Prio.</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FR-01</w:t>
            </w:r>
          </w:p>
        </w:tc>
        <w:tc>
          <w:tcPr>
            <w:tcW w:type="dxa" w:w="6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Passwordless sign-in restricted to emails ending in .gov.in or .nic.in; verify by email OTP (6-digit, short TTL, single-use, rate-limited).</w:t>
            </w:r>
          </w:p>
        </w:tc>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FR-01a</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Device/browser-bound sessions: short-lived access token + rotating device-bound refresh token; persistent login per trusted device (Gmail-style) with token-reuse detection.</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FR-01b</w:t>
            </w:r>
          </w:p>
        </w:tc>
        <w:tc>
          <w:tcPr>
            <w:tcW w:type="dxa" w:w="6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Trusted-device &amp; session management: list active devices/sessions, remote sign-out/revoke, new-device email alerts, and step-up re-auth (fresh OTP) for sensitive actions.</w:t>
            </w:r>
          </w:p>
        </w:tc>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FR-02</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Restrict domain registration to .gov.in / .nic.in and approved sub-domains.</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FR-03</w:t>
            </w:r>
          </w:p>
        </w:tc>
        <w:tc>
          <w:tcPr>
            <w:tcW w:type="dxa" w:w="6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Verify domain ownership via DNS TXT, file upload, or SSO org mapping.</w:t>
            </w:r>
          </w:p>
        </w:tc>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FR-04</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Multiple domains per org; multiple users per domain with RBAC.</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w:t>
            </w:r>
          </w:p>
        </w:tc>
      </w:tr>
    </w:tbl>
    <w:p>
      <w:pPr>
        <w:spacing w:after="80" w:before="0" w:line="274" w:lineRule="auto"/>
      </w:pPr>
    </w:p>
    <w:p>
      <w:pPr>
        <w:pStyle w:val="Heading2"/>
      </w:pPr>
      <w:r>
        <w:t>10.2  Audit configuration, queue &amp; crawling</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ID</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Requirement</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Prio.</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FR-05</w:t>
            </w:r>
          </w:p>
        </w:tc>
        <w:tc>
          <w:tcPr>
            <w:tcW w:type="dxa" w:w="6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Start an audit on-demand; return a task ID immediately (async).</w:t>
            </w:r>
          </w:p>
        </w:tc>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FR-06</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Scope by URLs, sitemap import, crawl depth, include/exclude rules.</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FR-07</w:t>
            </w:r>
          </w:p>
        </w:tc>
        <w:tc>
          <w:tcPr>
            <w:tcW w:type="dxa" w:w="6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Device/viewport and throttled-network profiles; key citizen journeys.</w:t>
            </w:r>
          </w:p>
        </w:tc>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FR-08</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Respect robots; polite, rate-limited crawl with an identifiable agent.</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FR-09</w:t>
            </w:r>
          </w:p>
        </w:tc>
        <w:tc>
          <w:tcPr>
            <w:tcW w:type="dxa" w:w="6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Queue, schedule and recur audits (e.g., monthly); priority queue.</w:t>
            </w:r>
          </w:p>
        </w:tc>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FR-09a</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Bulk submission: accept a list/CSV of domains, or auto-discover the whole .gov.in/.nic.in register, and enqueue each as an independent task for estate-wide scanning.</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w:t>
            </w:r>
          </w:p>
        </w:tc>
      </w:tr>
    </w:tbl>
    <w:p>
      <w:pPr>
        <w:spacing w:after="80" w:before="0" w:line="274" w:lineRule="auto"/>
      </w:pPr>
    </w:p>
    <w:p>
      <w:pPr>
        <w:pStyle w:val="Heading2"/>
      </w:pPr>
      <w:r>
        <w:t>10.3  Automated evaluation &amp; scoring</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ID</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Requirement</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Prio.</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FR-10</w:t>
            </w:r>
          </w:p>
        </w:tc>
        <w:tc>
          <w:tcPr>
            <w:tcW w:type="dxa" w:w="6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WCAG 2.2 AA, GIGW 3.0, UX4G and Core Web Vitals checks per page.</w:t>
            </w:r>
          </w:p>
        </w:tc>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FR-10a</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Responsiveness &amp; compatibility: test responsive layout across breakpoints (360-1440px), multi-browser (Chromium/Firefox/WebKit) and a multi-device-size matrix with orientation; flag cross-engine rendering divergence.</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FR-11</w:t>
            </w:r>
          </w:p>
        </w:tc>
        <w:tc>
          <w:tcPr>
            <w:tcW w:type="dxa" w:w="6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Compute GovUX Score, band, category sub-scores; apply guard-rails.</w:t>
            </w:r>
          </w:p>
        </w:tc>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FR-12</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Severity-ranked issues with impact×effort prioritisation.</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FR-13</w:t>
            </w:r>
          </w:p>
        </w:tc>
        <w:tc>
          <w:tcPr>
            <w:tcW w:type="dxa" w:w="6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Per issue: plain-language reason, exact guideline, and how to fix.</w:t>
            </w:r>
          </w:p>
        </w:tc>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w:t>
            </w:r>
          </w:p>
        </w:tc>
      </w:tr>
    </w:tbl>
    <w:p>
      <w:pPr>
        <w:spacing w:after="80" w:before="0" w:line="274" w:lineRule="auto"/>
      </w:pPr>
    </w:p>
    <w:p>
      <w:pPr>
        <w:pStyle w:val="Heading2"/>
      </w:pPr>
      <w:r>
        <w:t>10.4  Records, coverage, history &amp; reporting</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ID</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Requirement</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Prio.</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FR-14</w:t>
            </w:r>
          </w:p>
        </w:tc>
        <w:tc>
          <w:tcPr>
            <w:tcW w:type="dxa" w:w="6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Store each run as an immutable, engine-versioned dated snapshot.</w:t>
            </w:r>
          </w:p>
        </w:tc>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FR-15</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Track page-wise coverage (discovered vs analysed) and per-page scores.</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FR-16</w:t>
            </w:r>
          </w:p>
        </w:tc>
        <w:tc>
          <w:tcPr>
            <w:tcW w:type="dxa" w:w="6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Date-wise history and compare (diff two runs: new vs resolved).</w:t>
            </w:r>
          </w:p>
        </w:tc>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FR-17</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Export reports as PDF and machine-readable JSON/CSV; shareable link.</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w:t>
            </w:r>
          </w:p>
        </w:tc>
      </w:tr>
    </w:tbl>
    <w:p>
      <w:pPr>
        <w:spacing w:after="80" w:before="0" w:line="274" w:lineRule="auto"/>
      </w:pPr>
    </w:p>
    <w:p>
      <w:pPr>
        <w:pStyle w:val="Heading2"/>
      </w:pPr>
      <w:r>
        <w:t>10.5  Manual review, dashboard &amp; administration</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ID</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Requirement</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Prio.</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FR-18</w:t>
            </w:r>
          </w:p>
        </w:tc>
        <w:tc>
          <w:tcPr>
            <w:tcW w:type="dxa" w:w="6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Guided manual-review checklists; confirm/override with sign-off.</w:t>
            </w:r>
          </w:p>
        </w:tc>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FR-19</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National roll-up dashboard with ministry/state/department drill-down.</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FR-20</w:t>
            </w:r>
          </w:p>
        </w:tc>
        <w:tc>
          <w:tcPr>
            <w:tcW w:type="dxa" w:w="6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Segmented benchmarking &amp; league tables (like-for-like by category / size / organisation); regression &amp; exception alerts.</w:t>
            </w:r>
          </w:p>
        </w:tc>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FR-20a</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Publishing controls: rankings default to the internal steward view; public publication is governance-gated and opt-in, with anti-gaming safeguards.</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w:t>
            </w:r>
          </w:p>
        </w:tc>
      </w:tr>
      <w:tr>
        <w:tc>
          <w:tcPr>
            <w:tcW w:type="dxa" w:w="1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FR-21</w:t>
            </w:r>
          </w:p>
        </w:tc>
        <w:tc>
          <w:tcPr>
            <w:tcW w:type="dxa" w:w="6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RBAC (Owner/Contributor/Assessor/Admin); audit logging; notifications.</w:t>
            </w:r>
          </w:p>
        </w:tc>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w:t>
            </w:r>
          </w:p>
        </w:tc>
      </w:tr>
      <w:tr>
        <w:tc>
          <w:tcPr>
            <w:tcW w:type="dxa" w:w="1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FR-22</w:t>
            </w:r>
          </w:p>
        </w:tc>
        <w:tc>
          <w:tcPr>
            <w:tcW w:type="dxa" w:w="6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Versioned rules-engine &amp; weight management (governance-controlled).</w:t>
            </w:r>
          </w:p>
        </w:tc>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w:t>
            </w:r>
          </w:p>
        </w:tc>
      </w:tr>
    </w:tbl>
    <w:p>
      <w:pPr>
        <w:spacing w:after="80" w:before="0" w:line="274" w:lineRule="auto"/>
      </w:pPr>
    </w:p>
    <w:p>
      <w:pPr>
        <w:pStyle w:val="Heading1"/>
      </w:pPr>
      <w:r>
        <w:t>11.  Asynchronous Audit Jobs</w:t>
      </w:r>
    </w:p>
    <w:p>
      <w:pPr>
        <w:spacing w:after="120" w:before="0" w:line="274" w:lineRule="auto"/>
      </w:pPr>
      <w:r>
        <w:rPr>
          <w:b w:val="0"/>
          <w:i w:val="0"/>
          <w:sz w:val="21"/>
        </w:rPr>
        <w:t>Audits run like GTmetrix: the caller submits a domain, receives a task ID instantly, the work runs in the background, status auto-updates, and every run is a dated, comparable snapshot.</w:t>
      </w:r>
    </w:p>
    <w:p>
      <w:pPr>
        <w:pStyle w:val="Heading2"/>
      </w:pPr>
      <w:r>
        <w:t>11.1  Job states</w:t>
      </w:r>
    </w:p>
    <w:p>
      <w:pPr>
        <w:spacing w:after="120" w:before="0" w:line="274" w:lineRule="auto"/>
      </w:pPr>
      <w:r>
        <w:rPr>
          <w:b w:val="0"/>
          <w:i w:val="0"/>
          <w:sz w:val="21"/>
        </w:rPr>
        <w:t>QUEUED → CRAWLING → ANALYZING → SCORING → COMPLETED, with FAILED / PARTIAL branches (per-page retry then dead-letter).</w:t>
      </w:r>
    </w:p>
    <w:p>
      <w:pPr>
        <w:pStyle w:val="Heading2"/>
      </w:pPr>
      <w:r>
        <w:t>11.2  API contract</w:t>
      </w:r>
    </w:p>
    <w:tbl>
      <w:tblPr>
        <w:tblW w:type="auto" w:w="0"/>
        <w:jc w:val="center"/>
        <w:tblLook w:firstColumn="1" w:firstRow="1" w:lastColumn="0" w:lastRow="0" w:noHBand="0" w:noVBand="1" w:val="04A0"/>
        <w:tblLayout w:type="fixed"/>
        <w:tblW w:w="9360" w:type="dxa"/>
      </w:tblPr>
      <w:tblGrid>
        <w:gridCol w:w="4680"/>
        <w:gridCol w:w="4680"/>
      </w:tblGrid>
      <w:tr>
        <w:tc>
          <w:tcPr>
            <w:tcW w:type="dxa" w:w="32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Endpoint</w:t>
            </w:r>
          </w:p>
        </w:tc>
        <w:tc>
          <w:tcPr>
            <w:tcW w:type="dxa" w:w="61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Behaviour</w:t>
            </w:r>
          </w:p>
        </w:tc>
      </w:tr>
      <w:tr>
        <w:tc>
          <w:tcPr>
            <w:tcW w:type="dxa" w:w="3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POST /v1/audits</w:t>
            </w:r>
          </w:p>
        </w:tc>
        <w:tc>
          <w:tcPr>
            <w:tcW w:type="dxa" w:w="61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Returns HTTP 202 with { task_id, status:"queued", status_url, poll_after } — never blocks.</w:t>
            </w:r>
          </w:p>
        </w:tc>
      </w:tr>
      <w:tr>
        <w:tc>
          <w:tcPr>
            <w:tcW w:type="dxa" w:w="3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color w:val="1A1A1A"/>
                <w:sz w:val="18"/>
              </w:rPr>
              <w:t>GET /v1/audits/{task_id}</w:t>
            </w:r>
          </w:p>
        </w:tc>
        <w:tc>
          <w:tcPr>
            <w:tcW w:type="dxa" w:w="61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Live status + progress { pages_done, pages_total } + coverage.</w:t>
            </w:r>
          </w:p>
        </w:tc>
      </w:tr>
      <w:tr>
        <w:tc>
          <w:tcPr>
            <w:tcW w:type="dxa" w:w="3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GET /v1/audits/{task_id}/report</w:t>
            </w:r>
          </w:p>
        </w:tc>
        <w:tc>
          <w:tcPr>
            <w:tcW w:type="dxa" w:w="61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Full result once completed.</w:t>
            </w:r>
          </w:p>
        </w:tc>
      </w:tr>
      <w:tr>
        <w:tc>
          <w:tcPr>
            <w:tcW w:type="dxa" w:w="3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color w:val="1A1A1A"/>
                <w:sz w:val="18"/>
              </w:rPr>
              <w:t>GET /v1/domains/{id}/audits</w:t>
            </w:r>
          </w:p>
        </w:tc>
        <w:tc>
          <w:tcPr>
            <w:tcW w:type="dxa" w:w="61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Date-wise history of snapshots.</w:t>
            </w:r>
          </w:p>
        </w:tc>
      </w:tr>
      <w:tr>
        <w:tc>
          <w:tcPr>
            <w:tcW w:type="dxa" w:w="3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GET /v1/domains/{id}/compare</w:t>
            </w:r>
          </w:p>
        </w:tc>
        <w:tc>
          <w:tcPr>
            <w:tcW w:type="dxa" w:w="61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Diff two runs: overall/category deltas, new vs resolved issues.</w:t>
            </w:r>
          </w:p>
        </w:tc>
      </w:tr>
      <w:tr>
        <w:tc>
          <w:tcPr>
            <w:tcW w:type="dxa" w:w="3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color w:val="1A1A1A"/>
                <w:sz w:val="18"/>
              </w:rPr>
              <w:t>WS /v1/audits/{task_id}/stream</w:t>
            </w:r>
          </w:p>
        </w:tc>
        <w:tc>
          <w:tcPr>
            <w:tcW w:type="dxa" w:w="61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Live progress push to the UI; optional webhook on completion.</w:t>
            </w:r>
          </w:p>
        </w:tc>
      </w:tr>
    </w:tbl>
    <w:p>
      <w:pPr>
        <w:spacing w:after="80" w:before="0" w:line="274" w:lineRule="auto"/>
      </w:pPr>
    </w:p>
    <w:p>
      <w:pPr>
        <w:pStyle w:val="Heading2"/>
      </w:pPr>
      <w:r>
        <w:t>11.3  What is stored</w:t>
      </w:r>
    </w:p>
    <w:tbl>
      <w:tblPr>
        <w:tblW w:type="auto" w:w="0"/>
        <w:jc w:val="center"/>
        <w:tblLook w:firstColumn="1" w:firstRow="1" w:lastColumn="0" w:lastRow="0" w:noHBand="0" w:noVBand="1" w:val="04A0"/>
        <w:tblLayout w:type="fixed"/>
        <w:tblW w:w="9360" w:type="dxa"/>
      </w:tblPr>
      <w:tblGrid>
        <w:gridCol w:w="4680"/>
        <w:gridCol w:w="4680"/>
      </w:tblGrid>
      <w:tr>
        <w:tc>
          <w:tcPr>
            <w:tcW w:type="dxa" w:w="24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Table</w:t>
            </w:r>
          </w:p>
        </w:tc>
        <w:tc>
          <w:tcPr>
            <w:tcW w:type="dxa" w:w="69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Holds</w:t>
            </w:r>
          </w:p>
        </w:tc>
      </w:tr>
      <w:tr>
        <w:tc>
          <w:tcPr>
            <w:tcW w:type="dxa" w:w="2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audits</w:t>
            </w:r>
          </w:p>
        </w:tc>
        <w:tc>
          <w:tcPr>
            <w:tcW w:type="dxa" w:w="69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task_id, domain, status, scope, engine_version, timestamps, pages_total/done, overall_score, band</w:t>
            </w:r>
          </w:p>
        </w:tc>
      </w:tr>
      <w:tr>
        <w:tc>
          <w:tcPr>
            <w:tcW w:type="dxa" w:w="2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color w:val="1A1A1A"/>
                <w:sz w:val="18"/>
              </w:rPr>
              <w:t>audit_pages</w:t>
            </w:r>
          </w:p>
        </w:tc>
        <w:tc>
          <w:tcPr>
            <w:tcW w:type="dxa" w:w="69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per URL: status, device, LCP/CLS, page_score, issue count, crawled_at (drives coverage)</w:t>
            </w:r>
          </w:p>
        </w:tc>
      </w:tr>
      <w:tr>
        <w:tc>
          <w:tcPr>
            <w:tcW w:type="dxa" w:w="2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findings</w:t>
            </w:r>
          </w:p>
        </w:tc>
        <w:tc>
          <w:tcPr>
            <w:tcW w:type="dxa" w:w="69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per page: check_id, category, severity, guideline, evidence reference</w:t>
            </w:r>
          </w:p>
        </w:tc>
      </w:tr>
      <w:tr>
        <w:tc>
          <w:tcPr>
            <w:tcW w:type="dxa" w:w="2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color w:val="1A1A1A"/>
                <w:sz w:val="18"/>
              </w:rPr>
              <w:t>scores</w:t>
            </w:r>
          </w:p>
        </w:tc>
        <w:tc>
          <w:tcPr>
            <w:tcW w:type="dxa" w:w="69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per-category score for the snapshot</w:t>
            </w:r>
          </w:p>
        </w:tc>
      </w:tr>
    </w:tbl>
    <w:p>
      <w:pPr>
        <w:spacing w:after="80" w:before="0" w:line="274" w:lineRule="auto"/>
      </w:pPr>
    </w:p>
    <w:p>
      <w:pPr>
        <w:spacing w:after="120" w:before="0" w:line="274" w:lineRule="auto"/>
      </w:pPr>
      <w:r>
        <w:rPr>
          <w:b w:val="0"/>
          <w:i w:val="0"/>
          <w:sz w:val="21"/>
        </w:rPr>
        <w:t>The queue is Redis Streams (consumer groups) — a single, language-agnostic queue that both the Node and Python workers consume; retries, visibility timeouts and dead-letter are native to Redis Streams, so no Celery is required, and a Kubernetes CronJob schedules recurring audits. Guarantees: idempotency (a dedup key prevents duplicate concurrent runs), per-page retries → dead-letter, polite crawling, a priority queue (on-demand ahead of scheduled), and snapshot retention. Comparison is computed on read, never stored.</w:t>
      </w:r>
    </w:p>
    <w:p>
      <w:pPr>
        <w:pStyle w:val="Heading2"/>
      </w:pPr>
      <w:r>
        <w:t>11.4  Bulk &amp; estate-wide scanning</w:t>
      </w:r>
    </w:p>
    <w:p>
      <w:pPr>
        <w:spacing w:after="120" w:before="0" w:line="274" w:lineRule="auto"/>
      </w:pPr>
      <w:r>
        <w:rPr>
          <w:b w:val="0"/>
          <w:i w:val="0"/>
          <w:sz w:val="21"/>
        </w:rPr>
        <w:t>The same async model scales from one domain to the whole estate. An owner or steward can submit a list/CSV of domains, or the platform can auto-discover every .gov.in/.nic.in domain from the national register. Each domain is enqueued as an independent Redis Streams task and processed concurrently by the worker fleet; scheduled runs keep the entire estate continuously refreshed — the pattern the US GSA programme uses across ~26,000 federal .gov sites. Results from every domain feed the national roll-up and the ranking engine (Section 17).</w:t>
      </w:r>
    </w:p>
    <w:p>
      <w:pPr>
        <w:pStyle w:val="Heading1"/>
      </w:pPr>
      <w:r>
        <w:t>12.  Solution Architecture</w:t>
      </w:r>
    </w:p>
    <w:p>
      <w:pPr>
        <w:spacing w:after="120" w:before="0" w:line="274" w:lineRule="auto"/>
      </w:pPr>
      <w:r>
        <w:rPr>
          <w:b w:val="0"/>
          <w:i w:val="0"/>
          <w:sz w:val="21"/>
        </w:rPr>
        <w:t>Cloud-native, service-oriented, queue-driven and deliberately polyglot: the best tools split across ecosystems — Lighthouse and axe-core are Node/JavaScript, while ML, Indic NLP and scoring are Python — so the architecture uses each where it is strongest.</w:t>
      </w:r>
    </w:p>
    <w:tbl>
      <w:tblPr>
        <w:tblW w:type="auto" w:w="0"/>
        <w:jc w:val="center"/>
        <w:tblLook w:firstColumn="1" w:firstRow="1" w:lastColumn="0" w:lastRow="0" w:noHBand="0" w:noVBand="1" w:val="04A0"/>
        <w:tblLayout w:type="fixed"/>
        <w:tblW w:w="9360" w:type="dxa"/>
      </w:tblPr>
      <w:tblGrid>
        <w:gridCol w:w="4680"/>
        <w:gridCol w:w="4680"/>
      </w:tblGrid>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Layer</w:t>
            </w:r>
          </w:p>
        </w:tc>
        <w:tc>
          <w:tcPr>
            <w:tcW w:type="dxa" w:w="68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Responsibility &amp; technology</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1 Presentation</w:t>
            </w:r>
          </w:p>
        </w:tc>
        <w:tc>
          <w:tcPr>
            <w:tcW w:type="dxa" w:w="6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Next.js (React/TypeScript) — owner workspace + national dashboard; WCAG 2.2 AA; bilingual.</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color w:val="1A1A1A"/>
                <w:sz w:val="18"/>
              </w:rPr>
              <w:t>2 BFF / session</w:t>
            </w:r>
          </w:p>
        </w:tc>
        <w:tc>
          <w:tcPr>
            <w:tcW w:type="dxa" w:w="6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Next.js Route Handlers (Node) — auth/session, SSO, UI aggregation. No separate Fastify tier.</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3 Core API &amp; domain</w:t>
            </w:r>
          </w:p>
        </w:tc>
        <w:tc>
          <w:tcPr>
            <w:tcW w:type="dxa" w:w="6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FastAPI (Python) — orchestration, scoring, rules, RBAC, reporting; OpenAPI + Pydantic.</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color w:val="1A1A1A"/>
                <w:sz w:val="18"/>
              </w:rPr>
              <w:t>4 Audit workers</w:t>
            </w:r>
          </w:p>
        </w:tc>
        <w:tc>
          <w:tcPr>
            <w:tcW w:type="dxa" w:w="6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Polyglot, containerised, queue-driven: Node (Lighthouse/axe/Playwright) + Python (ML/CV/Indic).</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5 Rules &amp; scoring engine</w:t>
            </w:r>
          </w:p>
        </w:tc>
        <w:tc>
          <w:tcPr>
            <w:tcW w:type="dxa" w:w="6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Python — GIGW/WCAG/UX4G/CWV → GovUX Score + guard-rails; versioned.</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color w:val="1A1A1A"/>
                <w:sz w:val="18"/>
              </w:rPr>
              <w:t>6 Data &amp; storage</w:t>
            </w:r>
          </w:p>
        </w:tc>
        <w:tc>
          <w:tcPr>
            <w:tcW w:type="dxa" w:w="6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PostgreSQL + pgvector; ClickHouse (trends); MinIO/S3 (evidence); Redis Streams (queue) + Redis cache.</w:t>
            </w:r>
          </w:p>
        </w:tc>
      </w:tr>
    </w:tbl>
    <w:p>
      <w:pPr>
        <w:spacing w:after="80" w:before="0" w:line="274" w:lineRule="auto"/>
      </w:pPr>
    </w:p>
    <w:p>
      <w:pPr>
        <w:spacing w:after="120" w:before="0" w:line="274" w:lineRule="auto"/>
      </w:pPr>
      <w:r>
        <w:rPr>
          <w:b w:val="0"/>
          <w:i w:val="0"/>
          <w:sz w:val="21"/>
        </w:rPr>
        <w:t>Cross-cutting: Kubernetes on MeghRaj/NIC cloud (India residency), GPU pool for Phase-1 ML, Parichay/Keycloak SSO, Vault, Prometheus/Grafana/OpenTelemetry, GitLab CI, Terraform.</w:t>
      </w:r>
    </w:p>
    <w:p>
      <w:pPr>
        <w:pStyle w:val="Heading1"/>
      </w:pPr>
      <w:r>
        <w:t>13.  Technology Stack &amp; Backend Decision</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23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Concern</w:t>
            </w:r>
          </w:p>
        </w:tc>
        <w:tc>
          <w:tcPr>
            <w:tcW w:type="dxa" w:w="35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Technology</w:t>
            </w:r>
          </w:p>
        </w:tc>
        <w:tc>
          <w:tcPr>
            <w:tcW w:type="dxa" w:w="35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Why</w:t>
            </w:r>
          </w:p>
        </w:tc>
      </w:tr>
      <w:tr>
        <w:tc>
          <w:tcPr>
            <w:tcW w:type="dxa" w:w="2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Frontend</w:t>
            </w:r>
          </w:p>
        </w:tc>
        <w:tc>
          <w:tcPr>
            <w:tcW w:type="dxa" w:w="3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Next.js + React + TypeScript</w:t>
            </w:r>
          </w:p>
        </w:tc>
        <w:tc>
          <w:tcPr>
            <w:tcW w:type="dxa" w:w="3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SSR/SEO, accessible, huge talent pool</w:t>
            </w:r>
          </w:p>
        </w:tc>
      </w:tr>
      <w:tr>
        <w:tc>
          <w:tcPr>
            <w:tcW w:type="dxa" w:w="2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BFF / session</w:t>
            </w:r>
          </w:p>
        </w:tc>
        <w:tc>
          <w:tcPr>
            <w:tcW w:type="dxa" w:w="3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Next.js Route Handlers (Node)</w:t>
            </w:r>
          </w:p>
        </w:tc>
        <w:tc>
          <w:tcPr>
            <w:tcW w:type="dxa" w:w="3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Already present — no second framework needed</w:t>
            </w:r>
          </w:p>
        </w:tc>
      </w:tr>
      <w:tr>
        <w:tc>
          <w:tcPr>
            <w:tcW w:type="dxa" w:w="2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Core backend</w:t>
            </w:r>
          </w:p>
        </w:tc>
        <w:tc>
          <w:tcPr>
            <w:tcW w:type="dxa" w:w="3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FastAPI (Python) + Uvicorn</w:t>
            </w:r>
          </w:p>
        </w:tc>
        <w:tc>
          <w:tcPr>
            <w:tcW w:type="dxa" w:w="3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Same language as scoring/ML/Indic; async; auto OpenAPI</w:t>
            </w:r>
          </w:p>
        </w:tc>
      </w:tr>
      <w:tr>
        <w:tc>
          <w:tcPr>
            <w:tcW w:type="dxa" w:w="2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Queue / workers</w:t>
            </w:r>
          </w:p>
        </w:tc>
        <w:tc>
          <w:tcPr>
            <w:tcW w:type="dxa" w:w="3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Redis Streams (polyglot); arq (Python) + BullMQ (Node); CronJob scheduler</w:t>
            </w:r>
          </w:p>
        </w:tc>
        <w:tc>
          <w:tcPr>
            <w:tcW w:type="dxa" w:w="3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One language-agnostic queue both Node &amp; Python workers consume; retries/DLQ native — no Celery</w:t>
            </w:r>
          </w:p>
        </w:tc>
      </w:tr>
      <w:tr>
        <w:tc>
          <w:tcPr>
            <w:tcW w:type="dxa" w:w="2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Browser &amp; a11y &amp; perf</w:t>
            </w:r>
          </w:p>
        </w:tc>
        <w:tc>
          <w:tcPr>
            <w:tcW w:type="dxa" w:w="3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Playwright, axe-core, Lighthouse, web-vitals</w:t>
            </w:r>
          </w:p>
        </w:tc>
        <w:tc>
          <w:tcPr>
            <w:tcW w:type="dxa" w:w="3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Deterministic crawl/WCAG/CWV</w:t>
            </w:r>
          </w:p>
        </w:tc>
      </w:tr>
      <w:tr>
        <w:tc>
          <w:tcPr>
            <w:tcW w:type="dxa" w:w="2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Security / SEO / HTML</w:t>
            </w:r>
          </w:p>
        </w:tc>
        <w:tc>
          <w:tcPr>
            <w:tcW w:type="dxa" w:w="3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sslyze, testssl.sh, retire.js, extruct, lxml, Nu</w:t>
            </w:r>
          </w:p>
        </w:tc>
        <w:tc>
          <w:tcPr>
            <w:tcW w:type="dxa" w:w="3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Hygiene, structured data, validity</w:t>
            </w:r>
          </w:p>
        </w:tc>
      </w:tr>
      <w:tr>
        <w:tc>
          <w:tcPr>
            <w:tcW w:type="dxa" w:w="2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ML / NLP / Indic</w:t>
            </w:r>
          </w:p>
        </w:tc>
        <w:tc>
          <w:tcPr>
            <w:tcW w:type="dxa" w:w="3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scikit-learn, XGBoost, PyTorch, OpenCV, spaCy, fastText, AI4Bharat, Bhashini</w:t>
            </w:r>
          </w:p>
        </w:tc>
        <w:tc>
          <w:tcPr>
            <w:tcW w:type="dxa" w:w="3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Phase-1 ML + multilingual</w:t>
            </w:r>
          </w:p>
        </w:tc>
      </w:tr>
      <w:tr>
        <w:tc>
          <w:tcPr>
            <w:tcW w:type="dxa" w:w="2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Data / platform</w:t>
            </w:r>
          </w:p>
        </w:tc>
        <w:tc>
          <w:tcPr>
            <w:tcW w:type="dxa" w:w="3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PostgreSQL, ClickHouse, MinIO, Redis; Kubernetes</w:t>
            </w:r>
          </w:p>
        </w:tc>
        <w:tc>
          <w:tcPr>
            <w:tcW w:type="dxa" w:w="3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Storage + sovereign scale</w:t>
            </w:r>
          </w:p>
        </w:tc>
      </w:tr>
    </w:tbl>
    <w:p>
      <w:pPr>
        <w:spacing w:after="80" w:before="0" w:line="274" w:lineRule="auto"/>
      </w:pPr>
    </w:p>
    <w:p>
      <w:pPr>
        <w:pStyle w:val="Heading2"/>
      </w:pPr>
      <w:r>
        <w:t>13.1  Backend: FastAPI (Python) vs Fastify (Node.js)</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Criterion</w:t>
            </w:r>
          </w:p>
        </w:tc>
        <w:tc>
          <w:tcPr>
            <w:tcW w:type="dxa" w:w="338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FastAPI (Python)</w:t>
            </w:r>
          </w:p>
        </w:tc>
        <w:tc>
          <w:tcPr>
            <w:tcW w:type="dxa" w:w="338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Fastify (Node.js)</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Same language as scoring &amp; ML</w:t>
            </w:r>
          </w:p>
        </w:tc>
        <w:tc>
          <w:tcPr>
            <w:tcW w:type="dxa" w:w="3380"/>
            <w:vAlign w:val="center"/>
            <w:tcBorders>
              <w:top w:val="single" w:sz="4" w:space="0" w:color="C7D3DE"/>
              <w:left w:val="single" w:sz="4" w:space="0" w:color="C7D3DE"/>
              <w:bottom w:val="single" w:sz="4" w:space="0" w:color="C7D3DE"/>
              <w:right w:val="single" w:sz="4" w:space="0" w:color="C7D3DE"/>
            </w:tcBorders>
            <w:shd w:val="clear" w:color="auto" w:fill="E6F4EC"/>
            <w:tcMar>
              <w:top w:w="42" w:type="dxa"/>
              <w:bottom w:w="42" w:type="dxa"/>
              <w:left w:w="80" w:type="dxa"/>
              <w:right w:w="80" w:type="dxa"/>
            </w:tcMar>
          </w:tcPr>
          <w:p>
            <w:pPr>
              <w:spacing w:after="20" w:line="247" w:lineRule="auto"/>
            </w:pPr>
            <w:r/>
            <w:r>
              <w:rPr>
                <w:b/>
                <w:color w:val="1A1A1A"/>
                <w:sz w:val="18"/>
              </w:rPr>
              <w:t>Yes — one runtime for API + ML</w:t>
            </w:r>
          </w:p>
        </w:tc>
        <w:tc>
          <w:tcPr>
            <w:tcW w:type="dxa" w:w="338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No — ML/Indic is Python; needs a separate service</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Same language as audit tools</w:t>
            </w:r>
          </w:p>
        </w:tc>
        <w:tc>
          <w:tcPr>
            <w:tcW w:type="dxa" w:w="338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Playwright in Python; Lighthouse/axe are Node → workers either way</w:t>
            </w:r>
          </w:p>
        </w:tc>
        <w:tc>
          <w:tcPr>
            <w:tcW w:type="dxa" w:w="3380"/>
            <w:vAlign w:val="center"/>
            <w:tcBorders>
              <w:top w:val="single" w:sz="4" w:space="0" w:color="C7D3DE"/>
              <w:left w:val="single" w:sz="4" w:space="0" w:color="C7D3DE"/>
              <w:bottom w:val="single" w:sz="4" w:space="0" w:color="C7D3DE"/>
              <w:right w:val="single" w:sz="4" w:space="0" w:color="C7D3DE"/>
            </w:tcBorders>
            <w:shd w:val="clear" w:color="auto" w:fill="E6F4EC"/>
            <w:tcMar>
              <w:top w:w="42" w:type="dxa"/>
              <w:bottom w:w="42" w:type="dxa"/>
              <w:left w:w="80" w:type="dxa"/>
              <w:right w:w="80" w:type="dxa"/>
            </w:tcMar>
          </w:tcPr>
          <w:p>
            <w:pPr>
              <w:spacing w:after="20" w:line="247" w:lineRule="auto"/>
            </w:pPr>
            <w:r/>
            <w:r>
              <w:rPr>
                <w:b/>
                <w:color w:val="1A1A1A"/>
                <w:sz w:val="18"/>
              </w:rPr>
              <w:t>Native to Lighthouse/axe</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Same language as frontend</w:t>
            </w:r>
          </w:p>
        </w:tc>
        <w:tc>
          <w:tcPr>
            <w:tcW w:type="dxa" w:w="338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No (frontend is TS)</w:t>
            </w:r>
          </w:p>
        </w:tc>
        <w:tc>
          <w:tcPr>
            <w:tcW w:type="dxa" w:w="3380"/>
            <w:vAlign w:val="center"/>
            <w:tcBorders>
              <w:top w:val="single" w:sz="4" w:space="0" w:color="C7D3DE"/>
              <w:left w:val="single" w:sz="4" w:space="0" w:color="C7D3DE"/>
              <w:bottom w:val="single" w:sz="4" w:space="0" w:color="C7D3DE"/>
              <w:right w:val="single" w:sz="4" w:space="0" w:color="C7D3DE"/>
            </w:tcBorders>
            <w:shd w:val="clear" w:color="auto" w:fill="E6F4EC"/>
            <w:tcMar>
              <w:top w:w="42" w:type="dxa"/>
              <w:bottom w:w="42" w:type="dxa"/>
              <w:left w:w="80" w:type="dxa"/>
              <w:right w:w="80" w:type="dxa"/>
            </w:tcMar>
          </w:tcPr>
          <w:p>
            <w:pPr>
              <w:spacing w:after="20" w:line="247" w:lineRule="auto"/>
            </w:pPr>
            <w:r/>
            <w:r>
              <w:rPr>
                <w:b/>
                <w:color w:val="1A1A1A"/>
                <w:sz w:val="18"/>
              </w:rPr>
              <w:t>Yes — TS end-to-end</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Data-science ecosystem</w:t>
            </w:r>
          </w:p>
        </w:tc>
        <w:tc>
          <w:tcPr>
            <w:tcW w:type="dxa" w:w="3380"/>
            <w:vAlign w:val="center"/>
            <w:tcBorders>
              <w:top w:val="single" w:sz="4" w:space="0" w:color="C7D3DE"/>
              <w:left w:val="single" w:sz="4" w:space="0" w:color="C7D3DE"/>
              <w:bottom w:val="single" w:sz="4" w:space="0" w:color="C7D3DE"/>
              <w:right w:val="single" w:sz="4" w:space="0" w:color="C7D3DE"/>
            </w:tcBorders>
            <w:shd w:val="clear" w:color="auto" w:fill="E6F4EC"/>
            <w:tcMar>
              <w:top w:w="42" w:type="dxa"/>
              <w:bottom w:w="42" w:type="dxa"/>
              <w:left w:w="80" w:type="dxa"/>
              <w:right w:w="80" w:type="dxa"/>
            </w:tcMar>
          </w:tcPr>
          <w:p>
            <w:pPr>
              <w:spacing w:after="20" w:line="247" w:lineRule="auto"/>
            </w:pPr>
            <w:r/>
            <w:r>
              <w:rPr>
                <w:b/>
                <w:color w:val="1A1A1A"/>
                <w:sz w:val="18"/>
              </w:rPr>
              <w:t>Best-in-class</w:t>
            </w:r>
          </w:p>
        </w:tc>
        <w:tc>
          <w:tcPr>
            <w:tcW w:type="dxa" w:w="338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Weak</w:t>
            </w:r>
          </w:p>
        </w:tc>
      </w:tr>
      <w:tr>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Reproducible score next to models</w:t>
            </w:r>
          </w:p>
        </w:tc>
        <w:tc>
          <w:tcPr>
            <w:tcW w:type="dxa" w:w="3380"/>
            <w:vAlign w:val="center"/>
            <w:tcBorders>
              <w:top w:val="single" w:sz="4" w:space="0" w:color="C7D3DE"/>
              <w:left w:val="single" w:sz="4" w:space="0" w:color="C7D3DE"/>
              <w:bottom w:val="single" w:sz="4" w:space="0" w:color="C7D3DE"/>
              <w:right w:val="single" w:sz="4" w:space="0" w:color="C7D3DE"/>
            </w:tcBorders>
            <w:shd w:val="clear" w:color="auto" w:fill="E6F4EC"/>
            <w:tcMar>
              <w:top w:w="42" w:type="dxa"/>
              <w:bottom w:w="42" w:type="dxa"/>
              <w:left w:w="80" w:type="dxa"/>
              <w:right w:w="80" w:type="dxa"/>
            </w:tcMar>
          </w:tcPr>
          <w:p>
            <w:pPr>
              <w:spacing w:after="20" w:line="247" w:lineRule="auto"/>
            </w:pPr>
            <w:r/>
            <w:r>
              <w:rPr>
                <w:b/>
                <w:color w:val="1A1A1A"/>
                <w:sz w:val="18"/>
              </w:rPr>
              <w:t>Yes</w:t>
            </w:r>
          </w:p>
        </w:tc>
        <w:tc>
          <w:tcPr>
            <w:tcW w:type="dxa" w:w="338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No — cross-service boundary</w:t>
            </w:r>
          </w:p>
        </w:tc>
      </w:tr>
      <w:tr>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Raw HTTP throughput</w:t>
            </w:r>
          </w:p>
        </w:tc>
        <w:tc>
          <w:tcPr>
            <w:tcW w:type="dxa" w:w="338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Very good</w:t>
            </w:r>
          </w:p>
        </w:tc>
        <w:tc>
          <w:tcPr>
            <w:tcW w:type="dxa" w:w="3380"/>
            <w:vAlign w:val="center"/>
            <w:tcBorders>
              <w:top w:val="single" w:sz="4" w:space="0" w:color="C7D3DE"/>
              <w:left w:val="single" w:sz="4" w:space="0" w:color="C7D3DE"/>
              <w:bottom w:val="single" w:sz="4" w:space="0" w:color="C7D3DE"/>
              <w:right w:val="single" w:sz="4" w:space="0" w:color="C7D3DE"/>
            </w:tcBorders>
            <w:shd w:val="clear" w:color="auto" w:fill="E6F4EC"/>
            <w:tcMar>
              <w:top w:w="42" w:type="dxa"/>
              <w:bottom w:w="42" w:type="dxa"/>
              <w:left w:w="80" w:type="dxa"/>
              <w:right w:w="80" w:type="dxa"/>
            </w:tcMar>
          </w:tcPr>
          <w:p>
            <w:pPr>
              <w:spacing w:after="20" w:line="247" w:lineRule="auto"/>
            </w:pPr>
            <w:r/>
            <w:r>
              <w:rPr>
                <w:b/>
                <w:color w:val="1A1A1A"/>
                <w:sz w:val="18"/>
              </w:rPr>
              <w:t>Excellent</w:t>
            </w:r>
          </w:p>
        </w:tc>
      </w:tr>
    </w:tbl>
    <w:p>
      <w:pPr>
        <w:spacing w:after="80" w:before="0" w:line="274" w:lineRule="auto"/>
      </w:pPr>
    </w:p>
    <w:p>
      <w:pPr>
        <w:spacing w:before="80" w:after="160" w:line="274" w:lineRule="auto"/>
        <w:ind w:left="120"/>
        <w:shd w:val="clear" w:color="auto" w:fill="EEF5FB"/>
        <w:pBdr>
          <w:left w:val="single" w:sz="18" w:space="6" w:color="1F6FB2"/>
          <w:top w:val="single" w:sz="2" w:space="6" w:color="D6E6F2"/>
          <w:bottom w:val="single" w:sz="2" w:space="6" w:color="D6E6F2"/>
          <w:right w:val="single" w:sz="2" w:space="6" w:color="D6E6F2"/>
        </w:pBdr>
      </w:pPr>
      <w:r>
        <w:rPr>
          <w:b/>
          <w:color w:val="0B3D6B"/>
          <w:sz w:val="21"/>
        </w:rPr>
        <w:t xml:space="preserve">Recommendation — FastAPI (Python) for the core backend.  </w:t>
      </w:r>
      <w:r>
        <w:rPr>
          <w:sz w:val="21"/>
        </w:rPr>
        <w:t>The product's brain (scoring, ML/CV, Indic NLP, rules) is Python; hosting the API in the same runtime keeps the reproducible score with its models. Fastify is not needed: Next.js already provides the Node BFF, and the Node-native audit tools run as containerised workers regardless. Net: two runtimes — Node for UI + JS tools, Python for the brain + ML.</w:t>
      </w:r>
    </w:p>
    <w:p>
      <w:pPr>
        <w:pStyle w:val="Heading1"/>
      </w:pPr>
      <w:r>
        <w:t>14.  Competitive Benchmark &amp; Gap Analysis</w:t>
      </w:r>
    </w:p>
    <w:p>
      <w:pPr>
        <w:spacing w:before="80" w:after="160" w:line="274" w:lineRule="auto"/>
        <w:ind w:left="120"/>
        <w:shd w:val="clear" w:color="auto" w:fill="EEF5FB"/>
        <w:pBdr>
          <w:left w:val="single" w:sz="18" w:space="6" w:color="1F6FB2"/>
          <w:top w:val="single" w:sz="2" w:space="6" w:color="D6E6F2"/>
          <w:bottom w:val="single" w:sz="2" w:space="6" w:color="D6E6F2"/>
          <w:right w:val="single" w:sz="2" w:space="6" w:color="D6E6F2"/>
        </w:pBdr>
      </w:pPr>
      <w:r>
        <w:rPr>
          <w:b/>
          <w:color w:val="0B3D6B"/>
          <w:sz w:val="21"/>
        </w:rPr>
        <w:t xml:space="preserve">Verdict:  </w:t>
      </w:r>
      <w:r>
        <w:rPr>
          <w:sz w:val="21"/>
        </w:rPr>
        <w:t>The concept and scoring model are world-class — ahead of the market on a unified score and citizen framing. The product as specified trails incumbents on continuous full-estate monitoring, manual-testing rigour, document/app coverage and developer integration. Closing the gaps below makes it genuinely leading, especially for India's multilingual context.</w:t>
      </w:r>
    </w:p>
    <w:p>
      <w:pPr>
        <w:spacing w:after="120" w:before="0" w:line="274" w:lineRule="auto"/>
      </w:pPr>
      <w:r>
        <w:rPr>
          <w:b w:val="0"/>
          <w:i w:val="0"/>
          <w:sz w:val="21"/>
        </w:rPr>
        <w:t>Benchmarked against Siteimprove, Silktide, Acquia Optimize (ex-Monsido), the US GSA Site Scanning programme (auto-scans ~26,000 federal .gov sites daily), the EU Web Accessibility Directive (two-tier monitoring), Baymard UX-Ray and Google Lighthouse.</w:t>
      </w:r>
    </w:p>
    <w:p>
      <w:pPr>
        <w:pStyle w:val="Heading2"/>
      </w:pPr>
      <w:r>
        <w:t>14.1  Prioritised gaps</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w:t>
            </w:r>
          </w:p>
        </w:tc>
        <w:tc>
          <w:tcPr>
            <w:tcW w:type="dxa" w:w="29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Gap</w:t>
            </w:r>
          </w:p>
        </w:tc>
        <w:tc>
          <w:tcPr>
            <w:tcW w:type="dxa" w:w="58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What world-class looks like</w:t>
            </w:r>
          </w:p>
        </w:tc>
      </w:tr>
      <w:tr>
        <w:tc>
          <w:tcPr>
            <w:tcW w:type="dxa" w:w="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G1</w:t>
            </w:r>
          </w:p>
        </w:tc>
        <w:tc>
          <w:tcPr>
            <w:tcW w:type="dxa" w:w="29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Automated-only scoring ceiling</w:t>
            </w:r>
          </w:p>
        </w:tc>
        <w:tc>
          <w:tcPr>
            <w:tcW w:type="dxa" w:w="5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Automation catches ~30–40% of WCAG; mandate hybrid automated + expert review (EU two-tier).</w:t>
            </w:r>
          </w:p>
        </w:tc>
      </w:tr>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G2</w:t>
            </w:r>
          </w:p>
        </w:tc>
        <w:tc>
          <w:tcPr>
            <w:tcW w:type="dxa" w:w="29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Point-in-time, opt-in auditing</w:t>
            </w:r>
          </w:p>
        </w:tc>
        <w:tc>
          <w:tcPr>
            <w:tcW w:type="dxa" w:w="5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Continuous, estate-wide monitoring with auto-discovery and regression alerts.</w:t>
            </w:r>
          </w:p>
        </w:tc>
      </w:tr>
      <w:tr>
        <w:tc>
          <w:tcPr>
            <w:tcW w:type="dxa" w:w="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G3</w:t>
            </w:r>
          </w:p>
        </w:tc>
        <w:tc>
          <w:tcPr>
            <w:tcW w:type="dxa" w:w="29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No PDF / document accessibility</w:t>
            </w:r>
          </w:p>
        </w:tc>
        <w:tc>
          <w:tcPr>
            <w:tcW w:type="dxa" w:w="5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Automated PDF/Office accessibility scanning in the same score.</w:t>
            </w:r>
          </w:p>
        </w:tc>
      </w:tr>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G4</w:t>
            </w:r>
          </w:p>
        </w:tc>
        <w:tc>
          <w:tcPr>
            <w:tcW w:type="dxa" w:w="29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Lab-only performance</w:t>
            </w:r>
          </w:p>
        </w:tc>
        <w:tc>
          <w:tcPr>
            <w:tcW w:type="dxa" w:w="5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Blend lab metrics with field (real-user CWV) data.</w:t>
            </w:r>
          </w:p>
        </w:tc>
      </w:tr>
      <w:tr>
        <w:tc>
          <w:tcPr>
            <w:tcW w:type="dxa" w:w="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G5</w:t>
            </w:r>
          </w:p>
        </w:tc>
        <w:tc>
          <w:tcPr>
            <w:tcW w:type="dxa" w:w="29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Thin developer / remediation tooling</w:t>
            </w:r>
          </w:p>
        </w:tc>
        <w:tc>
          <w:tcPr>
            <w:tcW w:type="dxa" w:w="5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CI/CD gates, browser extension, CMS plugins, ticketing sync.</w:t>
            </w:r>
          </w:p>
        </w:tc>
      </w:tr>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G6</w:t>
            </w:r>
          </w:p>
        </w:tc>
        <w:tc>
          <w:tcPr>
            <w:tcW w:type="dxa" w:w="29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Multilingual under-built</w:t>
            </w:r>
          </w:p>
        </w:tc>
        <w:tc>
          <w:tcPr>
            <w:tcW w:type="dxa" w:w="5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Audit Indian-language pages — a lead no incumbent offers.</w:t>
            </w:r>
          </w:p>
        </w:tc>
      </w:tr>
    </w:tbl>
    <w:p>
      <w:pPr>
        <w:spacing w:after="80" w:before="0" w:line="274" w:lineRule="auto"/>
      </w:pPr>
    </w:p>
    <w:p>
      <w:pPr>
        <w:pStyle w:val="Heading2"/>
      </w:pPr>
      <w:r>
        <w:t>14.2  Roadmap to close (mapped to horizons)</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17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Horizon</w:t>
            </w:r>
          </w:p>
        </w:tc>
        <w:tc>
          <w:tcPr>
            <w:tcW w:type="dxa" w:w="383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Add</w:t>
            </w:r>
          </w:p>
        </w:tc>
        <w:tc>
          <w:tcPr>
            <w:tcW w:type="dxa" w:w="383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Closes</w:t>
            </w:r>
          </w:p>
        </w:tc>
      </w:tr>
      <w:tr>
        <w:tc>
          <w:tcPr>
            <w:tcW w:type="dxa" w:w="17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Now (MVP+)</w:t>
            </w:r>
          </w:p>
        </w:tc>
        <w:tc>
          <w:tcPr>
            <w:tcW w:type="dxa" w:w="383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Hybrid two-tier method; automated-vs-verified confidence; no-overlay stance</w:t>
            </w:r>
          </w:p>
        </w:tc>
        <w:tc>
          <w:tcPr>
            <w:tcW w:type="dxa" w:w="383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G1</w:t>
            </w:r>
          </w:p>
        </w:tc>
      </w:tr>
      <w:tr>
        <w:tc>
          <w:tcPr>
            <w:tcW w:type="dxa" w:w="17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6–10 months</w:t>
            </w:r>
          </w:p>
        </w:tc>
        <w:tc>
          <w:tcPr>
            <w:tcW w:type="dxa" w:w="383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Continuous monitoring + auto-discovery; PDF accessibility; full-site crawl</w:t>
            </w:r>
          </w:p>
        </w:tc>
        <w:tc>
          <w:tcPr>
            <w:tcW w:type="dxa" w:w="383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G2, G3</w:t>
            </w:r>
          </w:p>
        </w:tc>
      </w:tr>
      <w:tr>
        <w:tc>
          <w:tcPr>
            <w:tcW w:type="dxa" w:w="17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10–14 months</w:t>
            </w:r>
          </w:p>
        </w:tc>
        <w:tc>
          <w:tcPr>
            <w:tcW w:type="dxa" w:w="383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Field CWV data; content-QA breadth; CI/CD + ticketing + CMS; Phase-1 ML</w:t>
            </w:r>
          </w:p>
        </w:tc>
        <w:tc>
          <w:tcPr>
            <w:tcW w:type="dxa" w:w="383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G4, G5</w:t>
            </w:r>
          </w:p>
        </w:tc>
      </w:tr>
      <w:tr>
        <w:tc>
          <w:tcPr>
            <w:tcW w:type="dxa" w:w="17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14–18 months</w:t>
            </w:r>
          </w:p>
        </w:tc>
        <w:tc>
          <w:tcPr>
            <w:tcW w:type="dxa" w:w="383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Indian-language auditing; native-app track; lived-experience testing panel</w:t>
            </w:r>
          </w:p>
        </w:tc>
        <w:tc>
          <w:tcPr>
            <w:tcW w:type="dxa" w:w="383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G6</w:t>
            </w:r>
          </w:p>
        </w:tc>
      </w:tr>
    </w:tbl>
    <w:p>
      <w:pPr>
        <w:spacing w:after="80" w:before="0" w:line="274" w:lineRule="auto"/>
      </w:pPr>
    </w:p>
    <w:p>
      <w:pPr>
        <w:pStyle w:val="Heading1"/>
      </w:pPr>
      <w:r>
        <w:t>15.  Non-Functional Requirements</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14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ID</w:t>
            </w:r>
          </w:p>
        </w:tc>
        <w:tc>
          <w:tcPr>
            <w:tcW w:type="dxa" w:w="31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Attribute</w:t>
            </w:r>
          </w:p>
        </w:tc>
        <w:tc>
          <w:tcPr>
            <w:tcW w:type="dxa" w:w="48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Requirement</w:t>
            </w:r>
          </w:p>
        </w:tc>
      </w:tr>
      <w:tr>
        <w:tc>
          <w:tcPr>
            <w:tcW w:type="dxa" w:w="1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NFR-01</w:t>
            </w:r>
          </w:p>
        </w:tc>
        <w:tc>
          <w:tcPr>
            <w:tcW w:type="dxa" w:w="31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Performance</w:t>
            </w:r>
          </w:p>
        </w:tc>
        <w:tc>
          <w:tcPr>
            <w:tcW w:type="dxa" w:w="4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Standard audit (~50 pages) completes ≤15 min; dashboard queries ≤3 s.</w:t>
            </w:r>
          </w:p>
        </w:tc>
      </w:tr>
      <w:tr>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NFR-02</w:t>
            </w:r>
          </w:p>
        </w:tc>
        <w:tc>
          <w:tcPr>
            <w:tcW w:type="dxa" w:w="31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Scalability</w:t>
            </w:r>
          </w:p>
        </w:tc>
        <w:tc>
          <w:tcPr>
            <w:tcW w:type="dxa" w:w="4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Horizontal scale; hundreds of concurrent audits via a worker queue.</w:t>
            </w:r>
          </w:p>
        </w:tc>
      </w:tr>
      <w:tr>
        <w:tc>
          <w:tcPr>
            <w:tcW w:type="dxa" w:w="1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NFR-03</w:t>
            </w:r>
          </w:p>
        </w:tc>
        <w:tc>
          <w:tcPr>
            <w:tcW w:type="dxa" w:w="31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Availability</w:t>
            </w:r>
          </w:p>
        </w:tc>
        <w:tc>
          <w:tcPr>
            <w:tcW w:type="dxa" w:w="4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99.5% monthly portal uptime; graceful worker degradation.</w:t>
            </w:r>
          </w:p>
        </w:tc>
      </w:tr>
      <w:tr>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NFR-04</w:t>
            </w:r>
          </w:p>
        </w:tc>
        <w:tc>
          <w:tcPr>
            <w:tcW w:type="dxa" w:w="31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Security</w:t>
            </w:r>
          </w:p>
        </w:tc>
        <w:tc>
          <w:tcPr>
            <w:tcW w:type="dxa" w:w="4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CERT-In-aligned; encryption in transit &amp; at rest; regular VAPT.</w:t>
            </w:r>
          </w:p>
        </w:tc>
      </w:tr>
      <w:tr>
        <w:tc>
          <w:tcPr>
            <w:tcW w:type="dxa" w:w="1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NFR-05</w:t>
            </w:r>
          </w:p>
        </w:tc>
        <w:tc>
          <w:tcPr>
            <w:tcW w:type="dxa" w:w="31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Privacy &amp; residency</w:t>
            </w:r>
          </w:p>
        </w:tc>
        <w:tc>
          <w:tcPr>
            <w:tcW w:type="dxa" w:w="4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Data in India on approved cloud; no citizen PII captured in crawls; DPDP Act 2023.</w:t>
            </w:r>
          </w:p>
        </w:tc>
      </w:tr>
      <w:tr>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NFR-06</w:t>
            </w:r>
          </w:p>
        </w:tc>
        <w:tc>
          <w:tcPr>
            <w:tcW w:type="dxa" w:w="31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Self-accessibility</w:t>
            </w:r>
          </w:p>
        </w:tc>
        <w:tc>
          <w:tcPr>
            <w:tcW w:type="dxa" w:w="4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The platform's own UI meets WCAG 2.2 AA and GIGW 3.0.</w:t>
            </w:r>
          </w:p>
        </w:tc>
      </w:tr>
      <w:tr>
        <w:tc>
          <w:tcPr>
            <w:tcW w:type="dxa" w:w="1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NFR-07</w:t>
            </w:r>
          </w:p>
        </w:tc>
        <w:tc>
          <w:tcPr>
            <w:tcW w:type="dxa" w:w="31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Reproducibility</w:t>
            </w:r>
          </w:p>
        </w:tc>
        <w:tc>
          <w:tcPr>
            <w:tcW w:type="dxa" w:w="4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Every score reproducible and traceable to rule version, inputs and evidence.</w:t>
            </w:r>
          </w:p>
        </w:tc>
      </w:tr>
      <w:tr>
        <w:tc>
          <w:tcPr>
            <w:tcW w:type="dxa" w:w="1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NFR-08</w:t>
            </w:r>
          </w:p>
        </w:tc>
        <w:tc>
          <w:tcPr>
            <w:tcW w:type="dxa" w:w="31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Interoperability</w:t>
            </w:r>
          </w:p>
        </w:tc>
        <w:tc>
          <w:tcPr>
            <w:tcW w:type="dxa" w:w="48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Open REST/OpenAPI; JSON/CSV/PDF exports; government SSO.</w:t>
            </w:r>
          </w:p>
        </w:tc>
      </w:tr>
      <w:tr>
        <w:tc>
          <w:tcPr>
            <w:tcW w:type="dxa" w:w="1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NFR-09</w:t>
            </w:r>
          </w:p>
        </w:tc>
        <w:tc>
          <w:tcPr>
            <w:tcW w:type="dxa" w:w="31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Localisation</w:t>
            </w:r>
          </w:p>
        </w:tc>
        <w:tc>
          <w:tcPr>
            <w:tcW w:type="dxa" w:w="48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Bilingual (Hindi/English) at launch; architecture ready for more languages.</w:t>
            </w:r>
          </w:p>
        </w:tc>
      </w:tr>
    </w:tbl>
    <w:p>
      <w:pPr>
        <w:spacing w:after="80" w:before="0" w:line="274" w:lineRule="auto"/>
      </w:pPr>
    </w:p>
    <w:p>
      <w:pPr>
        <w:pStyle w:val="Heading1"/>
      </w:pPr>
      <w:r>
        <w:t>16.  KPIs, Roadmap &amp; Risks</w:t>
      </w:r>
    </w:p>
    <w:p>
      <w:pPr>
        <w:pStyle w:val="Heading2"/>
      </w:pPr>
      <w:r>
        <w:t>16.1  Success metrics (Year 1)</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38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KPI</w:t>
            </w:r>
          </w:p>
        </w:tc>
        <w:tc>
          <w:tcPr>
            <w:tcW w:type="dxa" w:w="31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Definition</w:t>
            </w:r>
          </w:p>
        </w:tc>
        <w:tc>
          <w:tcPr>
            <w:tcW w:type="dxa" w:w="24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Target</w:t>
            </w:r>
          </w:p>
        </w:tc>
      </w:tr>
      <w:tr>
        <w:tc>
          <w:tcPr>
            <w:tcW w:type="dxa" w:w="38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Domains onboarded</w:t>
            </w:r>
          </w:p>
        </w:tc>
        <w:tc>
          <w:tcPr>
            <w:tcW w:type="dxa" w:w="31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Verified .gov.in/.nic.in domains</w:t>
            </w:r>
          </w:p>
        </w:tc>
        <w:tc>
          <w:tcPr>
            <w:tcW w:type="dxa" w:w="2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2,000+</w:t>
            </w:r>
          </w:p>
        </w:tc>
      </w:tr>
      <w:tr>
        <w:tc>
          <w:tcPr>
            <w:tcW w:type="dxa" w:w="38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Audits completed</w:t>
            </w:r>
          </w:p>
        </w:tc>
        <w:tc>
          <w:tcPr>
            <w:tcW w:type="dxa" w:w="31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Total automated audits</w:t>
            </w:r>
          </w:p>
        </w:tc>
        <w:tc>
          <w:tcPr>
            <w:tcW w:type="dxa" w:w="2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10,000+</w:t>
            </w:r>
          </w:p>
        </w:tc>
      </w:tr>
      <w:tr>
        <w:tc>
          <w:tcPr>
            <w:tcW w:type="dxa" w:w="38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Median score improvement</w:t>
            </w:r>
          </w:p>
        </w:tc>
        <w:tc>
          <w:tcPr>
            <w:tcW w:type="dxa" w:w="31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Δ for re-audited domains</w:t>
            </w:r>
          </w:p>
        </w:tc>
        <w:tc>
          <w:tcPr>
            <w:tcW w:type="dxa" w:w="2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+20 points</w:t>
            </w:r>
          </w:p>
        </w:tc>
      </w:tr>
      <w:tr>
        <w:tc>
          <w:tcPr>
            <w:tcW w:type="dxa" w:w="38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Time-to-audit</w:t>
            </w:r>
          </w:p>
        </w:tc>
        <w:tc>
          <w:tcPr>
            <w:tcW w:type="dxa" w:w="31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Request → report (standard site)</w:t>
            </w:r>
          </w:p>
        </w:tc>
        <w:tc>
          <w:tcPr>
            <w:tcW w:type="dxa" w:w="24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≤15 min</w:t>
            </w:r>
          </w:p>
        </w:tc>
      </w:tr>
      <w:tr>
        <w:tc>
          <w:tcPr>
            <w:tcW w:type="dxa" w:w="38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National coverage</w:t>
            </w:r>
          </w:p>
        </w:tc>
        <w:tc>
          <w:tcPr>
            <w:tcW w:type="dxa" w:w="31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 known domains audited once</w:t>
            </w:r>
          </w:p>
        </w:tc>
        <w:tc>
          <w:tcPr>
            <w:tcW w:type="dxa" w:w="24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≥60%</w:t>
            </w:r>
          </w:p>
        </w:tc>
      </w:tr>
    </w:tbl>
    <w:p>
      <w:pPr>
        <w:spacing w:after="80" w:before="0" w:line="274" w:lineRule="auto"/>
      </w:pPr>
    </w:p>
    <w:p>
      <w:pPr>
        <w:pStyle w:val="Heading2"/>
      </w:pPr>
      <w:r>
        <w:t>16.2  Implementation roadmap</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16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Phase</w:t>
            </w:r>
          </w:p>
        </w:tc>
        <w:tc>
          <w:tcPr>
            <w:tcW w:type="dxa" w:w="32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Scope</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Outcome</w:t>
            </w:r>
          </w:p>
        </w:tc>
      </w:tr>
      <w:tr>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Months 0–2</w:t>
            </w:r>
          </w:p>
        </w:tc>
        <w:tc>
          <w:tcPr>
            <w:tcW w:type="dxa" w:w="3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Discovery, design, architecture, security</w:t>
            </w:r>
          </w:p>
        </w:tc>
        <w:tc>
          <w:tcPr>
            <w:tcW w:type="dxa" w:w="4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Approved baseline</w:t>
            </w:r>
          </w:p>
        </w:tc>
      </w:tr>
      <w:tr>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Months 2–6</w:t>
            </w:r>
          </w:p>
        </w:tc>
        <w:tc>
          <w:tcPr>
            <w:tcW w:type="dxa" w:w="3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MVP: onboarding, async jobs, WCAG+CWV, scoring, PDF report; Phase-1 ML sprint 1</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Pilot 5–10 domains</w:t>
            </w:r>
          </w:p>
        </w:tc>
      </w:tr>
      <w:tr>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Months 6–10</w:t>
            </w:r>
          </w:p>
        </w:tc>
        <w:tc>
          <w:tcPr>
            <w:tcW w:type="dxa" w:w="3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Full GIGW/UX4G rules, manual review, PDF a11y, continuous monitoring; ML sprint 2</w:t>
            </w:r>
          </w:p>
        </w:tc>
        <w:tc>
          <w:tcPr>
            <w:tcW w:type="dxa" w:w="4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Full audit capability</w:t>
            </w:r>
          </w:p>
        </w:tc>
      </w:tr>
      <w:tr>
        <w:tc>
          <w:tcPr>
            <w:tcW w:type="dxa" w:w="1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Months 10–14</w:t>
            </w:r>
          </w:p>
        </w:tc>
        <w:tc>
          <w:tcPr>
            <w:tcW w:type="dxa" w:w="3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National dashboard, benchmarking, APIs, field data, integrations; ML sprint 3</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National rollout</w:t>
            </w:r>
          </w:p>
        </w:tc>
      </w:tr>
      <w:tr>
        <w:tc>
          <w:tcPr>
            <w:tcW w:type="dxa" w:w="1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Months 14–18+</w:t>
            </w:r>
          </w:p>
        </w:tc>
        <w:tc>
          <w:tcPr>
            <w:tcW w:type="dxa" w:w="3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Multilingual, native-app, lived-experience testing, STQC hand-off</w:t>
            </w:r>
          </w:p>
        </w:tc>
        <w:tc>
          <w:tcPr>
            <w:tcW w:type="dxa" w:w="4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Continuous improvement</w:t>
            </w:r>
          </w:p>
        </w:tc>
      </w:tr>
    </w:tbl>
    <w:p>
      <w:pPr>
        <w:spacing w:after="80" w:before="0" w:line="274" w:lineRule="auto"/>
      </w:pPr>
    </w:p>
    <w:p>
      <w:pPr>
        <w:pStyle w:val="Heading2"/>
      </w:pPr>
      <w:r>
        <w:t>16.3  Key risks &amp; mitigation</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33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Risk</w:t>
            </w:r>
          </w:p>
        </w:tc>
        <w:tc>
          <w:tcPr>
            <w:tcW w:type="dxa" w:w="15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Rating</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Mitigation</w:t>
            </w:r>
          </w:p>
        </w:tc>
      </w:tr>
      <w:tr>
        <w:tc>
          <w:tcPr>
            <w:tcW w:type="dxa" w:w="3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Automated checks miss context issues</w:t>
            </w:r>
          </w:p>
        </w:tc>
        <w:tc>
          <w:tcPr>
            <w:tcW w:type="dxa" w:w="1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High</w:t>
            </w:r>
          </w:p>
        </w:tc>
        <w:tc>
          <w:tcPr>
            <w:tcW w:type="dxa" w:w="4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Hybrid + guided manual review; label automated vs verified.</w:t>
            </w:r>
          </w:p>
        </w:tc>
      </w:tr>
      <w:tr>
        <w:tc>
          <w:tcPr>
            <w:tcW w:type="dxa" w:w="3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False positives erode trust</w:t>
            </w:r>
          </w:p>
        </w:tc>
        <w:tc>
          <w:tcPr>
            <w:tcW w:type="dxa" w:w="1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Medium</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Expert-tuned rules; assessor override; evidence per finding.</w:t>
            </w:r>
          </w:p>
        </w:tc>
      </w:tr>
      <w:tr>
        <w:tc>
          <w:tcPr>
            <w:tcW w:type="dxa" w:w="3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Crawling sensitive/auth pages</w:t>
            </w:r>
          </w:p>
        </w:tc>
        <w:tc>
          <w:tcPr>
            <w:tcW w:type="dxa" w:w="1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High</w:t>
            </w:r>
          </w:p>
        </w:tc>
        <w:tc>
          <w:tcPr>
            <w:tcW w:type="dxa" w:w="4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Verify ownership; respect robots; no PII; public pages only.</w:t>
            </w:r>
          </w:p>
        </w:tc>
      </w:tr>
      <w:tr>
        <w:tc>
          <w:tcPr>
            <w:tcW w:type="dxa" w:w="3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Security incident</w:t>
            </w:r>
          </w:p>
        </w:tc>
        <w:tc>
          <w:tcPr>
            <w:tcW w:type="dxa" w:w="15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High</w:t>
            </w:r>
          </w:p>
        </w:tc>
        <w:tc>
          <w:tcPr>
            <w:tcW w:type="dxa" w:w="4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CERT-In controls, VAPT, monitoring, least privilege.</w:t>
            </w:r>
          </w:p>
        </w:tc>
      </w:tr>
      <w:tr>
        <w:tc>
          <w:tcPr>
            <w:tcW w:type="dxa" w:w="3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Standards evolve</w:t>
            </w:r>
          </w:p>
        </w:tc>
        <w:tc>
          <w:tcPr>
            <w:tcW w:type="dxa" w:w="15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Medium</w:t>
            </w:r>
          </w:p>
        </w:tc>
        <w:tc>
          <w:tcPr>
            <w:tcW w:type="dxa" w:w="4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Versioned rules engine; governance to absorb changes.</w:t>
            </w:r>
          </w:p>
        </w:tc>
      </w:tr>
    </w:tbl>
    <w:p>
      <w:pPr>
        <w:spacing w:after="80" w:before="0" w:line="274" w:lineRule="auto"/>
      </w:pPr>
    </w:p>
    <w:p>
      <w:pPr>
        <w:pStyle w:val="Heading1"/>
      </w:pPr>
      <w:r>
        <w:t>17.  Ranking, Benchmarking &amp; Publishing</w:t>
      </w:r>
    </w:p>
    <w:p>
      <w:pPr>
        <w:spacing w:after="120" w:before="0" w:line="274" w:lineRule="auto"/>
      </w:pPr>
      <w:r>
        <w:rPr>
          <w:b w:val="0"/>
          <w:i w:val="0"/>
          <w:sz w:val="21"/>
        </w:rPr>
        <w:t>Bulk scanning produces a comparable GovUX Score for every audited domain, which powers ranking and benchmarking. Two principles keep rankings fair and defensible, and publication is treated as a governance decision.</w:t>
      </w:r>
    </w:p>
    <w:p>
      <w:pPr>
        <w:pStyle w:val="Heading2"/>
      </w:pPr>
      <w:r>
        <w:t>17.1  Segmented, like-for-like ranking</w:t>
      </w:r>
    </w:p>
    <w:p>
      <w:pPr>
        <w:spacing w:after="120" w:before="0" w:line="274" w:lineRule="auto"/>
      </w:pPr>
      <w:r>
        <w:rPr>
          <w:b w:val="0"/>
          <w:i w:val="0"/>
          <w:sz w:val="21"/>
        </w:rPr>
        <w:t>Domains are not placed on one flat national list — a small information site and a large transactional portal are not comparable, and a flat ranking would be unfair and easy to dismiss. Rankings are segmented by service category, site size/complexity and organisation (ministry, department, state/UT), so each domain is measured against genuine peers. Per-segment league tables, top-performer podiums and needs-intervention lists roll up to a national view.</w:t>
      </w:r>
    </w:p>
    <w:p>
      <w:pPr>
        <w:pStyle w:val="Heading2"/>
      </w:pPr>
      <w:r>
        <w:t>17.2  Internal view vs public publication</w:t>
      </w:r>
    </w:p>
    <w:tbl>
      <w:tblPr>
        <w:tblW w:type="auto" w:w="0"/>
        <w:jc w:val="center"/>
        <w:tblLook w:firstColumn="1" w:firstRow="1" w:lastColumn="0" w:lastRow="0" w:noHBand="0" w:noVBand="1" w:val="04A0"/>
        <w:tblLayout w:type="fixed"/>
        <w:tblW w:w="9360" w:type="dxa"/>
      </w:tblPr>
      <w:tblGrid>
        <w:gridCol w:w="4680"/>
        <w:gridCol w:w="4680"/>
      </w:tblGrid>
      <w:tr>
        <w:tc>
          <w:tcPr>
            <w:tcW w:type="dxa" w:w="27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Mode</w:t>
            </w:r>
          </w:p>
        </w:tc>
        <w:tc>
          <w:tcPr>
            <w:tcW w:type="dxa" w:w="66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Description</w:t>
            </w:r>
          </w:p>
        </w:tc>
      </w:tr>
      <w:tr>
        <w:tc>
          <w:tcPr>
            <w:tcW w:type="dxa" w:w="27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color w:val="1A1A1A"/>
                <w:sz w:val="18"/>
              </w:rPr>
              <w:t>Internal (default)</w:t>
            </w:r>
          </w:p>
        </w:tc>
        <w:tc>
          <w:tcPr>
            <w:tcW w:type="dxa" w:w="66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League tables and rankings are visible to MeitY/NIC stewards and the owning organisation — to target support and track progress.</w:t>
            </w:r>
          </w:p>
        </w:tc>
      </w:tr>
      <w:tr>
        <w:tc>
          <w:tcPr>
            <w:tcW w:type="dxa" w:w="27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color w:val="1A1A1A"/>
                <w:sz w:val="18"/>
              </w:rPr>
              <w:t>Public (opt-in, governance-gated)</w:t>
            </w:r>
          </w:p>
        </w:tc>
        <w:tc>
          <w:tcPr>
            <w:tcW w:type="dxa" w:w="66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Optional public transparency, with precedent in US GSA open data and EU three-yearly reports. A deliberate MeitY policy decision — not a technical switch.</w:t>
            </w:r>
          </w:p>
        </w:tc>
      </w:tr>
    </w:tbl>
    <w:p>
      <w:pPr>
        <w:spacing w:after="80" w:before="0" w:line="274" w:lineRule="auto"/>
      </w:pPr>
    </w:p>
    <w:p>
      <w:pPr>
        <w:pStyle w:val="Heading2"/>
      </w:pPr>
      <w:r>
        <w:t>17.3  Anti-gaming safeguards</w:t>
      </w:r>
    </w:p>
    <w:p>
      <w:pPr>
        <w:pStyle w:val="ListBullet"/>
        <w:spacing w:after="40" w:line="264" w:lineRule="auto"/>
      </w:pPr>
      <w:r>
        <w:rPr>
          <w:sz w:val="21"/>
        </w:rPr>
        <w:t>Evidence-based checks and guard-rails (a critical accessibility/security failure caps the band) prevent cosmetic score inflation.</w:t>
      </w:r>
    </w:p>
    <w:p>
      <w:pPr>
        <w:pStyle w:val="ListBullet"/>
        <w:spacing w:after="40" w:line="264" w:lineRule="auto"/>
      </w:pPr>
      <w:r>
        <w:rPr>
          <w:sz w:val="21"/>
        </w:rPr>
        <w:t>A versioned rules engine and reproducible scores make rankings auditable and comparable over time.</w:t>
      </w:r>
    </w:p>
    <w:p>
      <w:pPr>
        <w:pStyle w:val="ListBullet"/>
        <w:spacing w:after="40" w:line="264" w:lineRule="auto"/>
      </w:pPr>
      <w:r>
        <w:rPr>
          <w:sz w:val="21"/>
        </w:rPr>
        <w:t>Periodic expert (human) review of a sample validates automated rankings — an ‘audit of the auditor’.</w:t>
      </w:r>
    </w:p>
    <w:p>
      <w:pPr>
        <w:pStyle w:val="ListBullet"/>
        <w:spacing w:after="40" w:line="264" w:lineRule="auto"/>
      </w:pPr>
      <w:r>
        <w:rPr>
          <w:sz w:val="21"/>
        </w:rPr>
        <w:t>Segmentation prevents unfair comparison; any public ranking is published with its methodology and date so results cannot be cherry-picked.</w:t>
      </w:r>
    </w:p>
    <w:p>
      <w:pPr>
        <w:spacing w:before="80" w:after="160" w:line="274" w:lineRule="auto"/>
        <w:ind w:left="120"/>
        <w:shd w:val="clear" w:color="auto" w:fill="EEF5FB"/>
        <w:pBdr>
          <w:left w:val="single" w:sz="18" w:space="6" w:color="1F6FB2"/>
          <w:top w:val="single" w:sz="2" w:space="6" w:color="D6E6F2"/>
          <w:bottom w:val="single" w:sz="2" w:space="6" w:color="D6E6F2"/>
          <w:right w:val="single" w:sz="2" w:space="6" w:color="D6E6F2"/>
        </w:pBdr>
      </w:pPr>
      <w:r>
        <w:rPr>
          <w:b/>
          <w:color w:val="0B3D6B"/>
          <w:sz w:val="21"/>
        </w:rPr>
        <w:t xml:space="preserve">Governance:  </w:t>
      </w:r>
      <w:r>
        <w:rPr>
          <w:sz w:val="21"/>
        </w:rPr>
        <w:t>Public publication of rankings is a MeitY policy decision. The platform supports it fully but defaults to the internal steward view — with segmentation and anti-gaming safeguards applied whether or not rankings are published.</w:t>
      </w:r>
    </w:p>
    <w:p>
      <w:pPr>
        <w:pStyle w:val="Heading1"/>
      </w:pPr>
      <w:r>
        <w:t>18.  Security, Governance &amp; Compliance</w:t>
      </w:r>
    </w:p>
    <w:p>
      <w:pPr>
        <w:pStyle w:val="Heading2"/>
      </w:pPr>
      <w:r>
        <w:t>18.1  Authentication &amp;amp; session security</w:t>
      </w:r>
    </w:p>
    <w:p>
      <w:pPr>
        <w:spacing w:after="120" w:before="0" w:line="274" w:lineRule="auto"/>
      </w:pPr>
      <w:r>
        <w:rPr>
          <w:b w:val="0"/>
          <w:i w:val="0"/>
          <w:sz w:val="21"/>
        </w:rPr>
        <w:t>Access is restricted to authorised government users: only email addresses ending in .gov.in or .nic.in may register or sign in. Authentication is passwordless — the user requests a one-time password (OTP) sent to their government email; the OTP is 6 digits, valid for a few minutes, single-use, rate-limited, and stored only as a hash. Parichay / JanParichay SSO remains an alternative federated path.</w:t>
      </w:r>
    </w:p>
    <w:p>
      <w:pPr>
        <w:spacing w:after="120" w:before="0" w:line="274" w:lineRule="auto"/>
      </w:pPr>
      <w:r>
        <w:rPr>
          <w:b w:val="0"/>
          <w:i w:val="0"/>
          <w:sz w:val="21"/>
        </w:rPr>
        <w:t>Sessions persist securely per device — the Gmail model — so a trusted device stays signed in without re-entering an OTP each time, while a stolen cookie is useless elsewhere:</w:t>
      </w:r>
    </w:p>
    <w:tbl>
      <w:tblPr>
        <w:tblW w:type="auto" w:w="0"/>
        <w:jc w:val="center"/>
        <w:tblLook w:firstColumn="1" w:firstRow="1" w:lastColumn="0" w:lastRow="0" w:noHBand="0" w:noVBand="1" w:val="04A0"/>
        <w:tblLayout w:type="fixed"/>
        <w:tblW w:w="9360" w:type="dxa"/>
      </w:tblPr>
      <w:tblGrid>
        <w:gridCol w:w="2340"/>
        <w:gridCol w:w="2340"/>
        <w:gridCol w:w="2340"/>
        <w:gridCol w:w="2340"/>
      </w:tblGrid>
      <w:tr>
        <w:tc>
          <w:tcPr>
            <w:tcW w:type="dxa" w:w="23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Credential</w:t>
            </w:r>
          </w:p>
        </w:tc>
        <w:tc>
          <w:tcPr>
            <w:tcW w:type="dxa" w:w="19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Lifetime</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Storage</w:t>
            </w:r>
          </w:p>
        </w:tc>
        <w:tc>
          <w:tcPr>
            <w:tcW w:type="dxa" w:w="25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Binding</w:t>
            </w:r>
          </w:p>
        </w:tc>
      </w:tr>
      <w:tr>
        <w:tc>
          <w:tcPr>
            <w:tcW w:type="dxa" w:w="2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Access token (JWT)</w:t>
            </w:r>
          </w:p>
        </w:tc>
        <w:tc>
          <w:tcPr>
            <w:tcW w:type="dxa" w:w="19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~15 min</w:t>
            </w:r>
          </w:p>
        </w:tc>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In memory</w:t>
            </w:r>
          </w:p>
        </w:tc>
        <w:tc>
          <w:tcPr>
            <w:tcW w:type="dxa" w:w="2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Signed; short TTL</w:t>
            </w:r>
          </w:p>
        </w:tc>
      </w:tr>
      <w:tr>
        <w:tc>
          <w:tcPr>
            <w:tcW w:type="dxa" w:w="2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Refresh token</w:t>
            </w:r>
          </w:p>
        </w:tc>
        <w:tc>
          <w:tcPr>
            <w:tcW w:type="dxa" w:w="19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30–90 days, rotating</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HttpOnly · Secure · SameSite cookie</w:t>
            </w:r>
          </w:p>
        </w:tc>
        <w:tc>
          <w:tcPr>
            <w:tcW w:type="dxa" w:w="2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Bound to the device key</w:t>
            </w:r>
          </w:p>
        </w:tc>
      </w:tr>
      <w:tr>
        <w:tc>
          <w:tcPr>
            <w:tcW w:type="dxa" w:w="23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Device key</w:t>
            </w:r>
          </w:p>
        </w:tc>
        <w:tc>
          <w:tcPr>
            <w:tcW w:type="dxa" w:w="19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Persistent per device</w:t>
            </w:r>
          </w:p>
        </w:tc>
        <w:tc>
          <w:tcPr>
            <w:tcW w:type="dxa" w:w="26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Non-extractable in the browser</w:t>
            </w:r>
          </w:p>
        </w:tc>
        <w:tc>
          <w:tcPr>
            <w:tcW w:type="dxa" w:w="25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WebCrypto / WebAuthn / DBSC</w:t>
            </w:r>
          </w:p>
        </w:tc>
      </w:tr>
      <w:tr>
        <w:tc>
          <w:tcPr>
            <w:tcW w:type="dxa" w:w="23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OTP</w:t>
            </w:r>
          </w:p>
        </w:tc>
        <w:tc>
          <w:tcPr>
            <w:tcW w:type="dxa" w:w="19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~5 min, single-use</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Server (hashed)</w:t>
            </w:r>
          </w:p>
        </w:tc>
        <w:tc>
          <w:tcPr>
            <w:tcW w:type="dxa" w:w="25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Email + rate-limited</w:t>
            </w:r>
          </w:p>
        </w:tc>
      </w:tr>
    </w:tbl>
    <w:p>
      <w:pPr>
        <w:spacing w:after="80" w:before="0" w:line="274" w:lineRule="auto"/>
      </w:pPr>
    </w:p>
    <w:p>
      <w:pPr>
        <w:pStyle w:val="ListBullet"/>
        <w:spacing w:after="40" w:line="264" w:lineRule="auto"/>
      </w:pPr>
      <w:r>
        <w:rPr>
          <w:sz w:val="21"/>
        </w:rPr>
        <w:t>Device/browser binding: on first sign-in the browser generates a non-extractable key pair (Device Bound Session Credentials / WebAuthn-style); the refresh token is cryptographically bound to it, so refresh requires proof-of-possession of the device.</w:t>
      </w:r>
    </w:p>
    <w:p>
      <w:pPr>
        <w:pStyle w:val="ListBullet"/>
        <w:spacing w:after="40" w:line="264" w:lineRule="auto"/>
      </w:pPr>
      <w:r>
        <w:rPr>
          <w:sz w:val="21"/>
        </w:rPr>
        <w:t>Rotating refresh tokens with reuse detection — a replayed token revokes the whole session family.</w:t>
      </w:r>
    </w:p>
    <w:p>
      <w:pPr>
        <w:pStyle w:val="ListBullet"/>
        <w:spacing w:after="40" w:line="264" w:lineRule="auto"/>
      </w:pPr>
      <w:r>
        <w:rPr>
          <w:sz w:val="21"/>
        </w:rPr>
        <w:t>Trusted-device management: users see active devices/sessions (browser, OS, location, last active) and can remotely sign out any of them; new-device or new-location sign-ins trigger an email alert.</w:t>
      </w:r>
    </w:p>
    <w:p>
      <w:pPr>
        <w:pStyle w:val="ListBullet"/>
        <w:spacing w:after="40" w:line="264" w:lineRule="auto"/>
      </w:pPr>
      <w:r>
        <w:rPr>
          <w:sz w:val="21"/>
        </w:rPr>
        <w:t>Step-up re-authentication (a fresh OTP) for sensitive actions — domain verification, role changes, publishing rankings — even within a valid session.</w:t>
      </w:r>
    </w:p>
    <w:p>
      <w:pPr>
        <w:pStyle w:val="ListBullet"/>
        <w:spacing w:after="40" w:line="264" w:lineRule="auto"/>
      </w:pPr>
      <w:r>
        <w:rPr>
          <w:sz w:val="21"/>
        </w:rPr>
        <w:t>Optional passkeys / WebAuthn for phishing-resistant strong auth; cookies are HttpOnly, Secure and SameSite; all auth events are audit-logged.</w:t>
      </w:r>
    </w:p>
    <w:p>
      <w:pPr>
        <w:pStyle w:val="Heading2"/>
      </w:pPr>
      <w:r>
        <w:t>18.2  Platform security, privacy &amp;amp; governance</w:t>
      </w:r>
    </w:p>
    <w:p>
      <w:pPr>
        <w:pStyle w:val="ListBullet"/>
        <w:spacing w:after="40" w:line="264" w:lineRule="auto"/>
      </w:pPr>
      <w:r>
        <w:rPr>
          <w:sz w:val="21"/>
        </w:rPr>
        <w:t>Conform to the GIGW 3.0 CERT-In cybersecurity chapter and CERT-In directions.</w:t>
      </w:r>
    </w:p>
    <w:p>
      <w:pPr>
        <w:pStyle w:val="ListBullet"/>
        <w:spacing w:after="40" w:line="264" w:lineRule="auto"/>
      </w:pPr>
      <w:r>
        <w:rPr>
          <w:sz w:val="21"/>
        </w:rPr>
        <w:t>Encryption in transit and at rest; secrets in Vault; least-privilege RBAC and admin MFA.</w:t>
      </w:r>
    </w:p>
    <w:p>
      <w:pPr>
        <w:pStyle w:val="ListBullet"/>
        <w:spacing w:after="40" w:line="264" w:lineRule="auto"/>
      </w:pPr>
      <w:r>
        <w:rPr>
          <w:sz w:val="21"/>
        </w:rPr>
        <w:t>Host on approved government cloud with India data residency; segregated environments; VAPT before go-live.</w:t>
      </w:r>
    </w:p>
    <w:p>
      <w:pPr>
        <w:pStyle w:val="ListBullet"/>
        <w:spacing w:after="40" w:line="264" w:lineRule="auto"/>
      </w:pPr>
      <w:r>
        <w:rPr>
          <w:sz w:val="21"/>
        </w:rPr>
        <w:t>Comply with the DPDP Act, 2023; minimise data; defined retention and deletion.</w:t>
      </w:r>
    </w:p>
    <w:p>
      <w:pPr>
        <w:pStyle w:val="ListBullet"/>
        <w:spacing w:after="40" w:line="264" w:lineRule="auto"/>
      </w:pPr>
      <w:r>
        <w:rPr>
          <w:sz w:val="21"/>
        </w:rPr>
        <w:t>Tamper-evident audit logs; documented incident response; versioned rules with a second-approver for weight changes.</w:t>
      </w:r>
    </w:p>
    <w:p>
      <w:pPr>
        <w:pStyle w:val="Heading1"/>
      </w:pPr>
      <w:r>
        <w:t>19.  Acceptance Criteria (Illustrative)</w:t>
      </w:r>
    </w:p>
    <w:p>
      <w:pPr>
        <w:pStyle w:val="ListBullet"/>
        <w:spacing w:after="40" w:line="264" w:lineRule="auto"/>
      </w:pPr>
      <w:r>
        <w:rPr>
          <w:sz w:val="21"/>
        </w:rPr>
        <w:t>An authorised user registers and verifies a .gov.in/.nic.in domain; other TLDs are blocked.</w:t>
      </w:r>
    </w:p>
    <w:p>
      <w:pPr>
        <w:pStyle w:val="ListBullet"/>
        <w:spacing w:after="40" w:line="264" w:lineRule="auto"/>
      </w:pPr>
      <w:r>
        <w:rPr>
          <w:sz w:val="21"/>
        </w:rPr>
        <w:t>POST /audits returns a task ID immediately; a standard audit completes ≤15 min and yields a GovUX Score with sub-scores.</w:t>
      </w:r>
    </w:p>
    <w:p>
      <w:pPr>
        <w:pStyle w:val="ListBullet"/>
        <w:spacing w:after="40" w:line="264" w:lineRule="auto"/>
      </w:pPr>
      <w:r>
        <w:rPr>
          <w:sz w:val="21"/>
        </w:rPr>
        <w:t>Every finding shows severity, exact guideline, plain-language reasoning and a fix.</w:t>
      </w:r>
    </w:p>
    <w:p>
      <w:pPr>
        <w:pStyle w:val="ListBullet"/>
        <w:spacing w:after="40" w:line="264" w:lineRule="auto"/>
      </w:pPr>
      <w:r>
        <w:rPr>
          <w:sz w:val="21"/>
        </w:rPr>
        <w:t>Re-audit reflects improvement; date-wise compare shows new vs resolved issues and page-wise coverage.</w:t>
      </w:r>
    </w:p>
    <w:p>
      <w:pPr>
        <w:pStyle w:val="ListBullet"/>
        <w:spacing w:after="40" w:line="264" w:lineRule="auto"/>
      </w:pPr>
      <w:r>
        <w:rPr>
          <w:sz w:val="21"/>
        </w:rPr>
        <w:t>The platform's own interface passes a WCAG 2.2 AA and GIGW 3.0 audit.</w:t>
      </w:r>
    </w:p>
    <w:p>
      <w:pPr>
        <w:pStyle w:val="ListBullet"/>
        <w:spacing w:after="40" w:line="264" w:lineRule="auto"/>
      </w:pPr>
      <w:r>
        <w:rPr>
          <w:sz w:val="21"/>
        </w:rPr>
        <w:t>The national dashboard rolls up scores by ministry, state and department with working drill-down.</w:t>
      </w:r>
    </w:p>
    <w:p>
      <w:pPr>
        <w:pStyle w:val="Heading1"/>
      </w:pPr>
      <w:r>
        <w:t>20.  Appendix — Glossary &amp; References</w:t>
      </w:r>
    </w:p>
    <w:p>
      <w:pPr>
        <w:pStyle w:val="Heading2"/>
      </w:pPr>
      <w:r>
        <w:t>Glossary</w:t>
      </w:r>
    </w:p>
    <w:tbl>
      <w:tblPr>
        <w:tblW w:type="auto" w:w="0"/>
        <w:jc w:val="center"/>
        <w:tblLook w:firstColumn="1" w:firstRow="1" w:lastColumn="0" w:lastRow="0" w:noHBand="0" w:noVBand="1" w:val="04A0"/>
        <w:tblLayout w:type="fixed"/>
        <w:tblW w:w="9360" w:type="dxa"/>
      </w:tblPr>
      <w:tblGrid>
        <w:gridCol w:w="4680"/>
        <w:gridCol w:w="4680"/>
      </w:tblGrid>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Term</w:t>
            </w:r>
          </w:p>
        </w:tc>
        <w:tc>
          <w:tcPr>
            <w:tcW w:type="dxa" w:w="7160"/>
            <w:vAlign w:val="center"/>
            <w:tcBorders>
              <w:top w:val="single" w:sz="4" w:space="0" w:color="C7D3DE"/>
              <w:left w:val="single" w:sz="4" w:space="0" w:color="C7D3DE"/>
              <w:bottom w:val="single" w:sz="4" w:space="0" w:color="C7D3DE"/>
              <w:right w:val="single" w:sz="4" w:space="0" w:color="C7D3DE"/>
            </w:tcBorders>
            <w:shd w:val="clear" w:color="auto" w:fill="0B3D6B"/>
            <w:tcMar>
              <w:top w:w="42" w:type="dxa"/>
              <w:bottom w:w="42" w:type="dxa"/>
              <w:left w:w="80" w:type="dxa"/>
              <w:right w:w="80" w:type="dxa"/>
            </w:tcMar>
          </w:tcPr>
          <w:p>
            <w:pPr>
              <w:spacing w:after="20" w:line="247" w:lineRule="auto"/>
            </w:pPr>
            <w:r/>
            <w:r>
              <w:rPr>
                <w:b/>
                <w:color w:val="FFFFFF"/>
                <w:sz w:val="18"/>
              </w:rPr>
              <w:t>Meaning</w:t>
            </w:r>
          </w:p>
        </w:tc>
      </w:tr>
      <w:tr>
        <w:tc>
          <w:tcPr>
            <w:tcW w:type="dxa" w:w="2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GIGW 3.0</w:t>
            </w:r>
          </w:p>
        </w:tc>
        <w:tc>
          <w:tcPr>
            <w:tcW w:type="dxa" w:w="71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Guidelines for Indian Government Websites and Apps, v3.0 (NIC/MeitY).</w:t>
            </w:r>
          </w:p>
        </w:tc>
      </w:tr>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UX4G</w:t>
            </w:r>
          </w:p>
        </w:tc>
        <w:tc>
          <w:tcPr>
            <w:tcW w:type="dxa" w:w="71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User Experience for Government Applications (MeitY/NeGD) — guidelines, design system, audit.</w:t>
            </w:r>
          </w:p>
        </w:tc>
      </w:tr>
      <w:tr>
        <w:tc>
          <w:tcPr>
            <w:tcW w:type="dxa" w:w="2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WCAG 2.2 AA</w:t>
            </w:r>
          </w:p>
        </w:tc>
        <w:tc>
          <w:tcPr>
            <w:tcW w:type="dxa" w:w="71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Web Content Accessibility Guidelines 2.2, Level AA.</w:t>
            </w:r>
          </w:p>
        </w:tc>
      </w:tr>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Core Web Vitals</w:t>
            </w:r>
          </w:p>
        </w:tc>
        <w:tc>
          <w:tcPr>
            <w:tcW w:type="dxa" w:w="71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Google user-centred performance metrics: LCP, INP, CLS.</w:t>
            </w:r>
          </w:p>
        </w:tc>
      </w:tr>
      <w:tr>
        <w:tc>
          <w:tcPr>
            <w:tcW w:type="dxa" w:w="2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GovUX Score</w:t>
            </w:r>
          </w:p>
        </w:tc>
        <w:tc>
          <w:tcPr>
            <w:tcW w:type="dxa" w:w="71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The platform's overall 0–100 usability &amp; compliance score.</w:t>
            </w:r>
          </w:p>
        </w:tc>
      </w:tr>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Guard-rail</w:t>
            </w:r>
          </w:p>
        </w:tc>
        <w:tc>
          <w:tcPr>
            <w:tcW w:type="dxa" w:w="71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Logic that caps the band on a critical accessibility/security failure.</w:t>
            </w:r>
          </w:p>
        </w:tc>
      </w:tr>
      <w:tr>
        <w:tc>
          <w:tcPr>
            <w:tcW w:type="dxa" w:w="220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Task ID</w:t>
            </w:r>
          </w:p>
        </w:tc>
        <w:tc>
          <w:tcPr>
            <w:tcW w:type="dxa" w:w="7160"/>
            <w:vAlign w:val="center"/>
            <w:tcBorders>
              <w:top w:val="single" w:sz="4" w:space="0" w:color="C7D3DE"/>
              <w:left w:val="single" w:sz="4" w:space="0" w:color="C7D3DE"/>
              <w:bottom w:val="single" w:sz="4" w:space="0" w:color="C7D3DE"/>
              <w:right w:val="single" w:sz="4" w:space="0" w:color="C7D3DE"/>
            </w:tcBorders>
            <w:tcMar>
              <w:top w:w="42" w:type="dxa"/>
              <w:bottom w:w="42" w:type="dxa"/>
              <w:left w:w="80" w:type="dxa"/>
              <w:right w:w="80" w:type="dxa"/>
            </w:tcMar>
          </w:tcPr>
          <w:p>
            <w:pPr>
              <w:spacing w:after="20" w:line="247" w:lineRule="auto"/>
            </w:pPr>
            <w:r/>
            <w:r>
              <w:rPr>
                <w:b w:val="0"/>
                <w:color w:val="1A1A1A"/>
                <w:sz w:val="18"/>
              </w:rPr>
              <w:t>The identifier returned on audit submission for status/polling (async model).</w:t>
            </w:r>
          </w:p>
        </w:tc>
      </w:tr>
      <w:tr>
        <w:tc>
          <w:tcPr>
            <w:tcW w:type="dxa" w:w="220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STQC / CERT-In</w:t>
            </w:r>
          </w:p>
        </w:tc>
        <w:tc>
          <w:tcPr>
            <w:tcW w:type="dxa" w:w="7160"/>
            <w:vAlign w:val="center"/>
            <w:tcBorders>
              <w:top w:val="single" w:sz="4" w:space="0" w:color="C7D3DE"/>
              <w:left w:val="single" w:sz="4" w:space="0" w:color="C7D3DE"/>
              <w:bottom w:val="single" w:sz="4" w:space="0" w:color="C7D3DE"/>
              <w:right w:val="single" w:sz="4" w:space="0" w:color="C7D3DE"/>
            </w:tcBorders>
            <w:shd w:val="clear" w:color="auto" w:fill="F4F8FB"/>
            <w:tcMar>
              <w:top w:w="42" w:type="dxa"/>
              <w:bottom w:w="42" w:type="dxa"/>
              <w:left w:w="80" w:type="dxa"/>
              <w:right w:w="80" w:type="dxa"/>
            </w:tcMar>
          </w:tcPr>
          <w:p>
            <w:pPr>
              <w:spacing w:after="20" w:line="247" w:lineRule="auto"/>
            </w:pPr>
            <w:r/>
            <w:r>
              <w:rPr>
                <w:b w:val="0"/>
                <w:color w:val="1A1A1A"/>
                <w:sz w:val="18"/>
              </w:rPr>
              <w:t>Certification authority / national cybersecurity agency.</w:t>
            </w:r>
          </w:p>
        </w:tc>
      </w:tr>
    </w:tbl>
    <w:p>
      <w:pPr>
        <w:spacing w:after="80" w:before="0" w:line="274" w:lineRule="auto"/>
      </w:pPr>
    </w:p>
    <w:p>
      <w:pPr>
        <w:pStyle w:val="Heading2"/>
      </w:pPr>
      <w:r>
        <w:t>References</w:t>
      </w:r>
    </w:p>
    <w:p>
      <w:pPr>
        <w:pStyle w:val="ListBullet"/>
        <w:spacing w:after="40" w:line="264" w:lineRule="auto"/>
      </w:pPr>
      <w:r>
        <w:rPr>
          <w:sz w:val="21"/>
        </w:rPr>
        <w:t>GIGW 3.0 — guidelines.india.gov.in</w:t>
      </w:r>
    </w:p>
    <w:p>
      <w:pPr>
        <w:pStyle w:val="ListBullet"/>
        <w:spacing w:after="40" w:line="264" w:lineRule="auto"/>
      </w:pPr>
      <w:r>
        <w:rPr>
          <w:sz w:val="21"/>
        </w:rPr>
        <w:t>UX4G — ux4g.gov.in / negd.gov.in (99+ audit parameters, design system)</w:t>
      </w:r>
    </w:p>
    <w:p>
      <w:pPr>
        <w:pStyle w:val="ListBullet"/>
        <w:spacing w:after="40" w:line="264" w:lineRule="auto"/>
      </w:pPr>
      <w:r>
        <w:rPr>
          <w:sz w:val="21"/>
        </w:rPr>
        <w:t>WCAG 2.2 (W3C); Google Core Web Vitals / Lighthouse</w:t>
      </w:r>
    </w:p>
    <w:p>
      <w:pPr>
        <w:pStyle w:val="ListBullet"/>
        <w:spacing w:after="40" w:line="264" w:lineRule="auto"/>
      </w:pPr>
      <w:r>
        <w:rPr>
          <w:sz w:val="21"/>
        </w:rPr>
        <w:t>US GSA Site Scanning (open.gsa.gov); EU Web Accessibility Directive monitoring</w:t>
      </w:r>
    </w:p>
    <w:p>
      <w:pPr>
        <w:pStyle w:val="ListBullet"/>
        <w:spacing w:after="40" w:line="264" w:lineRule="auto"/>
      </w:pPr>
      <w:r>
        <w:rPr>
          <w:sz w:val="21"/>
        </w:rPr>
        <w:t>Baymard Institute — UX-Ray; Bhashini / AI4Bharat IndicTrans2; Sarvam (IndiaAI Mission)</w:t>
      </w:r>
    </w:p>
    <w:p>
      <w:pPr>
        <w:pStyle w:val="ListBullet"/>
        <w:spacing w:after="40" w:line="264" w:lineRule="auto"/>
      </w:pPr>
      <w:r>
        <w:rPr>
          <w:sz w:val="21"/>
        </w:rPr>
        <w:t>DPDP Act 2023; CERT-In directions; RPwD Act 2016</w:t>
      </w:r>
    </w:p>
    <w:p>
      <w:pPr>
        <w:spacing w:after="120" w:before="200" w:line="274" w:lineRule="auto"/>
        <w:jc w:val="center"/>
        <w:pBdr>
          <w:top w:val="single" w:sz="4" w:space="6" w:color="C7D3DE"/>
        </w:pBdr>
      </w:pPr>
      <w:r>
        <w:rPr>
          <w:b w:val="0"/>
          <w:i/>
          <w:color w:val="5A6B7B"/>
          <w:sz w:val="20"/>
        </w:rPr>
        <w:t>— End of Consolidated BRD v1.1 —</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Bdr>
        <w:top w:val="single" w:sz="4" w:space="6" w:color="C7D3DE"/>
      </w:pBdr>
    </w:pPr>
    <w:r/>
    <w:r>
      <w:rPr>
        <w:color w:val="5A6B7B"/>
        <w:sz w:val="16"/>
      </w:rPr>
      <w:t>GovUX Audit Platform — BRD v1.1 (Consolidated)</w:t>
    </w:r>
    <w:r>
      <w:rPr>
        <w:color w:val="5A6B7B"/>
        <w:sz w:val="16"/>
      </w:rPr>
      <w:tab/>
      <w:t>Official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Bdr>
        <w:top w:val="single" w:sz="4" w:space="6" w:color="C7D3DE"/>
      </w:pBdr>
    </w:pPr>
    <w:r/>
    <w:r>
      <w:rPr>
        <w:color w:val="5A6B7B"/>
        <w:sz w:val="16"/>
      </w:rPr>
      <w:t>Official — v1.1</w:t>
    </w:r>
    <w:r>
      <w:rPr>
        <w:color w:val="5A6B7B"/>
        <w:sz w:val="16"/>
      </w:rPr>
      <w:tab/>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Bdr>
        <w:bottom w:val="single" w:sz="4" w:space="6" w:color="C7D3DE"/>
      </w:pBdr>
    </w:pPr>
    <w:r/>
    <w:r>
      <w:rPr>
        <w:b/>
        <w:color w:val="0B3D6B"/>
        <w:sz w:val="16"/>
      </w:rPr>
      <w:t>GovUX Audit Platform</w:t>
    </w:r>
    <w:r>
      <w:rPr>
        <w:color w:val="5A6B7B"/>
        <w:sz w:val="16"/>
      </w:rPr>
      <w:tab/>
      <w:t>Consolidated BRD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Bdr>
        <w:bottom w:val="single" w:sz="6" w:space="4" w:color="1F6FB2"/>
      </w:pBdr>
    </w:pPr>
    <w:rPr>
      <w:rFonts w:asciiTheme="majorHAnsi" w:eastAsiaTheme="majorEastAsia" w:hAnsiTheme="majorHAnsi" w:cstheme="majorBidi" w:ascii="Calibri" w:hAnsi="Calibri"/>
      <w:b/>
      <w:bCs/>
      <w:color w:val="0B3D6B"/>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F6FB2"/>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E4A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