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pPr>
    </w:p>
    <w:p>
      <w:pPr>
        <w:spacing w:after="120" w:before="0" w:line="276" w:lineRule="auto"/>
      </w:pPr>
    </w:p>
    <w:p>
      <w:pPr>
        <w:spacing w:after="40" w:before="0" w:line="276" w:lineRule="auto"/>
        <w:jc w:val="center"/>
      </w:pPr>
      <w:r>
        <w:rPr>
          <w:b/>
          <w:i w:val="0"/>
          <w:color w:val="5A6B7B"/>
          <w:sz w:val="26"/>
        </w:rPr>
        <w:t>GOVERNMENT OF INDIA</w:t>
      </w:r>
    </w:p>
    <w:p>
      <w:pPr>
        <w:spacing w:after="200" w:before="0" w:line="276" w:lineRule="auto"/>
        <w:jc w:val="center"/>
      </w:pPr>
      <w:r>
        <w:rPr>
          <w:b w:val="0"/>
          <w:i w:val="0"/>
          <w:color w:val="5A6B7B"/>
          <w:sz w:val="19"/>
        </w:rPr>
        <w:t>Ministry of Electronics &amp; Information Technology  •  National Informatics Centre</w:t>
      </w:r>
    </w:p>
    <w:p>
      <w:pPr>
        <w:spacing w:after="40" w:before="80" w:line="276" w:lineRule="auto"/>
        <w:jc w:val="center"/>
        <w:pBdr>
          <w:top w:val="single" w:sz="12" w:space="10" w:color="C8641E"/>
        </w:pBdr>
      </w:pPr>
    </w:p>
    <w:p>
      <w:pPr>
        <w:spacing w:after="120" w:before="0" w:line="276" w:lineRule="auto"/>
      </w:pPr>
    </w:p>
    <w:p>
      <w:pPr>
        <w:spacing w:after="80" w:before="0" w:line="276" w:lineRule="auto"/>
        <w:jc w:val="center"/>
      </w:pPr>
      <w:r>
        <w:rPr>
          <w:b/>
          <w:i w:val="0"/>
          <w:color w:val="0B3D6B"/>
          <w:sz w:val="60"/>
        </w:rPr>
        <w:t>GovUX Audit Platform</w:t>
      </w:r>
    </w:p>
    <w:p>
      <w:pPr>
        <w:spacing w:after="40" w:before="0" w:line="276" w:lineRule="auto"/>
        <w:jc w:val="center"/>
      </w:pPr>
      <w:r>
        <w:rPr>
          <w:b w:val="0"/>
          <w:i w:val="0"/>
          <w:color w:val="1F6FB2"/>
          <w:sz w:val="30"/>
        </w:rPr>
        <w:t>Competitive Benchmark &amp; Gap Analysis</w:t>
      </w:r>
    </w:p>
    <w:p>
      <w:pPr>
        <w:spacing w:after="200" w:before="0" w:line="276" w:lineRule="auto"/>
        <w:jc w:val="center"/>
      </w:pPr>
      <w:r>
        <w:rPr>
          <w:b w:val="0"/>
          <w:i/>
          <w:color w:val="5A6B7B"/>
          <w:sz w:val="23"/>
        </w:rPr>
        <w:t>“Is it world-class?” — an honest assessment against global comparators</w:t>
      </w:r>
    </w:p>
    <w:p>
      <w:pPr>
        <w:spacing w:after="40" w:before="80" w:line="276" w:lineRule="auto"/>
        <w:jc w:val="center"/>
        <w:pBdr>
          <w:bottom w:val="single" w:sz="12" w:space="10" w:color="138808"/>
        </w:pBdr>
      </w:pPr>
    </w:p>
    <w:p>
      <w:pPr>
        <w:spacing w:after="120" w:before="0" w:line="276" w:lineRule="auto"/>
      </w:pPr>
    </w:p>
    <w:p>
      <w:pPr>
        <w:spacing w:after="120" w:before="0" w:line="276" w:lineRule="auto"/>
      </w:pPr>
    </w:p>
    <w:p>
      <w:pPr>
        <w:spacing w:after="120" w:before="0" w:line="276" w:lineRule="auto"/>
      </w:pPr>
    </w:p>
    <w:p>
      <w:pPr>
        <w:spacing w:after="120" w:before="0" w:line="276" w:lineRule="auto"/>
      </w:pPr>
    </w:p>
    <w:p>
      <w:pPr>
        <w:spacing w:after="80" w:before="0" w:line="276" w:lineRule="auto"/>
        <w:jc w:val="center"/>
      </w:pPr>
      <w:r>
        <w:rPr>
          <w:b w:val="0"/>
          <w:i/>
          <w:color w:val="5A6B7B"/>
          <w:sz w:val="19"/>
        </w:rPr>
        <w:t>Benchmarked against: Siteimprove · Silktide · Acquia Optimize (ex-Monsido) · US GSA Site Scanning · EU Web Accessibility Directive monitoring · Baymard UX-Ray · Google Lighthouse</w:t>
      </w:r>
    </w:p>
    <w:p>
      <w:pPr>
        <w:spacing w:after="40" w:before="0" w:line="276" w:lineRule="auto"/>
        <w:jc w:val="center"/>
      </w:pPr>
      <w:r>
        <w:rPr>
          <w:b w:val="0"/>
          <w:i w:val="0"/>
          <w:color w:val="5A6B7B"/>
          <w:sz w:val="20"/>
        </w:rPr>
        <w:t>Version 1.0  ·  6 July 2026  ·  Classification: Official</w:t>
      </w:r>
    </w:p>
    <w:p>
      <w:pPr>
        <w:sectPr>
          <w:pgSz w:w="12240" w:h="15840"/>
          <w:pgMar w:top="1440" w:right="1440" w:bottom="1440" w:left="1440" w:header="720" w:footer="720" w:gutter="0"/>
          <w:cols w:space="720"/>
          <w:docGrid w:linePitch="360"/>
        </w:sectPr>
      </w:pPr>
    </w:p>
    <w:p>
      <w:pPr>
        <w:pStyle w:val="Heading1"/>
      </w:pPr>
      <w:r>
        <w:t>1.  Verdict — the honest answer</w:t>
      </w:r>
    </w:p>
    <w:p>
      <w:pPr>
        <w:spacing w:before="80" w:after="160" w:line="276" w:lineRule="auto"/>
        <w:ind w:left="120"/>
        <w:shd w:val="clear" w:color="auto" w:fill="EEF5FB"/>
        <w:pBdr>
          <w:left w:val="single" w:sz="18" w:space="6" w:color="1F6FB2"/>
          <w:top w:val="single" w:sz="2" w:space="6" w:color="D6E6F2"/>
          <w:bottom w:val="single" w:sz="2" w:space="6" w:color="D6E6F2"/>
          <w:right w:val="single" w:sz="2" w:space="6" w:color="D6E6F2"/>
        </w:pBdr>
      </w:pPr>
      <w:r>
        <w:rPr>
          <w:b/>
          <w:color w:val="0B3D6B"/>
          <w:sz w:val="21"/>
        </w:rPr>
        <w:t xml:space="preserve">Bottom line:  </w:t>
      </w:r>
      <w:r>
        <w:rPr>
          <w:sz w:val="21"/>
        </w:rPr>
        <w:t>The GovUX concept and scoring model are world-class — in some respects ahead of the market. The product as currently specified is not yet world-class in coverage. It matches or beats incumbents on vision, unified scoring and citizen framing, but trails them on continuous full-estate monitoring, manual-testing rigour, document/app coverage, and developer-workflow integration. Close five gaps and it becomes genuinely leading — especially for India's multilingual context, which no incumbent serves well.</w:t>
      </w:r>
    </w:p>
    <w:p>
      <w:pPr>
        <w:spacing w:after="120" w:before="0" w:line="276" w:lineRule="auto"/>
      </w:pPr>
      <w:r>
        <w:rPr>
          <w:b w:val="0"/>
          <w:i w:val="0"/>
          <w:sz w:val="21"/>
        </w:rPr>
        <w:t>“World-class” for a government UX-audit platform in 2026 means four things: (1) it scans the whole estate continuously, not a sample on request; (2) it combines automated checks with structured expert review, because automated tools alone catch only 30–40% of accessibility issues; (3) it covers the real content citizens use — web pages, PDFs/documents and mobile apps, in every official language; and (4) it plugs into how sites are actually built and governed (CMS, CI/CD, ticketing, certification). Measured against that bar, GovUX scores strongly on framework and governance, and has clear, closable gaps on depth and reach.</w:t>
      </w:r>
    </w:p>
    <w:p>
      <w:pPr>
        <w:spacing w:after="120" w:before="0" w:line="276" w:lineRule="auto"/>
      </w:pPr>
      <w:r>
        <w:rPr>
          <w:b/>
          <w:i w:val="0"/>
          <w:sz w:val="21"/>
        </w:rPr>
        <w:t xml:space="preserve">Scorecard: </w:t>
      </w:r>
      <w:r>
        <w:rPr>
          <w:b w:val="0"/>
          <w:i w:val="0"/>
          <w:sz w:val="21"/>
        </w:rPr>
        <w:t xml:space="preserve">Vision &amp; scoring model </w:t>
      </w:r>
      <w:r>
        <w:rPr>
          <w:b/>
          <w:i w:val="0"/>
          <w:color w:val="146C3C"/>
          <w:sz w:val="21"/>
        </w:rPr>
        <w:t xml:space="preserve">A </w:t>
      </w:r>
      <w:r>
        <w:rPr>
          <w:b w:val="0"/>
          <w:i w:val="0"/>
          <w:sz w:val="21"/>
        </w:rPr>
        <w:t xml:space="preserve">· Governance &amp; national view </w:t>
      </w:r>
      <w:r>
        <w:rPr>
          <w:b/>
          <w:i w:val="0"/>
          <w:color w:val="146C3C"/>
          <w:sz w:val="21"/>
        </w:rPr>
        <w:t xml:space="preserve">A– </w:t>
      </w:r>
      <w:r>
        <w:rPr>
          <w:b w:val="0"/>
          <w:i w:val="0"/>
          <w:sz w:val="21"/>
        </w:rPr>
        <w:t xml:space="preserve">· Accessibility rigour </w:t>
      </w:r>
      <w:r>
        <w:rPr>
          <w:b/>
          <w:i w:val="0"/>
          <w:color w:val="9A7207"/>
          <w:sz w:val="21"/>
        </w:rPr>
        <w:t xml:space="preserve">B– </w:t>
      </w:r>
      <w:r>
        <w:rPr>
          <w:b w:val="0"/>
          <w:i w:val="0"/>
          <w:sz w:val="21"/>
        </w:rPr>
        <w:t xml:space="preserve">· Coverage &amp; scale </w:t>
      </w:r>
      <w:r>
        <w:rPr>
          <w:b/>
          <w:i w:val="0"/>
          <w:color w:val="9A7207"/>
          <w:sz w:val="21"/>
        </w:rPr>
        <w:t xml:space="preserve">C+ </w:t>
      </w:r>
      <w:r>
        <w:rPr>
          <w:b w:val="0"/>
          <w:i w:val="0"/>
          <w:sz w:val="21"/>
        </w:rPr>
        <w:t xml:space="preserve">· Developer &amp; remediation tooling </w:t>
      </w:r>
      <w:r>
        <w:rPr>
          <w:b/>
          <w:i w:val="0"/>
          <w:color w:val="B4322D"/>
          <w:sz w:val="21"/>
        </w:rPr>
        <w:t xml:space="preserve">C </w:t>
      </w:r>
      <w:r>
        <w:rPr>
          <w:b w:val="0"/>
          <w:i w:val="0"/>
          <w:sz w:val="21"/>
        </w:rPr>
        <w:t xml:space="preserve">· Content/PDF/app breadth </w:t>
      </w:r>
      <w:r>
        <w:rPr>
          <w:b/>
          <w:i w:val="0"/>
          <w:color w:val="B4322D"/>
          <w:sz w:val="21"/>
        </w:rPr>
        <w:t xml:space="preserve">C </w:t>
      </w:r>
      <w:r>
        <w:rPr>
          <w:b w:val="0"/>
          <w:i w:val="0"/>
          <w:sz w:val="21"/>
        </w:rPr>
        <w:t xml:space="preserve">· India-specific (multilingual) </w:t>
      </w:r>
      <w:r>
        <w:rPr>
          <w:b/>
          <w:i w:val="0"/>
          <w:color w:val="1F6FB2"/>
          <w:sz w:val="21"/>
        </w:rPr>
        <w:t>B (opportunity to lead)</w:t>
      </w:r>
    </w:p>
    <w:p>
      <w:pPr>
        <w:pStyle w:val="Heading1"/>
      </w:pPr>
      <w:r>
        <w:t>2.  The comparator landscape</w:t>
      </w:r>
    </w:p>
    <w:p>
      <w:pPr>
        <w:spacing w:after="120" w:before="0" w:line="276" w:lineRule="auto"/>
      </w:pPr>
      <w:r>
        <w:rPr>
          <w:b w:val="0"/>
          <w:i w:val="0"/>
          <w:sz w:val="21"/>
        </w:rPr>
        <w:t>Two categories of comparator matter: commercial web-governance suites that many governments already licence, and government-run scanning programmes that show what a national platform looks like at scale.</w:t>
      </w:r>
    </w:p>
    <w:p>
      <w:pPr>
        <w:pStyle w:val="Heading2"/>
      </w:pPr>
      <w:r>
        <w:t>2.1  Who we are measured against</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2500"/>
            <w:vAlign w:val="center"/>
            <w:tcBorders>
              <w:top w:val="single" w:sz="4" w:space="0" w:color="C7D3DE"/>
              <w:left w:val="single" w:sz="4" w:space="0" w:color="C7D3DE"/>
              <w:bottom w:val="single" w:sz="4" w:space="0" w:color="C7D3DE"/>
              <w:right w:val="single" w:sz="4" w:space="0" w:color="C7D3DE"/>
            </w:tcBorders>
            <w:shd w:val="clear" w:color="auto" w:fill="0B3D6B"/>
            <w:tcMar>
              <w:top w:w="46" w:type="dxa"/>
              <w:bottom w:w="46" w:type="dxa"/>
              <w:left w:w="90" w:type="dxa"/>
              <w:right w:w="90" w:type="dxa"/>
            </w:tcMar>
          </w:tcPr>
          <w:p>
            <w:pPr>
              <w:spacing w:after="20" w:line="252" w:lineRule="auto"/>
            </w:pPr>
            <w:r/>
            <w:r>
              <w:rPr>
                <w:b/>
                <w:color w:val="FFFFFF"/>
                <w:sz w:val="18"/>
              </w:rPr>
              <w:t>Comparator</w:t>
            </w:r>
          </w:p>
        </w:tc>
        <w:tc>
          <w:tcPr>
            <w:tcW w:type="dxa" w:w="4200"/>
            <w:vAlign w:val="center"/>
            <w:tcBorders>
              <w:top w:val="single" w:sz="4" w:space="0" w:color="C7D3DE"/>
              <w:left w:val="single" w:sz="4" w:space="0" w:color="C7D3DE"/>
              <w:bottom w:val="single" w:sz="4" w:space="0" w:color="C7D3DE"/>
              <w:right w:val="single" w:sz="4" w:space="0" w:color="C7D3DE"/>
            </w:tcBorders>
            <w:shd w:val="clear" w:color="auto" w:fill="0B3D6B"/>
            <w:tcMar>
              <w:top w:w="46" w:type="dxa"/>
              <w:bottom w:w="46" w:type="dxa"/>
              <w:left w:w="90" w:type="dxa"/>
              <w:right w:w="90" w:type="dxa"/>
            </w:tcMar>
          </w:tcPr>
          <w:p>
            <w:pPr>
              <w:spacing w:after="20" w:line="252" w:lineRule="auto"/>
            </w:pPr>
            <w:r/>
            <w:r>
              <w:rPr>
                <w:b/>
                <w:color w:val="FFFFFF"/>
                <w:sz w:val="18"/>
              </w:rPr>
              <w:t>What it is</w:t>
            </w:r>
          </w:p>
        </w:tc>
        <w:tc>
          <w:tcPr>
            <w:tcW w:type="dxa" w:w="2660"/>
            <w:vAlign w:val="center"/>
            <w:tcBorders>
              <w:top w:val="single" w:sz="4" w:space="0" w:color="C7D3DE"/>
              <w:left w:val="single" w:sz="4" w:space="0" w:color="C7D3DE"/>
              <w:bottom w:val="single" w:sz="4" w:space="0" w:color="C7D3DE"/>
              <w:right w:val="single" w:sz="4" w:space="0" w:color="C7D3DE"/>
            </w:tcBorders>
            <w:shd w:val="clear" w:color="auto" w:fill="0B3D6B"/>
            <w:tcMar>
              <w:top w:w="46" w:type="dxa"/>
              <w:bottom w:w="46" w:type="dxa"/>
              <w:left w:w="90" w:type="dxa"/>
              <w:right w:w="90" w:type="dxa"/>
            </w:tcMar>
          </w:tcPr>
          <w:p>
            <w:pPr>
              <w:spacing w:after="20" w:line="252" w:lineRule="auto"/>
            </w:pPr>
            <w:r/>
            <w:r>
              <w:rPr>
                <w:b/>
                <w:color w:val="FFFFFF"/>
                <w:sz w:val="18"/>
              </w:rPr>
              <w:t>Relevance to GovUX</w:t>
            </w:r>
          </w:p>
        </w:tc>
      </w:tr>
      <w:tr>
        <w:tc>
          <w:tcPr>
            <w:tcW w:type="dxa" w:w="25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Siteimprove</w:t>
            </w:r>
          </w:p>
        </w:tc>
        <w:tc>
          <w:tcPr>
            <w:tcW w:type="dxa" w:w="42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Enterprise web-governance suite: accessibility, content QA, SEO, analytics, policy checks; strong non-technical UI and executive reporting.</w:t>
            </w:r>
          </w:p>
        </w:tc>
        <w:tc>
          <w:tcPr>
            <w:tcW w:type="dxa" w:w="266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Depth benchmark for reporting &amp; QA</w:t>
            </w:r>
          </w:p>
        </w:tc>
      </w:tr>
      <w:tr>
        <w:tc>
          <w:tcPr>
            <w:tcW w:type="dxa" w:w="25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Silktide</w:t>
            </w:r>
          </w:p>
        </w:tc>
        <w:tc>
          <w:tcPr>
            <w:tcW w:type="dxa" w:w="42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Accessibility + UX governance; praised for visual, plain-language issue explanations and how-users-experience-barriers views.</w:t>
            </w:r>
          </w:p>
        </w:tc>
        <w:tc>
          <w:tcPr>
            <w:tcW w:type="dxa" w:w="266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UX-explanation &amp; ease benchmark</w:t>
            </w:r>
          </w:p>
        </w:tc>
      </w:tr>
      <w:tr>
        <w:tc>
          <w:tcPr>
            <w:tcW w:type="dxa" w:w="25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Acquia Optimize (ex-Monsido)</w:t>
            </w:r>
          </w:p>
        </w:tc>
        <w:tc>
          <w:tcPr>
            <w:tcW w:type="dxa" w:w="42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Full web-governance suite for large estates (universities, agencies); site-wide scans + central dashboard. Monsido retired Oct 2024.</w:t>
            </w:r>
          </w:p>
        </w:tc>
        <w:tc>
          <w:tcPr>
            <w:tcW w:type="dxa" w:w="266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Estate-scale governance benchmark</w:t>
            </w:r>
          </w:p>
        </w:tc>
      </w:tr>
      <w:tr>
        <w:tc>
          <w:tcPr>
            <w:tcW w:type="dxa" w:w="25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US GSA Site Scanning</w:t>
            </w:r>
          </w:p>
        </w:tc>
        <w:tc>
          <w:tcPr>
            <w:tcW w:type="dxa" w:w="42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Government programme auto-scanning ~26,000 federal .gov sites daily; 100+ data points each; open API/bulk data.</w:t>
            </w:r>
          </w:p>
        </w:tc>
        <w:tc>
          <w:tcPr>
            <w:tcW w:type="dxa" w:w="266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The government-at-scale benchmark</w:t>
            </w:r>
          </w:p>
        </w:tc>
      </w:tr>
      <w:tr>
        <w:tc>
          <w:tcPr>
            <w:tcW w:type="dxa" w:w="25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EU Web Accessibility Directive</w:t>
            </w:r>
          </w:p>
        </w:tc>
        <w:tc>
          <w:tcPr>
            <w:tcW w:type="dxa" w:w="42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Mandated two-tier monitoring: simplified automated tests on a large sample + in-depth expert tests on a smaller sample; 3-yearly public reports.</w:t>
            </w:r>
          </w:p>
        </w:tc>
        <w:tc>
          <w:tcPr>
            <w:tcW w:type="dxa" w:w="266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The methodology benchmark</w:t>
            </w:r>
          </w:p>
        </w:tc>
      </w:tr>
      <w:tr>
        <w:tc>
          <w:tcPr>
            <w:tcW w:type="dxa" w:w="25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Baymard UX-Ray</w:t>
            </w:r>
          </w:p>
        </w:tc>
        <w:tc>
          <w:tcPr>
            <w:tcW w:type="dxa" w:w="42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Rapid, research-backed heuristic UX snapshot with severity grouping (the original inspiration).</w:t>
            </w:r>
          </w:p>
        </w:tc>
        <w:tc>
          <w:tcPr>
            <w:tcW w:type="dxa" w:w="266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UX-heuristic benchmark</w:t>
            </w:r>
          </w:p>
        </w:tc>
      </w:tr>
      <w:tr>
        <w:tc>
          <w:tcPr>
            <w:tcW w:type="dxa" w:w="25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Google Lighthouse</w:t>
            </w:r>
          </w:p>
        </w:tc>
        <w:tc>
          <w:tcPr>
            <w:tcW w:type="dxa" w:w="42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Open engine for automated accessibility/performance scoring; underpins many tools.</w:t>
            </w:r>
          </w:p>
        </w:tc>
        <w:tc>
          <w:tcPr>
            <w:tcW w:type="dxa" w:w="266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Baseline automated engine</w:t>
            </w:r>
          </w:p>
        </w:tc>
      </w:tr>
    </w:tbl>
    <w:p>
      <w:pPr>
        <w:spacing w:after="80" w:before="0" w:line="276" w:lineRule="auto"/>
      </w:pPr>
    </w:p>
    <w:p>
      <w:pPr>
        <w:spacing w:before="80" w:after="160" w:line="276" w:lineRule="auto"/>
        <w:ind w:left="120"/>
        <w:shd w:val="clear" w:color="auto" w:fill="EEF5FB"/>
        <w:pBdr>
          <w:left w:val="single" w:sz="18" w:space="6" w:color="1F6FB2"/>
          <w:top w:val="single" w:sz="2" w:space="6" w:color="D6E6F2"/>
          <w:bottom w:val="single" w:sz="2" w:space="6" w:color="D6E6F2"/>
          <w:right w:val="single" w:sz="2" w:space="6" w:color="D6E6F2"/>
        </w:pBdr>
      </w:pPr>
      <w:r>
        <w:rPr>
          <w:b/>
          <w:color w:val="0B3D6B"/>
          <w:sz w:val="21"/>
        </w:rPr>
        <w:t xml:space="preserve">Key external facts used in this analysis:  </w:t>
      </w:r>
      <w:r>
        <w:rPr>
          <w:sz w:val="21"/>
        </w:rPr>
        <w:t>Automated accessibility testing catches only ~30–40% of WCAG issues; the remaining 60–70% need human judgement (UK GDS and Deque research converge on this). The US GSA programme scans ~26,000 federal .gov sites automatically and publishes open data. The EU mandates a two-tier simplified+in-depth monitoring model. Sources listed in Appendix A.</w:t>
      </w:r>
    </w:p>
    <w:p>
      <w:pPr>
        <w:pStyle w:val="Heading1"/>
      </w:pPr>
      <w:r>
        <w:t>3.  Feature gap matrix</w:t>
      </w:r>
    </w:p>
    <w:p>
      <w:pPr>
        <w:spacing w:after="120" w:before="0" w:line="276" w:lineRule="auto"/>
      </w:pPr>
      <w:r>
        <w:rPr>
          <w:b w:val="0"/>
          <w:i w:val="0"/>
          <w:sz w:val="21"/>
        </w:rPr>
        <w:t>How GovUX (as specified in BRD v1.0 + the prototype) compares on the capabilities that define a world-class platform. ● = strong / native, ◐ = partial or planned, ○ = absent.</w:t>
      </w:r>
    </w:p>
    <w:p>
      <w:pPr>
        <w:pStyle w:val="Heading2"/>
      </w:pPr>
      <w:r>
        <w:t>3.1  Capability comparison</w:t>
      </w:r>
    </w:p>
    <w:tbl>
      <w:tblPr>
        <w:tblW w:type="auto" w:w="0"/>
        <w:jc w:val="center"/>
        <w:tblLook w:firstColumn="1" w:firstRow="1" w:lastColumn="0" w:lastRow="0" w:noHBand="0" w:noVBand="1" w:val="04A0"/>
        <w:tblLayout w:type="fixed"/>
        <w:tblW w:w="8710" w:type="dxa"/>
      </w:tblPr>
      <w:tblGrid>
        <w:gridCol w:w="1337"/>
        <w:gridCol w:w="1337"/>
        <w:gridCol w:w="1337"/>
        <w:gridCol w:w="1337"/>
        <w:gridCol w:w="1337"/>
        <w:gridCol w:w="1337"/>
        <w:gridCol w:w="1337"/>
      </w:tblGrid>
      <w:tr>
        <w:tc>
          <w:tcPr>
            <w:tcW w:type="dxa" w:w="2760"/>
            <w:vAlign w:val="center"/>
            <w:tcBorders>
              <w:top w:val="single" w:sz="4" w:space="0" w:color="C7D3DE"/>
              <w:left w:val="single" w:sz="4" w:space="0" w:color="C7D3DE"/>
              <w:bottom w:val="single" w:sz="4" w:space="0" w:color="C7D3DE"/>
              <w:right w:val="single" w:sz="4" w:space="0" w:color="C7D3DE"/>
            </w:tcBorders>
            <w:shd w:val="clear" w:color="auto" w:fill="0B3D6B"/>
            <w:tcMar>
              <w:top w:w="46" w:type="dxa"/>
              <w:bottom w:w="46" w:type="dxa"/>
              <w:left w:w="90" w:type="dxa"/>
              <w:right w:w="90" w:type="dxa"/>
            </w:tcMar>
          </w:tcPr>
          <w:p>
            <w:pPr>
              <w:spacing w:after="20" w:line="252" w:lineRule="auto"/>
            </w:pPr>
            <w:r/>
            <w:r>
              <w:rPr>
                <w:b/>
                <w:color w:val="FFFFFF"/>
                <w:sz w:val="18"/>
              </w:rPr>
              <w:t>Capability</w:t>
            </w:r>
          </w:p>
        </w:tc>
        <w:tc>
          <w:tcPr>
            <w:tcW w:type="dxa" w:w="1000"/>
            <w:vAlign w:val="center"/>
            <w:tcBorders>
              <w:top w:val="single" w:sz="4" w:space="0" w:color="C7D3DE"/>
              <w:left w:val="single" w:sz="4" w:space="0" w:color="C7D3DE"/>
              <w:bottom w:val="single" w:sz="4" w:space="0" w:color="C7D3DE"/>
              <w:right w:val="single" w:sz="4" w:space="0" w:color="C7D3DE"/>
            </w:tcBorders>
            <w:shd w:val="clear" w:color="auto" w:fill="0B3D6B"/>
            <w:tcMar>
              <w:top w:w="46" w:type="dxa"/>
              <w:bottom w:w="46" w:type="dxa"/>
              <w:left w:w="90" w:type="dxa"/>
              <w:right w:w="90" w:type="dxa"/>
            </w:tcMar>
          </w:tcPr>
          <w:p>
            <w:pPr>
              <w:spacing w:after="20" w:line="252" w:lineRule="auto"/>
              <w:jc w:val="center"/>
            </w:pPr>
            <w:r/>
            <w:r>
              <w:rPr>
                <w:b/>
                <w:color w:val="FFFFFF"/>
                <w:sz w:val="18"/>
              </w:rPr>
              <w:t>GovUX</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0B3D6B"/>
            <w:tcMar>
              <w:top w:w="46" w:type="dxa"/>
              <w:bottom w:w="46" w:type="dxa"/>
              <w:left w:w="90" w:type="dxa"/>
              <w:right w:w="90" w:type="dxa"/>
            </w:tcMar>
          </w:tcPr>
          <w:p>
            <w:pPr>
              <w:spacing w:after="20" w:line="252" w:lineRule="auto"/>
              <w:jc w:val="center"/>
            </w:pPr>
            <w:r/>
            <w:r>
              <w:rPr>
                <w:b/>
                <w:color w:val="FFFFFF"/>
                <w:sz w:val="18"/>
              </w:rPr>
              <w:t>Site­improve</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0B3D6B"/>
            <w:tcMar>
              <w:top w:w="46" w:type="dxa"/>
              <w:bottom w:w="46" w:type="dxa"/>
              <w:left w:w="90" w:type="dxa"/>
              <w:right w:w="90" w:type="dxa"/>
            </w:tcMar>
          </w:tcPr>
          <w:p>
            <w:pPr>
              <w:spacing w:after="20" w:line="252" w:lineRule="auto"/>
              <w:jc w:val="center"/>
            </w:pPr>
            <w:r/>
            <w:r>
              <w:rPr>
                <w:b/>
                <w:color w:val="FFFFFF"/>
                <w:sz w:val="18"/>
              </w:rPr>
              <w:t>Silktide</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0B3D6B"/>
            <w:tcMar>
              <w:top w:w="46" w:type="dxa"/>
              <w:bottom w:w="46" w:type="dxa"/>
              <w:left w:w="90" w:type="dxa"/>
              <w:right w:w="90" w:type="dxa"/>
            </w:tcMar>
          </w:tcPr>
          <w:p>
            <w:pPr>
              <w:spacing w:after="20" w:line="252" w:lineRule="auto"/>
              <w:jc w:val="center"/>
            </w:pPr>
            <w:r/>
            <w:r>
              <w:rPr>
                <w:b/>
                <w:color w:val="FFFFFF"/>
                <w:sz w:val="18"/>
              </w:rPr>
              <w:t>Acquia</w:t>
            </w:r>
          </w:p>
        </w:tc>
        <w:tc>
          <w:tcPr>
            <w:tcW w:type="dxa" w:w="900"/>
            <w:vAlign w:val="center"/>
            <w:tcBorders>
              <w:top w:val="single" w:sz="4" w:space="0" w:color="C7D3DE"/>
              <w:left w:val="single" w:sz="4" w:space="0" w:color="C7D3DE"/>
              <w:bottom w:val="single" w:sz="4" w:space="0" w:color="C7D3DE"/>
              <w:right w:val="single" w:sz="4" w:space="0" w:color="C7D3DE"/>
            </w:tcBorders>
            <w:shd w:val="clear" w:color="auto" w:fill="0B3D6B"/>
            <w:tcMar>
              <w:top w:w="46" w:type="dxa"/>
              <w:bottom w:w="46" w:type="dxa"/>
              <w:left w:w="90" w:type="dxa"/>
              <w:right w:w="90" w:type="dxa"/>
            </w:tcMar>
          </w:tcPr>
          <w:p>
            <w:pPr>
              <w:spacing w:after="20" w:line="252" w:lineRule="auto"/>
              <w:jc w:val="center"/>
            </w:pPr>
            <w:r/>
            <w:r>
              <w:rPr>
                <w:b/>
                <w:color w:val="FFFFFF"/>
                <w:sz w:val="18"/>
              </w:rPr>
              <w:t>GSA</w:t>
            </w:r>
          </w:p>
        </w:tc>
        <w:tc>
          <w:tcPr>
            <w:tcW w:type="dxa" w:w="900"/>
            <w:vAlign w:val="center"/>
            <w:tcBorders>
              <w:top w:val="single" w:sz="4" w:space="0" w:color="C7D3DE"/>
              <w:left w:val="single" w:sz="4" w:space="0" w:color="C7D3DE"/>
              <w:bottom w:val="single" w:sz="4" w:space="0" w:color="C7D3DE"/>
              <w:right w:val="single" w:sz="4" w:space="0" w:color="C7D3DE"/>
            </w:tcBorders>
            <w:shd w:val="clear" w:color="auto" w:fill="0B3D6B"/>
            <w:tcMar>
              <w:top w:w="46" w:type="dxa"/>
              <w:bottom w:w="46" w:type="dxa"/>
              <w:left w:w="90" w:type="dxa"/>
              <w:right w:w="90" w:type="dxa"/>
            </w:tcMar>
          </w:tcPr>
          <w:p>
            <w:pPr>
              <w:spacing w:after="20" w:line="252" w:lineRule="auto"/>
              <w:jc w:val="center"/>
            </w:pPr>
            <w:r/>
            <w:r>
              <w:rPr>
                <w:b/>
                <w:color w:val="FFFFFF"/>
                <w:sz w:val="18"/>
              </w:rPr>
              <w:t>Baymard</w:t>
            </w:r>
          </w:p>
        </w:tc>
      </w:tr>
      <w:tr>
        <w:tc>
          <w:tcPr>
            <w:tcW w:type="dxa" w:w="276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Unified single score across a11y + UX + perf + GIGW</w:t>
            </w:r>
          </w:p>
        </w:tc>
        <w:tc>
          <w:tcPr>
            <w:tcW w:type="dxa" w:w="10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r>
      <w:tr>
        <w:tc>
          <w:tcPr>
            <w:tcW w:type="dxa" w:w="276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GIGW 3.0-native (India mandate)</w:t>
            </w:r>
          </w:p>
        </w:tc>
        <w:tc>
          <w:tcPr>
            <w:tcW w:type="dxa" w:w="10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r>
      <w:tr>
        <w:tc>
          <w:tcPr>
            <w:tcW w:type="dxa" w:w="276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Automated WCAG 2.2 AA checks</w:t>
            </w:r>
          </w:p>
        </w:tc>
        <w:tc>
          <w:tcPr>
            <w:tcW w:type="dxa" w:w="10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r>
      <w:tr>
        <w:tc>
          <w:tcPr>
            <w:tcW w:type="dxa" w:w="276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Structured manual / expert review workflow</w:t>
            </w:r>
          </w:p>
        </w:tc>
        <w:tc>
          <w:tcPr>
            <w:tcW w:type="dxa" w:w="10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r>
      <w:tr>
        <w:tc>
          <w:tcPr>
            <w:tcW w:type="dxa" w:w="276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Continuous full-estate monitoring</w:t>
            </w:r>
          </w:p>
        </w:tc>
        <w:tc>
          <w:tcPr>
            <w:tcW w:type="dxa" w:w="10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r>
      <w:tr>
        <w:tc>
          <w:tcPr>
            <w:tcW w:type="dxa" w:w="276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Auto-discovery of the whole domain estate</w:t>
            </w:r>
          </w:p>
        </w:tc>
        <w:tc>
          <w:tcPr>
            <w:tcW w:type="dxa" w:w="10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r>
      <w:tr>
        <w:tc>
          <w:tcPr>
            <w:tcW w:type="dxa" w:w="276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Full-site crawl (thousands of pages)</w:t>
            </w:r>
          </w:p>
        </w:tc>
        <w:tc>
          <w:tcPr>
            <w:tcW w:type="dxa" w:w="10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r>
      <w:tr>
        <w:tc>
          <w:tcPr>
            <w:tcW w:type="dxa" w:w="276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PDF / document accessibility</w:t>
            </w:r>
          </w:p>
        </w:tc>
        <w:tc>
          <w:tcPr>
            <w:tcW w:type="dxa" w:w="10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r>
      <w:tr>
        <w:tc>
          <w:tcPr>
            <w:tcW w:type="dxa" w:w="276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Native mobile-app accessibility</w:t>
            </w:r>
          </w:p>
        </w:tc>
        <w:tc>
          <w:tcPr>
            <w:tcW w:type="dxa" w:w="10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r>
      <w:tr>
        <w:tc>
          <w:tcPr>
            <w:tcW w:type="dxa" w:w="276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Content QA (broken links, spelling, stale)</w:t>
            </w:r>
          </w:p>
        </w:tc>
        <w:tc>
          <w:tcPr>
            <w:tcW w:type="dxa" w:w="10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r>
      <w:tr>
        <w:tc>
          <w:tcPr>
            <w:tcW w:type="dxa" w:w="276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Field data / real-user monitoring (CrUX)</w:t>
            </w:r>
          </w:p>
        </w:tc>
        <w:tc>
          <w:tcPr>
            <w:tcW w:type="dxa" w:w="10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r>
      <w:tr>
        <w:tc>
          <w:tcPr>
            <w:tcW w:type="dxa" w:w="276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AI-assisted remediation / code fixes</w:t>
            </w:r>
          </w:p>
        </w:tc>
        <w:tc>
          <w:tcPr>
            <w:tcW w:type="dxa" w:w="10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r>
      <w:tr>
        <w:tc>
          <w:tcPr>
            <w:tcW w:type="dxa" w:w="276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CI/CD, ticketing &amp; CMS integration</w:t>
            </w:r>
          </w:p>
        </w:tc>
        <w:tc>
          <w:tcPr>
            <w:tcW w:type="dxa" w:w="10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r>
      <w:tr>
        <w:tc>
          <w:tcPr>
            <w:tcW w:type="dxa" w:w="276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Plain-language, impact×effort prioritisation</w:t>
            </w:r>
          </w:p>
        </w:tc>
        <w:tc>
          <w:tcPr>
            <w:tcW w:type="dxa" w:w="10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r>
      <w:tr>
        <w:tc>
          <w:tcPr>
            <w:tcW w:type="dxa" w:w="276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National roll-up dashboard &amp; league tables</w:t>
            </w:r>
          </w:p>
        </w:tc>
        <w:tc>
          <w:tcPr>
            <w:tcW w:type="dxa" w:w="10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r>
      <w:tr>
        <w:tc>
          <w:tcPr>
            <w:tcW w:type="dxa" w:w="276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Multilingual / Indian-language auditing</w:t>
            </w:r>
          </w:p>
        </w:tc>
        <w:tc>
          <w:tcPr>
            <w:tcW w:type="dxa" w:w="10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jc w:val="center"/>
            </w:pPr>
            <w:r/>
            <w:r>
              <w:rPr>
                <w:b w:val="0"/>
                <w:color w:val="1A1A1A"/>
                <w:sz w:val="18"/>
              </w:rPr>
              <w:t>○</w:t>
            </w:r>
          </w:p>
        </w:tc>
      </w:tr>
      <w:tr>
        <w:tc>
          <w:tcPr>
            <w:tcW w:type="dxa" w:w="276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Open data / public transparency</w:t>
            </w:r>
          </w:p>
        </w:tc>
        <w:tc>
          <w:tcPr>
            <w:tcW w:type="dxa" w:w="10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105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c>
          <w:tcPr>
            <w:tcW w:type="dxa" w:w="9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jc w:val="center"/>
            </w:pPr>
            <w:r/>
            <w:r>
              <w:rPr>
                <w:b w:val="0"/>
                <w:color w:val="1A1A1A"/>
                <w:sz w:val="18"/>
              </w:rPr>
              <w:t>○</w:t>
            </w:r>
          </w:p>
        </w:tc>
      </w:tr>
    </w:tbl>
    <w:p>
      <w:pPr>
        <w:spacing w:after="80" w:before="0" w:line="276" w:lineRule="auto"/>
      </w:pPr>
    </w:p>
    <w:p>
      <w:pPr>
        <w:spacing w:after="120" w:before="0" w:line="276" w:lineRule="auto"/>
      </w:pPr>
      <w:r>
        <w:rPr>
          <w:b w:val="0"/>
          <w:i w:val="0"/>
          <w:sz w:val="21"/>
        </w:rPr>
        <w:t>Read-out: GovUX leads on the unified score, GIGW-native design, prioritisation and national view. It is behind on document/app coverage, continuous full-site monitoring, field data and developer integration — the areas incumbents have matured over a decade.</w:t>
      </w:r>
    </w:p>
    <w:p>
      <w:pPr>
        <w:pStyle w:val="Heading1"/>
      </w:pPr>
      <w:r>
        <w:t>4.  Where GovUX is already world-class</w:t>
      </w:r>
    </w:p>
    <w:p>
      <w:pPr>
        <w:pStyle w:val="Heading3"/>
      </w:pPr>
      <w:r>
        <w:t>A single, unified GovUX Score</w:t>
      </w:r>
    </w:p>
    <w:p>
      <w:pPr>
        <w:spacing w:after="120" w:before="0" w:line="276" w:lineRule="auto"/>
      </w:pPr>
      <w:r>
        <w:rPr>
          <w:b w:val="0"/>
          <w:i w:val="0"/>
          <w:sz w:val="21"/>
        </w:rPr>
        <w:t>Most tools silo accessibility, performance and SEO into separate scores. GovUX fuses accessibility, UX heuristics, GIGW compliance and Core Web Vitals into one comparable 0–100 score with weighted categories. This is genuinely differentiated and is exactly what a steward (MeitY/NIC) needs to compare thousands of sites on one axis.</w:t>
      </w:r>
    </w:p>
    <w:p>
      <w:pPr>
        <w:pStyle w:val="Heading3"/>
      </w:pPr>
      <w:r>
        <w:t>Citizen-outcome framing, not commercial conversion</w:t>
      </w:r>
    </w:p>
    <w:p>
      <w:pPr>
        <w:spacing w:after="120" w:before="0" w:line="276" w:lineRule="auto"/>
      </w:pPr>
      <w:r>
        <w:rPr>
          <w:b w:val="0"/>
          <w:i w:val="0"/>
          <w:sz w:val="21"/>
        </w:rPr>
        <w:t>Baymard and its imitators optimise e-commerce conversion. GovUX reframes the same rigour around citizen task success and inclusion — the right objective for public services, and defensible in policy terms.</w:t>
      </w:r>
    </w:p>
    <w:p>
      <w:pPr>
        <w:pStyle w:val="Heading3"/>
      </w:pPr>
      <w:r>
        <w:t>Guard-rail logic tied to legal criticality</w:t>
      </w:r>
    </w:p>
    <w:p>
      <w:pPr>
        <w:spacing w:after="120" w:before="0" w:line="276" w:lineRule="auto"/>
      </w:pPr>
      <w:r>
        <w:rPr>
          <w:b w:val="0"/>
          <w:i w:val="0"/>
          <w:sz w:val="21"/>
        </w:rPr>
        <w:t>Capping the attainable band when a critical accessibility or security failure exists encodes legal obligation directly into the score. Few commercial tools take an opinionated, compliance-anchored stance like this.</w:t>
      </w:r>
    </w:p>
    <w:p>
      <w:pPr>
        <w:pStyle w:val="Heading3"/>
      </w:pPr>
      <w:r>
        <w:t>Governance: versioned rules + national dashboard</w:t>
      </w:r>
    </w:p>
    <w:p>
      <w:pPr>
        <w:spacing w:after="120" w:before="0" w:line="276" w:lineRule="auto"/>
      </w:pPr>
      <w:r>
        <w:rPr>
          <w:b w:val="0"/>
          <w:i w:val="0"/>
          <w:sz w:val="21"/>
        </w:rPr>
        <w:t>A versioned rules engine, league tables and exception alerts match — and in transparency terms exceed — the EU three-yearly reporting model and the GSA open-data programme, while adding self-service ownership that neither fully offers.</w:t>
      </w:r>
    </w:p>
    <w:p>
      <w:pPr>
        <w:pStyle w:val="Heading1"/>
      </w:pPr>
      <w:r>
        <w:t>5.  The gaps — prioritised</w:t>
      </w:r>
    </w:p>
    <w:p>
      <w:pPr>
        <w:spacing w:after="120" w:before="0" w:line="276" w:lineRule="auto"/>
      </w:pPr>
      <w:r>
        <w:rPr>
          <w:b w:val="0"/>
          <w:i w:val="0"/>
          <w:sz w:val="21"/>
        </w:rPr>
        <w:t>Ranked by how much each holds the platform back from world-class status. Severity reflects impact on credibility, compliance defensibility and adoption.</w:t>
      </w:r>
    </w:p>
    <w:p>
      <w:pPr>
        <w:pStyle w:val="Heading2"/>
      </w:pPr>
      <w:r>
        <w:t>5.1  Critical gaps (close before national rollout)</w:t>
      </w:r>
    </w:p>
    <w:tbl>
      <w:tblPr>
        <w:tblW w:type="auto" w:w="0"/>
        <w:jc w:val="center"/>
        <w:tblLook w:firstColumn="1" w:firstRow="1" w:lastColumn="0" w:lastRow="0" w:noHBand="0" w:noVBand="1" w:val="04A0"/>
        <w:tblLayout w:type="fixed"/>
        <w:tblW w:w="9360" w:type="dxa"/>
      </w:tblPr>
      <w:tblGrid>
        <w:gridCol w:w="2340"/>
        <w:gridCol w:w="2340"/>
        <w:gridCol w:w="2340"/>
        <w:gridCol w:w="2340"/>
      </w:tblGrid>
      <w:tr>
        <w:tc>
          <w:tcPr>
            <w:tcW w:type="dxa" w:w="600"/>
            <w:vAlign w:val="center"/>
            <w:tcBorders>
              <w:top w:val="single" w:sz="4" w:space="0" w:color="C7D3DE"/>
              <w:left w:val="single" w:sz="4" w:space="0" w:color="C7D3DE"/>
              <w:bottom w:val="single" w:sz="4" w:space="0" w:color="C7D3DE"/>
              <w:right w:val="single" w:sz="4" w:space="0" w:color="C7D3DE"/>
            </w:tcBorders>
            <w:shd w:val="clear" w:color="auto" w:fill="0B3D6B"/>
            <w:tcMar>
              <w:top w:w="46" w:type="dxa"/>
              <w:bottom w:w="46" w:type="dxa"/>
              <w:left w:w="90" w:type="dxa"/>
              <w:right w:w="90" w:type="dxa"/>
            </w:tcMar>
          </w:tcPr>
          <w:p>
            <w:pPr>
              <w:spacing w:after="20" w:line="252" w:lineRule="auto"/>
            </w:pPr>
            <w:r/>
            <w:r>
              <w:rPr>
                <w:b/>
                <w:color w:val="FFFFFF"/>
                <w:sz w:val="18"/>
              </w:rPr>
              <w:t>#</w:t>
            </w:r>
          </w:p>
        </w:tc>
        <w:tc>
          <w:tcPr>
            <w:tcW w:type="dxa" w:w="2600"/>
            <w:vAlign w:val="center"/>
            <w:tcBorders>
              <w:top w:val="single" w:sz="4" w:space="0" w:color="C7D3DE"/>
              <w:left w:val="single" w:sz="4" w:space="0" w:color="C7D3DE"/>
              <w:bottom w:val="single" w:sz="4" w:space="0" w:color="C7D3DE"/>
              <w:right w:val="single" w:sz="4" w:space="0" w:color="C7D3DE"/>
            </w:tcBorders>
            <w:shd w:val="clear" w:color="auto" w:fill="0B3D6B"/>
            <w:tcMar>
              <w:top w:w="46" w:type="dxa"/>
              <w:bottom w:w="46" w:type="dxa"/>
              <w:left w:w="90" w:type="dxa"/>
              <w:right w:w="90" w:type="dxa"/>
            </w:tcMar>
          </w:tcPr>
          <w:p>
            <w:pPr>
              <w:spacing w:after="20" w:line="252" w:lineRule="auto"/>
            </w:pPr>
            <w:r/>
            <w:r>
              <w:rPr>
                <w:b/>
                <w:color w:val="FFFFFF"/>
                <w:sz w:val="18"/>
              </w:rPr>
              <w:t>Gap</w:t>
            </w:r>
          </w:p>
        </w:tc>
        <w:tc>
          <w:tcPr>
            <w:tcW w:type="dxa" w:w="3480"/>
            <w:vAlign w:val="center"/>
            <w:tcBorders>
              <w:top w:val="single" w:sz="4" w:space="0" w:color="C7D3DE"/>
              <w:left w:val="single" w:sz="4" w:space="0" w:color="C7D3DE"/>
              <w:bottom w:val="single" w:sz="4" w:space="0" w:color="C7D3DE"/>
              <w:right w:val="single" w:sz="4" w:space="0" w:color="C7D3DE"/>
            </w:tcBorders>
            <w:shd w:val="clear" w:color="auto" w:fill="0B3D6B"/>
            <w:tcMar>
              <w:top w:w="46" w:type="dxa"/>
              <w:bottom w:w="46" w:type="dxa"/>
              <w:left w:w="90" w:type="dxa"/>
              <w:right w:w="90" w:type="dxa"/>
            </w:tcMar>
          </w:tcPr>
          <w:p>
            <w:pPr>
              <w:spacing w:after="20" w:line="252" w:lineRule="auto"/>
            </w:pPr>
            <w:r/>
            <w:r>
              <w:rPr>
                <w:b/>
                <w:color w:val="FFFFFF"/>
                <w:sz w:val="18"/>
              </w:rPr>
              <w:t>Why it matters</w:t>
            </w:r>
          </w:p>
        </w:tc>
        <w:tc>
          <w:tcPr>
            <w:tcW w:type="dxa" w:w="2680"/>
            <w:vAlign w:val="center"/>
            <w:tcBorders>
              <w:top w:val="single" w:sz="4" w:space="0" w:color="C7D3DE"/>
              <w:left w:val="single" w:sz="4" w:space="0" w:color="C7D3DE"/>
              <w:bottom w:val="single" w:sz="4" w:space="0" w:color="C7D3DE"/>
              <w:right w:val="single" w:sz="4" w:space="0" w:color="C7D3DE"/>
            </w:tcBorders>
            <w:shd w:val="clear" w:color="auto" w:fill="0B3D6B"/>
            <w:tcMar>
              <w:top w:w="46" w:type="dxa"/>
              <w:bottom w:w="46" w:type="dxa"/>
              <w:left w:w="90" w:type="dxa"/>
              <w:right w:w="90" w:type="dxa"/>
            </w:tcMar>
          </w:tcPr>
          <w:p>
            <w:pPr>
              <w:spacing w:after="20" w:line="252" w:lineRule="auto"/>
            </w:pPr>
            <w:r/>
            <w:r>
              <w:rPr>
                <w:b/>
                <w:color w:val="FFFFFF"/>
                <w:sz w:val="18"/>
              </w:rPr>
              <w:t>What world-class looks like</w:t>
            </w:r>
          </w:p>
        </w:tc>
      </w:tr>
      <w:tr>
        <w:tc>
          <w:tcPr>
            <w:tcW w:type="dxa" w:w="6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G1</w:t>
            </w:r>
          </w:p>
        </w:tc>
        <w:tc>
          <w:tcPr>
            <w:tcW w:type="dxa" w:w="26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Automated-only scoring ceiling</w:t>
            </w:r>
          </w:p>
        </w:tc>
        <w:tc>
          <w:tcPr>
            <w:tcW w:type="dxa" w:w="348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Automated checks catch only 30–40% of WCAG. Claiming compliance on automation alone is legally risky and technically wrong.</w:t>
            </w:r>
          </w:p>
        </w:tc>
        <w:tc>
          <w:tcPr>
            <w:tcW w:type="dxa" w:w="268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Mandatory hybrid model: automated at scale + structured expert review for any compliance claim; EU-style two-tier (simplified vs in-depth) sampling baked into methodology.</w:t>
            </w:r>
          </w:p>
        </w:tc>
      </w:tr>
      <w:tr>
        <w:tc>
          <w:tcPr>
            <w:tcW w:type="dxa" w:w="6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G2</w:t>
            </w:r>
          </w:p>
        </w:tc>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Point-in-time, opt-in auditing</w:t>
            </w:r>
          </w:p>
        </w:tc>
        <w:tc>
          <w:tcPr>
            <w:tcW w:type="dxa" w:w="348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Incumbents and GSA monitor continuously and proactively across the whole estate; GovUX waits for an owner to click ‘audit’ up to ~50 pages.</w:t>
            </w:r>
          </w:p>
        </w:tc>
        <w:tc>
          <w:tcPr>
            <w:tcW w:type="dxa" w:w="268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Continuous scheduled monitoring, auto-discovery of every .gov.in/.nic.in domain, change detection and regression alerts — estate-wide, not sample-on-request.</w:t>
            </w:r>
          </w:p>
        </w:tc>
      </w:tr>
      <w:tr>
        <w:tc>
          <w:tcPr>
            <w:tcW w:type="dxa" w:w="6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G3</w:t>
            </w:r>
          </w:p>
        </w:tc>
        <w:tc>
          <w:tcPr>
            <w:tcW w:type="dxa" w:w="26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No PDF / document accessibility</w:t>
            </w:r>
          </w:p>
        </w:tc>
        <w:tc>
          <w:tcPr>
            <w:tcW w:type="dxa" w:w="348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Government runs on PDFs — forms, circulars, notifications. Ignoring them misses where citizens most often get stuck.</w:t>
            </w:r>
          </w:p>
        </w:tc>
        <w:tc>
          <w:tcPr>
            <w:tcW w:type="dxa" w:w="268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Automated PDF/Office-document accessibility scanning integrated into the same score (as Siteimprove/Silktide/Acquia do).</w:t>
            </w:r>
          </w:p>
        </w:tc>
      </w:tr>
      <w:tr>
        <w:tc>
          <w:tcPr>
            <w:tcW w:type="dxa" w:w="6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G4</w:t>
            </w:r>
          </w:p>
        </w:tc>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Lab-only performance; no field data</w:t>
            </w:r>
          </w:p>
        </w:tc>
        <w:tc>
          <w:tcPr>
            <w:tcW w:type="dxa" w:w="348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CWV lab metrics don't reflect real citizens on real (often low-end, low-bandwidth) devices.</w:t>
            </w:r>
          </w:p>
        </w:tc>
        <w:tc>
          <w:tcPr>
            <w:tcW w:type="dxa" w:w="268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Blend lab metrics with field data (CrUX-style real-user monitoring) and, ideally, real assistive-technology and behavioural signals.</w:t>
            </w:r>
          </w:p>
        </w:tc>
      </w:tr>
    </w:tbl>
    <w:p>
      <w:pPr>
        <w:spacing w:after="80" w:before="0" w:line="276" w:lineRule="auto"/>
      </w:pPr>
    </w:p>
    <w:p>
      <w:pPr>
        <w:pStyle w:val="Heading2"/>
      </w:pPr>
      <w:r>
        <w:t>5.2  High-priority gaps</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600"/>
            <w:vAlign w:val="center"/>
            <w:tcBorders>
              <w:top w:val="single" w:sz="4" w:space="0" w:color="C7D3DE"/>
              <w:left w:val="single" w:sz="4" w:space="0" w:color="C7D3DE"/>
              <w:bottom w:val="single" w:sz="4" w:space="0" w:color="C7D3DE"/>
              <w:right w:val="single" w:sz="4" w:space="0" w:color="C7D3DE"/>
            </w:tcBorders>
            <w:shd w:val="clear" w:color="auto" w:fill="0B3D6B"/>
            <w:tcMar>
              <w:top w:w="46" w:type="dxa"/>
              <w:bottom w:w="46" w:type="dxa"/>
              <w:left w:w="90" w:type="dxa"/>
              <w:right w:w="90" w:type="dxa"/>
            </w:tcMar>
          </w:tcPr>
          <w:p>
            <w:pPr>
              <w:spacing w:after="20" w:line="252" w:lineRule="auto"/>
            </w:pPr>
            <w:r/>
            <w:r>
              <w:rPr>
                <w:b/>
                <w:color w:val="FFFFFF"/>
                <w:sz w:val="18"/>
              </w:rPr>
              <w:t>#</w:t>
            </w:r>
          </w:p>
        </w:tc>
        <w:tc>
          <w:tcPr>
            <w:tcW w:type="dxa" w:w="2600"/>
            <w:vAlign w:val="center"/>
            <w:tcBorders>
              <w:top w:val="single" w:sz="4" w:space="0" w:color="C7D3DE"/>
              <w:left w:val="single" w:sz="4" w:space="0" w:color="C7D3DE"/>
              <w:bottom w:val="single" w:sz="4" w:space="0" w:color="C7D3DE"/>
              <w:right w:val="single" w:sz="4" w:space="0" w:color="C7D3DE"/>
            </w:tcBorders>
            <w:shd w:val="clear" w:color="auto" w:fill="0B3D6B"/>
            <w:tcMar>
              <w:top w:w="46" w:type="dxa"/>
              <w:bottom w:w="46" w:type="dxa"/>
              <w:left w:w="90" w:type="dxa"/>
              <w:right w:w="90" w:type="dxa"/>
            </w:tcMar>
          </w:tcPr>
          <w:p>
            <w:pPr>
              <w:spacing w:after="20" w:line="252" w:lineRule="auto"/>
            </w:pPr>
            <w:r/>
            <w:r>
              <w:rPr>
                <w:b/>
                <w:color w:val="FFFFFF"/>
                <w:sz w:val="18"/>
              </w:rPr>
              <w:t>Gap</w:t>
            </w:r>
          </w:p>
        </w:tc>
        <w:tc>
          <w:tcPr>
            <w:tcW w:type="dxa" w:w="6160"/>
            <w:vAlign w:val="center"/>
            <w:tcBorders>
              <w:top w:val="single" w:sz="4" w:space="0" w:color="C7D3DE"/>
              <w:left w:val="single" w:sz="4" w:space="0" w:color="C7D3DE"/>
              <w:bottom w:val="single" w:sz="4" w:space="0" w:color="C7D3DE"/>
              <w:right w:val="single" w:sz="4" w:space="0" w:color="C7D3DE"/>
            </w:tcBorders>
            <w:shd w:val="clear" w:color="auto" w:fill="0B3D6B"/>
            <w:tcMar>
              <w:top w:w="46" w:type="dxa"/>
              <w:bottom w:w="46" w:type="dxa"/>
              <w:left w:w="90" w:type="dxa"/>
              <w:right w:w="90" w:type="dxa"/>
            </w:tcMar>
          </w:tcPr>
          <w:p>
            <w:pPr>
              <w:spacing w:after="20" w:line="252" w:lineRule="auto"/>
            </w:pPr>
            <w:r/>
            <w:r>
              <w:rPr>
                <w:b/>
                <w:color w:val="FFFFFF"/>
                <w:sz w:val="18"/>
              </w:rPr>
              <w:t>Recommendation</w:t>
            </w:r>
          </w:p>
        </w:tc>
      </w:tr>
      <w:tr>
        <w:tc>
          <w:tcPr>
            <w:tcW w:type="dxa" w:w="6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G5</w:t>
            </w:r>
          </w:p>
        </w:tc>
        <w:tc>
          <w:tcPr>
            <w:tcW w:type="dxa" w:w="26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Thin developer &amp; remediation tooling</w:t>
            </w:r>
          </w:p>
        </w:tc>
        <w:tc>
          <w:tcPr>
            <w:tcW w:type="dxa" w:w="616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Add CI/CD gates, a browser extension, CMS plugins, Jira/ticketing sync, and AI-assisted fix suggestions (even PRs). Shift-left so issues are caught before publish, not after.</w:t>
            </w:r>
          </w:p>
        </w:tc>
      </w:tr>
      <w:tr>
        <w:tc>
          <w:tcPr>
            <w:tcW w:type="dxa" w:w="6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G6</w:t>
            </w:r>
          </w:p>
        </w:tc>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Multilingual auditing under-built for Bharat</w:t>
            </w:r>
          </w:p>
        </w:tc>
        <w:tc>
          <w:tcPr>
            <w:tcW w:type="dxa" w:w="616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India has 22+ official languages. Audit Indian-language pages: font/rendering, script-specific contrast, language-tagging, and translation completeness. No incumbent does this well — a chance to lead, not just catch up.</w:t>
            </w:r>
          </w:p>
        </w:tc>
      </w:tr>
      <w:tr>
        <w:tc>
          <w:tcPr>
            <w:tcW w:type="dxa" w:w="6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G7</w:t>
            </w:r>
          </w:p>
        </w:tc>
        <w:tc>
          <w:tcPr>
            <w:tcW w:type="dxa" w:w="26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Full-site scale capped at ~50 pages</w:t>
            </w:r>
          </w:p>
        </w:tc>
        <w:tc>
          <w:tcPr>
            <w:tcW w:type="dxa" w:w="616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Support full-site crawls (thousands of pages) with intelligent sampling for scoring, so large portals aren't judged on a fraction of their pages.</w:t>
            </w:r>
          </w:p>
        </w:tc>
      </w:tr>
      <w:tr>
        <w:tc>
          <w:tcPr>
            <w:tcW w:type="dxa" w:w="6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G8</w:t>
            </w:r>
          </w:p>
        </w:tc>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Content QA breadth is light</w:t>
            </w:r>
          </w:p>
        </w:tc>
        <w:tc>
          <w:tcPr>
            <w:tcW w:type="dxa" w:w="616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Add broken-link detection, misspellings, out-of-date content, duplicate content and reading-level flags at scale — table stakes for Siteimprove/Acquia.</w:t>
            </w:r>
          </w:p>
        </w:tc>
      </w:tr>
    </w:tbl>
    <w:p>
      <w:pPr>
        <w:spacing w:after="80" w:before="0" w:line="276" w:lineRule="auto"/>
      </w:pPr>
    </w:p>
    <w:p>
      <w:pPr>
        <w:pStyle w:val="Heading2"/>
      </w:pPr>
      <w:r>
        <w:t>5.3  Medium-priority gaps &amp; positioning</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600"/>
            <w:vAlign w:val="center"/>
            <w:tcBorders>
              <w:top w:val="single" w:sz="4" w:space="0" w:color="C7D3DE"/>
              <w:left w:val="single" w:sz="4" w:space="0" w:color="C7D3DE"/>
              <w:bottom w:val="single" w:sz="4" w:space="0" w:color="C7D3DE"/>
              <w:right w:val="single" w:sz="4" w:space="0" w:color="C7D3DE"/>
            </w:tcBorders>
            <w:shd w:val="clear" w:color="auto" w:fill="0B3D6B"/>
            <w:tcMar>
              <w:top w:w="46" w:type="dxa"/>
              <w:bottom w:w="46" w:type="dxa"/>
              <w:left w:w="90" w:type="dxa"/>
              <w:right w:w="90" w:type="dxa"/>
            </w:tcMar>
          </w:tcPr>
          <w:p>
            <w:pPr>
              <w:spacing w:after="20" w:line="252" w:lineRule="auto"/>
            </w:pPr>
            <w:r/>
            <w:r>
              <w:rPr>
                <w:b/>
                <w:color w:val="FFFFFF"/>
                <w:sz w:val="18"/>
              </w:rPr>
              <w:t>#</w:t>
            </w:r>
          </w:p>
        </w:tc>
        <w:tc>
          <w:tcPr>
            <w:tcW w:type="dxa" w:w="2600"/>
            <w:vAlign w:val="center"/>
            <w:tcBorders>
              <w:top w:val="single" w:sz="4" w:space="0" w:color="C7D3DE"/>
              <w:left w:val="single" w:sz="4" w:space="0" w:color="C7D3DE"/>
              <w:bottom w:val="single" w:sz="4" w:space="0" w:color="C7D3DE"/>
              <w:right w:val="single" w:sz="4" w:space="0" w:color="C7D3DE"/>
            </w:tcBorders>
            <w:shd w:val="clear" w:color="auto" w:fill="0B3D6B"/>
            <w:tcMar>
              <w:top w:w="46" w:type="dxa"/>
              <w:bottom w:w="46" w:type="dxa"/>
              <w:left w:w="90" w:type="dxa"/>
              <w:right w:w="90" w:type="dxa"/>
            </w:tcMar>
          </w:tcPr>
          <w:p>
            <w:pPr>
              <w:spacing w:after="20" w:line="252" w:lineRule="auto"/>
            </w:pPr>
            <w:r/>
            <w:r>
              <w:rPr>
                <w:b/>
                <w:color w:val="FFFFFF"/>
                <w:sz w:val="18"/>
              </w:rPr>
              <w:t>Gap</w:t>
            </w:r>
          </w:p>
        </w:tc>
        <w:tc>
          <w:tcPr>
            <w:tcW w:type="dxa" w:w="6160"/>
            <w:vAlign w:val="center"/>
            <w:tcBorders>
              <w:top w:val="single" w:sz="4" w:space="0" w:color="C7D3DE"/>
              <w:left w:val="single" w:sz="4" w:space="0" w:color="C7D3DE"/>
              <w:bottom w:val="single" w:sz="4" w:space="0" w:color="C7D3DE"/>
              <w:right w:val="single" w:sz="4" w:space="0" w:color="C7D3DE"/>
            </w:tcBorders>
            <w:shd w:val="clear" w:color="auto" w:fill="0B3D6B"/>
            <w:tcMar>
              <w:top w:w="46" w:type="dxa"/>
              <w:bottom w:w="46" w:type="dxa"/>
              <w:left w:w="90" w:type="dxa"/>
              <w:right w:w="90" w:type="dxa"/>
            </w:tcMar>
          </w:tcPr>
          <w:p>
            <w:pPr>
              <w:spacing w:after="20" w:line="252" w:lineRule="auto"/>
            </w:pPr>
            <w:r/>
            <w:r>
              <w:rPr>
                <w:b/>
                <w:color w:val="FFFFFF"/>
                <w:sz w:val="18"/>
              </w:rPr>
              <w:t>Recommendation</w:t>
            </w:r>
          </w:p>
        </w:tc>
      </w:tr>
      <w:tr>
        <w:tc>
          <w:tcPr>
            <w:tcW w:type="dxa" w:w="6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G9</w:t>
            </w:r>
          </w:p>
        </w:tc>
        <w:tc>
          <w:tcPr>
            <w:tcW w:type="dxa" w:w="26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Native mobile-app accessibility absent</w:t>
            </w:r>
          </w:p>
        </w:tc>
        <w:tc>
          <w:tcPr>
            <w:tcW w:type="dxa" w:w="616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GIGW 3.0 covers apps. Add a native-app audit track (currently ‘future phase’) — bring it forward given app-first citizen behaviour.</w:t>
            </w:r>
          </w:p>
        </w:tc>
      </w:tr>
      <w:tr>
        <w:tc>
          <w:tcPr>
            <w:tcW w:type="dxa" w:w="6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G10</w:t>
            </w:r>
          </w:p>
        </w:tc>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No stance on accessibility overlays</w:t>
            </w:r>
          </w:p>
        </w:tc>
        <w:tc>
          <w:tcPr>
            <w:tcW w:type="dxa" w:w="616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World-class programmes explicitly warn against overlay widgets (accessiBe/UserWay-type), which create legal risk and false compliance. State a clear ‘no overlays’ position.</w:t>
            </w:r>
          </w:p>
        </w:tc>
      </w:tr>
      <w:tr>
        <w:tc>
          <w:tcPr>
            <w:tcW w:type="dxa" w:w="6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G11</w:t>
            </w:r>
          </w:p>
        </w:tc>
        <w:tc>
          <w:tcPr>
            <w:tcW w:type="dxa" w:w="26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Lived-experience testing not included</w:t>
            </w:r>
          </w:p>
        </w:tc>
        <w:tc>
          <w:tcPr>
            <w:tcW w:type="dxa" w:w="616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Automation and expert review still miss real usability. Add a panel of users with disabilities for periodic real-world testing of high-traffic services.</w:t>
            </w:r>
          </w:p>
        </w:tc>
      </w:tr>
      <w:tr>
        <w:tc>
          <w:tcPr>
            <w:tcW w:type="dxa" w:w="6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G12</w:t>
            </w:r>
          </w:p>
        </w:tc>
        <w:tc>
          <w:tcPr>
            <w:tcW w:type="dxa" w:w="26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Certification loosely coupled</w:t>
            </w:r>
          </w:p>
        </w:tc>
        <w:tc>
          <w:tcPr>
            <w:tcW w:type="dxa" w:w="616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STQC certification is only ‘readiness’. Tighten the workflow so an audit produces the evidence pack a certifier needs, reducing duplicate effort.</w:t>
            </w:r>
          </w:p>
        </w:tc>
      </w:tr>
      <w:tr>
        <w:tc>
          <w:tcPr>
            <w:tcW w:type="dxa" w:w="6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G13</w:t>
            </w:r>
          </w:p>
        </w:tc>
        <w:tc>
          <w:tcPr>
            <w:tcW w:type="dxa" w:w="26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Security depth is surface-only</w:t>
            </w:r>
          </w:p>
        </w:tc>
        <w:tc>
          <w:tcPr>
            <w:tcW w:type="dxa" w:w="616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GSA scans real security posture. Deepen CERT-In integration beyond hygiene signals (TLS, headers, exposure) without duplicating VAPT.</w:t>
            </w:r>
          </w:p>
        </w:tc>
      </w:tr>
    </w:tbl>
    <w:p>
      <w:pPr>
        <w:spacing w:after="80" w:before="0" w:line="276" w:lineRule="auto"/>
      </w:pPr>
    </w:p>
    <w:p>
      <w:pPr>
        <w:pStyle w:val="Heading1"/>
      </w:pPr>
      <w:r>
        <w:t>6.  Closing the gap — recommended additions</w:t>
      </w:r>
    </w:p>
    <w:p>
      <w:pPr>
        <w:spacing w:after="120" w:before="0" w:line="276" w:lineRule="auto"/>
      </w:pPr>
      <w:r>
        <w:rPr>
          <w:b w:val="0"/>
          <w:i w:val="0"/>
          <w:sz w:val="21"/>
        </w:rPr>
        <w:t>None of these change the vision; they deepen it. Sequenced to reach world-class coverage within the existing roadmap.</w:t>
      </w:r>
    </w:p>
    <w:tbl>
      <w:tblPr>
        <w:tblW w:type="auto" w:w="0"/>
        <w:jc w:val="center"/>
        <w:tblLook w:firstColumn="1" w:firstRow="1" w:lastColumn="0" w:lastRow="0" w:noHBand="0" w:noVBand="1" w:val="04A0"/>
        <w:tblLayout w:type="fixed"/>
        <w:tblW w:w="9360" w:type="dxa"/>
      </w:tblPr>
      <w:tblGrid>
        <w:gridCol w:w="3120"/>
        <w:gridCol w:w="3120"/>
        <w:gridCol w:w="3120"/>
      </w:tblGrid>
      <w:tr>
        <w:tc>
          <w:tcPr>
            <w:tcW w:type="dxa" w:w="1700"/>
            <w:vAlign w:val="center"/>
            <w:tcBorders>
              <w:top w:val="single" w:sz="4" w:space="0" w:color="C7D3DE"/>
              <w:left w:val="single" w:sz="4" w:space="0" w:color="C7D3DE"/>
              <w:bottom w:val="single" w:sz="4" w:space="0" w:color="C7D3DE"/>
              <w:right w:val="single" w:sz="4" w:space="0" w:color="C7D3DE"/>
            </w:tcBorders>
            <w:shd w:val="clear" w:color="auto" w:fill="0B3D6B"/>
            <w:tcMar>
              <w:top w:w="46" w:type="dxa"/>
              <w:bottom w:w="46" w:type="dxa"/>
              <w:left w:w="90" w:type="dxa"/>
              <w:right w:w="90" w:type="dxa"/>
            </w:tcMar>
          </w:tcPr>
          <w:p>
            <w:pPr>
              <w:spacing w:after="20" w:line="252" w:lineRule="auto"/>
            </w:pPr>
            <w:r/>
            <w:r>
              <w:rPr>
                <w:b/>
                <w:color w:val="FFFFFF"/>
                <w:sz w:val="18"/>
              </w:rPr>
              <w:t>Horizon</w:t>
            </w:r>
          </w:p>
        </w:tc>
        <w:tc>
          <w:tcPr>
            <w:tcW w:type="dxa" w:w="3830"/>
            <w:vAlign w:val="center"/>
            <w:tcBorders>
              <w:top w:val="single" w:sz="4" w:space="0" w:color="C7D3DE"/>
              <w:left w:val="single" w:sz="4" w:space="0" w:color="C7D3DE"/>
              <w:bottom w:val="single" w:sz="4" w:space="0" w:color="C7D3DE"/>
              <w:right w:val="single" w:sz="4" w:space="0" w:color="C7D3DE"/>
            </w:tcBorders>
            <w:shd w:val="clear" w:color="auto" w:fill="0B3D6B"/>
            <w:tcMar>
              <w:top w:w="46" w:type="dxa"/>
              <w:bottom w:w="46" w:type="dxa"/>
              <w:left w:w="90" w:type="dxa"/>
              <w:right w:w="90" w:type="dxa"/>
            </w:tcMar>
          </w:tcPr>
          <w:p>
            <w:pPr>
              <w:spacing w:after="20" w:line="252" w:lineRule="auto"/>
            </w:pPr>
            <w:r/>
            <w:r>
              <w:rPr>
                <w:b/>
                <w:color w:val="FFFFFF"/>
                <w:sz w:val="18"/>
              </w:rPr>
              <w:t>Add</w:t>
            </w:r>
          </w:p>
        </w:tc>
        <w:tc>
          <w:tcPr>
            <w:tcW w:type="dxa" w:w="3830"/>
            <w:vAlign w:val="center"/>
            <w:tcBorders>
              <w:top w:val="single" w:sz="4" w:space="0" w:color="C7D3DE"/>
              <w:left w:val="single" w:sz="4" w:space="0" w:color="C7D3DE"/>
              <w:bottom w:val="single" w:sz="4" w:space="0" w:color="C7D3DE"/>
              <w:right w:val="single" w:sz="4" w:space="0" w:color="C7D3DE"/>
            </w:tcBorders>
            <w:shd w:val="clear" w:color="auto" w:fill="0B3D6B"/>
            <w:tcMar>
              <w:top w:w="46" w:type="dxa"/>
              <w:bottom w:w="46" w:type="dxa"/>
              <w:left w:w="90" w:type="dxa"/>
              <w:right w:w="90" w:type="dxa"/>
            </w:tcMar>
          </w:tcPr>
          <w:p>
            <w:pPr>
              <w:spacing w:after="20" w:line="252" w:lineRule="auto"/>
            </w:pPr>
            <w:r/>
            <w:r>
              <w:rPr>
                <w:b/>
                <w:color w:val="FFFFFF"/>
                <w:sz w:val="18"/>
              </w:rPr>
              <w:t>Closes</w:t>
            </w:r>
          </w:p>
        </w:tc>
      </w:tr>
      <w:tr>
        <w:tc>
          <w:tcPr>
            <w:tcW w:type="dxa" w:w="17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Now (MVP+)</w:t>
            </w:r>
          </w:p>
        </w:tc>
        <w:tc>
          <w:tcPr>
            <w:tcW w:type="dxa" w:w="383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Hybrid methodology (two-tier automated + expert review); ‘automated vs verified’ confidence on every score; explicit no-overlay stance</w:t>
            </w:r>
          </w:p>
        </w:tc>
        <w:tc>
          <w:tcPr>
            <w:tcW w:type="dxa" w:w="383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G1, G10</w:t>
            </w:r>
          </w:p>
        </w:tc>
      </w:tr>
      <w:tr>
        <w:tc>
          <w:tcPr>
            <w:tcW w:type="dxa" w:w="17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6–10 months</w:t>
            </w:r>
          </w:p>
        </w:tc>
        <w:tc>
          <w:tcPr>
            <w:tcW w:type="dxa" w:w="383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Continuous estate-wide monitoring + auto-discovery + regression alerts; PDF/document accessibility; full-site crawl</w:t>
            </w:r>
          </w:p>
        </w:tc>
        <w:tc>
          <w:tcPr>
            <w:tcW w:type="dxa" w:w="383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G2, G3, G7</w:t>
            </w:r>
          </w:p>
        </w:tc>
      </w:tr>
      <w:tr>
        <w:tc>
          <w:tcPr>
            <w:tcW w:type="dxa" w:w="170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10–14 months</w:t>
            </w:r>
          </w:p>
        </w:tc>
        <w:tc>
          <w:tcPr>
            <w:tcW w:type="dxa" w:w="383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Field data (real-user CWV); content-QA breadth; CI/CD + ticketing + CMS integrations; AI-assisted fixes</w:t>
            </w:r>
          </w:p>
        </w:tc>
        <w:tc>
          <w:tcPr>
            <w:tcW w:type="dxa" w:w="3830"/>
            <w:vAlign w:val="center"/>
            <w:tcBorders>
              <w:top w:val="single" w:sz="4" w:space="0" w:color="C7D3DE"/>
              <w:left w:val="single" w:sz="4" w:space="0" w:color="C7D3DE"/>
              <w:bottom w:val="single" w:sz="4" w:space="0" w:color="C7D3DE"/>
              <w:right w:val="single" w:sz="4" w:space="0" w:color="C7D3DE"/>
            </w:tcBorders>
            <w:tcMar>
              <w:top w:w="46" w:type="dxa"/>
              <w:bottom w:w="46" w:type="dxa"/>
              <w:left w:w="90" w:type="dxa"/>
              <w:right w:w="90" w:type="dxa"/>
            </w:tcMar>
          </w:tcPr>
          <w:p>
            <w:pPr>
              <w:spacing w:after="20" w:line="252" w:lineRule="auto"/>
            </w:pPr>
            <w:r/>
            <w:r>
              <w:rPr>
                <w:b w:val="0"/>
                <w:color w:val="1A1A1A"/>
                <w:sz w:val="18"/>
              </w:rPr>
              <w:t>G4, G5, G8</w:t>
            </w:r>
          </w:p>
        </w:tc>
      </w:tr>
      <w:tr>
        <w:tc>
          <w:tcPr>
            <w:tcW w:type="dxa" w:w="170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14–18 months</w:t>
            </w:r>
          </w:p>
        </w:tc>
        <w:tc>
          <w:tcPr>
            <w:tcW w:type="dxa" w:w="383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Indian-language auditing suite; native-app track; lived-experience testing panel; tightened STQC evidence hand-off</w:t>
            </w:r>
          </w:p>
        </w:tc>
        <w:tc>
          <w:tcPr>
            <w:tcW w:type="dxa" w:w="3830"/>
            <w:vAlign w:val="center"/>
            <w:tcBorders>
              <w:top w:val="single" w:sz="4" w:space="0" w:color="C7D3DE"/>
              <w:left w:val="single" w:sz="4" w:space="0" w:color="C7D3DE"/>
              <w:bottom w:val="single" w:sz="4" w:space="0" w:color="C7D3DE"/>
              <w:right w:val="single" w:sz="4" w:space="0" w:color="C7D3DE"/>
            </w:tcBorders>
            <w:shd w:val="clear" w:color="auto" w:fill="F4F8FB"/>
            <w:tcMar>
              <w:top w:w="46" w:type="dxa"/>
              <w:bottom w:w="46" w:type="dxa"/>
              <w:left w:w="90" w:type="dxa"/>
              <w:right w:w="90" w:type="dxa"/>
            </w:tcMar>
          </w:tcPr>
          <w:p>
            <w:pPr>
              <w:spacing w:after="20" w:line="252" w:lineRule="auto"/>
            </w:pPr>
            <w:r/>
            <w:r>
              <w:rPr>
                <w:b w:val="0"/>
                <w:color w:val="1A1A1A"/>
                <w:sz w:val="18"/>
              </w:rPr>
              <w:t>G6, G9, G11, G12</w:t>
            </w:r>
          </w:p>
        </w:tc>
      </w:tr>
    </w:tbl>
    <w:p>
      <w:pPr>
        <w:spacing w:after="80" w:before="0" w:line="276" w:lineRule="auto"/>
      </w:pPr>
    </w:p>
    <w:p>
      <w:pPr>
        <w:spacing w:before="80" w:after="160" w:line="276" w:lineRule="auto"/>
        <w:ind w:left="120"/>
        <w:shd w:val="clear" w:color="auto" w:fill="EEF5FB"/>
        <w:pBdr>
          <w:left w:val="single" w:sz="18" w:space="6" w:color="1F6FB2"/>
          <w:top w:val="single" w:sz="2" w:space="6" w:color="D6E6F2"/>
          <w:bottom w:val="single" w:sz="2" w:space="6" w:color="D6E6F2"/>
          <w:right w:val="single" w:sz="2" w:space="6" w:color="D6E6F2"/>
        </w:pBdr>
      </w:pPr>
      <w:r>
        <w:rPr>
          <w:b/>
          <w:color w:val="0B3D6B"/>
          <w:sz w:val="21"/>
        </w:rPr>
        <w:t xml:space="preserve">The India advantage:  </w:t>
      </w:r>
      <w:r>
        <w:rPr>
          <w:sz w:val="21"/>
        </w:rPr>
        <w:t>If GovUX ships the hybrid-rigour and multilingual capabilities, it will do something no global incumbent does: audit citizen services at national scale, against a national standard, in the languages citizens actually use. That is a credible path not just to ‘world-class’ but to a reference model other governments would study.</w:t>
      </w:r>
    </w:p>
    <w:p>
      <w:pPr>
        <w:pStyle w:val="Heading1"/>
      </w:pPr>
      <w:r>
        <w:t>Appendix A — Sources</w:t>
      </w:r>
    </w:p>
    <w:p>
      <w:pPr>
        <w:pStyle w:val="ListBullet"/>
        <w:spacing w:after="60" w:line="269" w:lineRule="auto"/>
      </w:pPr>
      <w:r>
        <w:rPr>
          <w:sz w:val="21"/>
        </w:rPr>
        <w:t>US GSA Site Scanning programme — open.gsa.gov/api/site-scanning-api and github.com/GSA/site-scanning-documentation (~26,000 federal .gov sites, 100+ data points, daily open data)</w:t>
      </w:r>
    </w:p>
    <w:p>
      <w:pPr>
        <w:pStyle w:val="ListBullet"/>
        <w:spacing w:after="60" w:line="269" w:lineRule="auto"/>
      </w:pPr>
      <w:r>
        <w:rPr>
          <w:sz w:val="21"/>
        </w:rPr>
        <w:t>Digital.gov — how to test websites for accessibility; FedScoop coverage of GSA accessibility findings</w:t>
      </w:r>
    </w:p>
    <w:p>
      <w:pPr>
        <w:pStyle w:val="ListBullet"/>
        <w:spacing w:after="60" w:line="269" w:lineRule="auto"/>
      </w:pPr>
      <w:r>
        <w:rPr>
          <w:sz w:val="21"/>
        </w:rPr>
        <w:t>EU Web Accessibility Directive (2016/2102) monitoring methodology — digital-strategy.ec.europa.eu/en/policies/web-accessibility (two-tier simplified + in-depth)</w:t>
      </w:r>
    </w:p>
    <w:p>
      <w:pPr>
        <w:pStyle w:val="ListBullet"/>
        <w:spacing w:after="60" w:line="269" w:lineRule="auto"/>
      </w:pPr>
      <w:r>
        <w:rPr>
          <w:sz w:val="21"/>
        </w:rPr>
        <w:t>Manual vs automated accessibility testing — TestParty, Deque and UK GDS research (automation catches ~30–40% of WCAG issues)</w:t>
      </w:r>
    </w:p>
    <w:p>
      <w:pPr>
        <w:pStyle w:val="ListBullet"/>
        <w:spacing w:after="60" w:line="269" w:lineRule="auto"/>
      </w:pPr>
      <w:r>
        <w:rPr>
          <w:sz w:val="21"/>
        </w:rPr>
        <w:t>Silktide, Siteimprove, Acquia Optimize (ex-Monsido) — vendor and G2 comparisons; ‘What happened to Monsido?’ (Silktide)</w:t>
      </w:r>
    </w:p>
    <w:p>
      <w:pPr>
        <w:pStyle w:val="ListBullet"/>
        <w:spacing w:after="60" w:line="269" w:lineRule="auto"/>
      </w:pPr>
      <w:r>
        <w:rPr>
          <w:sz w:val="21"/>
        </w:rPr>
        <w:t>Baymard Institute — UX-Ray and AI heuristic evaluation methodology (baymard.com/product/ux-ray)</w:t>
      </w:r>
    </w:p>
    <w:p>
      <w:pPr>
        <w:pStyle w:val="ListBullet"/>
        <w:spacing w:after="60" w:line="269" w:lineRule="auto"/>
      </w:pPr>
      <w:r>
        <w:rPr>
          <w:sz w:val="21"/>
        </w:rPr>
        <w:t>Google Lighthouse — automated accessibility &amp; performance scoring (developer.chrome.com/docs/lighthouse)</w:t>
      </w:r>
    </w:p>
    <w:p>
      <w:pPr>
        <w:spacing w:after="120" w:before="200" w:line="276" w:lineRule="auto"/>
        <w:jc w:val="center"/>
        <w:pBdr>
          <w:top w:val="single" w:sz="4" w:space="6" w:color="C7D3DE"/>
        </w:pBdr>
      </w:pPr>
      <w:r>
        <w:rPr>
          <w:b w:val="0"/>
          <w:i/>
          <w:color w:val="5A6B7B"/>
          <w:sz w:val="20"/>
        </w:rPr>
        <w:t>— End of Benchmark &amp; Gap Analysis —</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Bdr>
        <w:top w:val="single" w:sz="4" w:space="6" w:color="C7D3DE"/>
      </w:pBdr>
    </w:pPr>
    <w:r/>
    <w:r>
      <w:rPr>
        <w:color w:val="5A6B7B"/>
        <w:sz w:val="16"/>
      </w:rPr>
      <w:t>Official — v1.0</w:t>
    </w:r>
    <w:r>
      <w:rPr>
        <w:color w:val="5A6B7B"/>
        <w:sz w:val="16"/>
      </w:rPr>
      <w:tab/>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Bdr>
        <w:bottom w:val="single" w:sz="4" w:space="6" w:color="C7D3DE"/>
      </w:pBdr>
    </w:pPr>
    <w:r/>
    <w:r>
      <w:rPr>
        <w:b/>
        <w:color w:val="0B3D6B"/>
        <w:sz w:val="16"/>
      </w:rPr>
      <w:t>GovUX Audit Platform</w:t>
    </w:r>
    <w:r>
      <w:rPr>
        <w:color w:val="5A6B7B"/>
        <w:sz w:val="16"/>
      </w:rPr>
      <w:tab/>
      <w:t>Competitive Benchmark &amp; Gap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Bdr>
        <w:bottom w:val="single" w:sz="6" w:space="4" w:color="1F6FB2"/>
      </w:pBdr>
    </w:pPr>
    <w:rPr>
      <w:rFonts w:asciiTheme="majorHAnsi" w:eastAsiaTheme="majorEastAsia" w:hAnsiTheme="majorHAnsi" w:cstheme="majorBidi" w:ascii="Calibri" w:hAnsi="Calibri"/>
      <w:b/>
      <w:bCs/>
      <w:color w:val="0B3D6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6FB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E4A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