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8"/>
          <w:sz w:val="60"/>
        </w:rPr>
        <w:t>ServiceForm AI</w:t>
      </w:r>
    </w:p>
    <w:p>
      <w:pPr>
        <w:jc w:val="center"/>
      </w:pPr>
      <w:r>
        <w:rPr>
          <w:rFonts w:ascii="Aptos Display" w:hAnsi="Aptos Display"/>
          <w:b/>
          <w:color w:val="1F2937"/>
          <w:sz w:val="40"/>
        </w:rPr>
        <w:t>Building Block Engineering Specifications &amp; Integration Contracts</w:t>
      </w:r>
    </w:p>
    <w:p>
      <w:pPr>
        <w:jc w:val="center"/>
      </w:pPr>
      <w:r>
        <w:t>Companion to AWS Component Functional &amp; Technical Specification v1.7</w:t>
      </w:r>
    </w:p>
    <w:p/>
    <w:tbl>
      <w:tblPr>
        <w:tblW w:type="auto" w:w="0"/>
        <w:jc w:val="center"/>
        <w:tblLayout w:type="fixed"/>
        <w:tblLook w:firstColumn="1" w:firstRow="1" w:lastColumn="0" w:lastRow="0" w:noHBand="0" w:noVBand="1" w:val="04A0"/>
      </w:tblPr>
      <w:tblGrid>
        <w:gridCol w:w="9792"/>
      </w:tblGrid>
      <w:tr>
        <w:tc>
          <w:tcPr>
            <w:tcW w:type="dxa" w:w="10166"/>
            <w:shd w:fill="D9EAF7"/>
            <w:tcMar>
              <w:top w:w="130" w:type="dxa"/>
              <w:start w:w="150" w:type="dxa"/>
              <w:bottom w:w="130" w:type="dxa"/>
              <w:end w:w="150" w:type="dxa"/>
            </w:tcMar>
          </w:tcPr>
          <w:p>
            <w:pPr>
              <w:spacing w:after="60"/>
            </w:pPr>
            <w:r>
              <w:rPr>
                <w:rFonts w:ascii="Aptos" w:hAnsi="Aptos"/>
                <w:b/>
                <w:color w:val="1F4E78"/>
              </w:rPr>
              <w:t>Purpose</w:t>
            </w:r>
          </w:p>
          <w:p>
            <w:pPr>
              <w:spacing w:after="0"/>
            </w:pPr>
            <w:r>
              <w:rPr>
                <w:rFonts w:ascii="Aptos" w:hAnsi="Aptos"/>
                <w:sz w:val="21"/>
              </w:rPr>
              <w:t>Implementation-ready specifications for all 61 logical building blocks, their ownership boundaries, APIs, events, tenant/security rules, non-functional requirements, failure behavior, acceptance tests and cross-component integration flows. This document is intended for developers, architects, QA teams and AI coding agents.</w:t>
            </w:r>
          </w:p>
        </w:tc>
      </w:tr>
    </w:tbl>
    <w:p>
      <w:pPr>
        <w:spacing w:after="20"/>
      </w:pP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Version</w:t>
            </w:r>
          </w:p>
        </w:tc>
        <w:tc>
          <w:tcPr>
            <w:tcW w:type="dxa" w:w="7128"/>
            <w:tcMar>
              <w:top w:w="90" w:type="dxa"/>
              <w:start w:w="100" w:type="dxa"/>
              <w:bottom w:w="90" w:type="dxa"/>
              <w:end w:w="100" w:type="dxa"/>
            </w:tcMar>
            <w:vAlign w:val="center"/>
          </w:tcPr>
          <w:p>
            <w:r>
              <w:t>1.4</w:t>
            </w:r>
          </w:p>
        </w:tc>
      </w:tr>
      <w:tr>
        <w:tc>
          <w:tcPr>
            <w:tcW w:type="dxa" w:w="2664"/>
            <w:shd w:fill="F3F4F6"/>
            <w:tcMar>
              <w:top w:w="90" w:type="dxa"/>
              <w:start w:w="100" w:type="dxa"/>
              <w:bottom w:w="90" w:type="dxa"/>
              <w:end w:w="100" w:type="dxa"/>
            </w:tcMar>
            <w:vAlign w:val="center"/>
          </w:tcPr>
          <w:p>
            <w:r>
              <w:rPr>
                <w:rFonts w:ascii="Aptos" w:hAnsi="Aptos"/>
                <w:b/>
                <w:color w:val="1F2937"/>
                <w:sz w:val="19"/>
              </w:rPr>
              <w:t>Architecture baseline</w:t>
            </w:r>
          </w:p>
        </w:tc>
        <w:tc>
          <w:tcPr>
            <w:tcW w:type="dxa" w:w="7128"/>
            <w:tcMar>
              <w:top w:w="90" w:type="dxa"/>
              <w:start w:w="100" w:type="dxa"/>
              <w:bottom w:w="90" w:type="dxa"/>
              <w:end w:w="100" w:type="dxa"/>
            </w:tcMar>
            <w:vAlign w:val="center"/>
          </w:tcPr>
          <w:p>
            <w:r>
              <w:t>ServiceForm AI AWS v1.7</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database</w:t>
            </w:r>
          </w:p>
        </w:tc>
        <w:tc>
          <w:tcPr>
            <w:tcW w:type="dxa" w:w="7128"/>
            <w:tcMar>
              <w:top w:w="90" w:type="dxa"/>
              <w:start w:w="100" w:type="dxa"/>
              <w:bottom w:w="90" w:type="dxa"/>
              <w:end w:w="100" w:type="dxa"/>
            </w:tcMar>
            <w:vAlign w:val="center"/>
          </w:tcPr>
          <w:p>
            <w:r>
              <w:rPr>
                <w:rFonts w:ascii="Aptos" w:hAnsi="Aptos"/>
                <w:sz w:val="19"/>
              </w:rPr>
              <w:t>Aurora PostgreSQL (authoritative v1 datastore)</w:t>
            </w:r>
          </w:p>
        </w:tc>
      </w:tr>
      <w:tr>
        <w:tc>
          <w:tcPr>
            <w:tcW w:type="dxa" w:w="2664"/>
            <w:shd w:fill="F3F4F6"/>
            <w:tcMar>
              <w:top w:w="90" w:type="dxa"/>
              <w:start w:w="100" w:type="dxa"/>
              <w:bottom w:w="90" w:type="dxa"/>
              <w:end w:w="100" w:type="dxa"/>
            </w:tcMar>
            <w:vAlign w:val="center"/>
          </w:tcPr>
          <w:p>
            <w:r>
              <w:rPr>
                <w:rFonts w:ascii="Aptos" w:hAnsi="Aptos"/>
                <w:b/>
                <w:color w:val="1F2937"/>
                <w:sz w:val="19"/>
              </w:rPr>
              <w:t>Workflow</w:t>
            </w:r>
          </w:p>
        </w:tc>
        <w:tc>
          <w:tcPr>
            <w:tcW w:type="dxa" w:w="7128"/>
            <w:tcMar>
              <w:top w:w="90" w:type="dxa"/>
              <w:start w:w="100" w:type="dxa"/>
              <w:bottom w:w="90" w:type="dxa"/>
              <w:end w:w="100" w:type="dxa"/>
            </w:tcMar>
            <w:vAlign w:val="center"/>
          </w:tcPr>
          <w:p>
            <w:r>
              <w:rPr>
                <w:rFonts w:ascii="Aptos" w:hAnsi="Aptos"/>
                <w:sz w:val="19"/>
              </w:rPr>
              <w:t>Temporal behind ServiceForm Workflow DSL</w:t>
            </w:r>
          </w:p>
        </w:tc>
      </w:tr>
      <w:tr>
        <w:tc>
          <w:tcPr>
            <w:tcW w:type="dxa" w:w="2664"/>
            <w:shd w:fill="F3F4F6"/>
            <w:tcMar>
              <w:top w:w="90" w:type="dxa"/>
              <w:start w:w="100" w:type="dxa"/>
              <w:bottom w:w="90" w:type="dxa"/>
              <w:end w:w="100" w:type="dxa"/>
            </w:tcMar>
            <w:vAlign w:val="center"/>
          </w:tcPr>
          <w:p>
            <w:r>
              <w:rPr>
                <w:rFonts w:ascii="Aptos" w:hAnsi="Aptos"/>
                <w:b/>
                <w:color w:val="1F2937"/>
                <w:sz w:val="19"/>
              </w:rPr>
              <w:t>Authorization</w:t>
            </w:r>
          </w:p>
        </w:tc>
        <w:tc>
          <w:tcPr>
            <w:tcW w:type="dxa" w:w="7128"/>
            <w:tcMar>
              <w:top w:w="90" w:type="dxa"/>
              <w:start w:w="100" w:type="dxa"/>
              <w:bottom w:w="90" w:type="dxa"/>
              <w:end w:w="100" w:type="dxa"/>
            </w:tcMar>
            <w:vAlign w:val="center"/>
          </w:tcPr>
          <w:p>
            <w:r>
              <w:rPr>
                <w:rFonts w:ascii="Aptos" w:hAnsi="Aptos"/>
                <w:sz w:val="19"/>
              </w:rPr>
              <w:t>OPA + PostgreSQL FORCE RLS</w:t>
            </w:r>
          </w:p>
        </w:tc>
      </w:tr>
      <w:tr>
        <w:tc>
          <w:tcPr>
            <w:tcW w:type="dxa" w:w="2664"/>
            <w:shd w:fill="F3F4F6"/>
            <w:tcMar>
              <w:top w:w="90" w:type="dxa"/>
              <w:start w:w="100" w:type="dxa"/>
              <w:bottom w:w="90" w:type="dxa"/>
              <w:end w:w="100" w:type="dxa"/>
            </w:tcMar>
            <w:vAlign w:val="center"/>
          </w:tcPr>
          <w:p>
            <w:r>
              <w:rPr>
                <w:rFonts w:ascii="Aptos" w:hAnsi="Aptos"/>
                <w:b/>
                <w:color w:val="1F2937"/>
                <w:sz w:val="19"/>
              </w:rPr>
              <w:t>Rules</w:t>
            </w:r>
          </w:p>
        </w:tc>
        <w:tc>
          <w:tcPr>
            <w:tcW w:type="dxa" w:w="7128"/>
            <w:tcMar>
              <w:top w:w="90" w:type="dxa"/>
              <w:start w:w="100" w:type="dxa"/>
              <w:bottom w:w="90" w:type="dxa"/>
              <w:end w:w="100" w:type="dxa"/>
            </w:tcMar>
            <w:vAlign w:val="center"/>
          </w:tcPr>
          <w:p>
            <w:r>
              <w:rPr>
                <w:rFonts w:ascii="Aptos" w:hAnsi="Aptos"/>
                <w:sz w:val="19"/>
              </w:rPr>
              <w:t>GoRules ZEN / portable deterministic rules</w:t>
            </w:r>
          </w:p>
        </w:tc>
      </w:tr>
      <w:tr>
        <w:tc>
          <w:tcPr>
            <w:tcW w:type="dxa" w:w="2664"/>
            <w:shd w:fill="F3F4F6"/>
            <w:tcMar>
              <w:top w:w="90" w:type="dxa"/>
              <w:start w:w="100" w:type="dxa"/>
              <w:bottom w:w="90" w:type="dxa"/>
              <w:end w:w="100" w:type="dxa"/>
            </w:tcMar>
            <w:vAlign w:val="center"/>
          </w:tcPr>
          <w:p>
            <w:r>
              <w:rPr>
                <w:rFonts w:ascii="Aptos" w:hAnsi="Aptos"/>
                <w:b/>
                <w:color w:val="1F2937"/>
                <w:sz w:val="19"/>
              </w:rPr>
              <w:t>Status</w:t>
            </w:r>
          </w:p>
        </w:tc>
        <w:tc>
          <w:tcPr>
            <w:tcW w:type="dxa" w:w="7128"/>
            <w:tcMar>
              <w:top w:w="90" w:type="dxa"/>
              <w:start w:w="100" w:type="dxa"/>
              <w:bottom w:w="90" w:type="dxa"/>
              <w:end w:w="100" w:type="dxa"/>
            </w:tcMar>
            <w:vAlign w:val="center"/>
          </w:tcPr>
          <w:p>
            <w:r>
              <w:t>Design specification + AI-assisted multi-agent development, verification and internal engineering certification framework; runtime certification requires executed evidence.</w:t>
            </w:r>
          </w:p>
        </w:tc>
      </w:tr>
    </w:tbl>
    <w:p>
      <w:pPr>
        <w:spacing w:after="40"/>
      </w:pPr>
    </w:p>
    <w:p>
      <w:r>
        <w:rPr>
          <w:b/>
        </w:rPr>
        <w:t>Normative principle: no building block may reach into another block's tables as an integration mechanism. Integration occurs through published APIs, events, shared contracts or explicitly approved internal libraries.</w:t>
      </w:r>
    </w:p>
    <w:p>
      <w:r>
        <w:br w:type="page"/>
      </w:r>
    </w:p>
    <w:p>
      <w:pPr>
        <w:pStyle w:val="Heading1"/>
      </w:pPr>
      <w:r>
        <w:t>Document Map</w:t>
      </w:r>
    </w:p>
    <w:p>
      <w:pPr>
        <w:pStyle w:val="ListBullet"/>
        <w:spacing w:after="40" w:line="259" w:lineRule="auto"/>
      </w:pPr>
      <w:r>
        <w:rPr>
          <w:rFonts w:ascii="Aptos" w:hAnsi="Aptos"/>
        </w:rPr>
        <w:t>1. How to Use This Specification</w:t>
      </w:r>
    </w:p>
    <w:p>
      <w:pPr>
        <w:pStyle w:val="ListBullet"/>
        <w:spacing w:after="40" w:line="259" w:lineRule="auto"/>
      </w:pPr>
      <w:r>
        <w:rPr>
          <w:rFonts w:ascii="Aptos" w:hAnsi="Aptos"/>
        </w:rPr>
        <w:t>2. System Boundary and Building-Block Model</w:t>
      </w:r>
    </w:p>
    <w:p>
      <w:pPr>
        <w:pStyle w:val="ListBullet"/>
        <w:spacing w:after="40" w:line="259" w:lineRule="auto"/>
      </w:pPr>
      <w:r>
        <w:rPr>
          <w:rFonts w:ascii="Aptos" w:hAnsi="Aptos"/>
        </w:rPr>
        <w:t>3. Cross-Cutting Contracts Every Block Must Follow</w:t>
      </w:r>
    </w:p>
    <w:p>
      <w:pPr>
        <w:pStyle w:val="ListBullet"/>
        <w:spacing w:after="40" w:line="259" w:lineRule="auto"/>
      </w:pPr>
      <w:r>
        <w:rPr>
          <w:rFonts w:ascii="Aptos" w:hAnsi="Aptos"/>
        </w:rPr>
        <w:t>4. Building Block Specifications (CMP-001 to CMP-061)</w:t>
      </w:r>
    </w:p>
    <w:p>
      <w:pPr>
        <w:pStyle w:val="ListBullet"/>
      </w:pPr>
      <w:r>
        <w:t>PART III - Section 20: Multi-Agent AI Development, Orchestration, Integration &amp; Certification</w:t>
      </w:r>
    </w:p>
    <w:p>
      <w:pPr>
        <w:pStyle w:val="Heading2"/>
      </w:pPr>
      <w:r>
        <w:rPr>
          <w:b w:val="0"/>
        </w:rPr>
        <w:t>CMP-056  Scheduler &amp; Appointment Service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tcMar>
              <w:top w:w="80" w:type="dxa"/>
              <w:start w:w="100" w:type="dxa"/>
              <w:bottom w:w="80" w:type="dxa"/>
              <w:end w:w="100" w:type="dxa"/>
            </w:tcMar>
          </w:tcPr>
          <w:p>
            <w:r>
              <w:rPr>
                <w:b w:val="0"/>
                <w:color w:val="333333"/>
                <w:sz w:val="18"/>
              </w:rPr>
              <w:t>Classification</w:t>
            </w:r>
          </w:p>
        </w:tc>
        <w:tc>
          <w:tcPr>
            <w:tcW w:type="dxa" w:w="8208"/>
            <w:vAlign w:val="center"/>
            <w:tcMar>
              <w:top w:w="80" w:type="dxa"/>
              <w:start w:w="100" w:type="dxa"/>
              <w:bottom w:w="80" w:type="dxa"/>
              <w:end w:w="100" w:type="dxa"/>
            </w:tcMar>
          </w:tcPr>
          <w:p>
            <w:r>
              <w:rPr>
                <w:b w:val="0"/>
                <w:color w:val="333333"/>
                <w:sz w:val="18"/>
              </w:rPr>
              <w:t>Shared Domain Service</w:t>
            </w:r>
          </w:p>
        </w:tc>
      </w:tr>
      <w:tr>
        <w:trPr>
          <w:cantSplit/>
        </w:trPr>
        <w:tc>
          <w:tcPr>
            <w:tcW w:type="dxa" w:w="2160"/>
            <w:vAlign w:val="center"/>
            <w:tcMar>
              <w:top w:w="80" w:type="dxa"/>
              <w:start w:w="100" w:type="dxa"/>
              <w:bottom w:w="80" w:type="dxa"/>
              <w:end w:w="100" w:type="dxa"/>
            </w:tcMar>
          </w:tcPr>
          <w:p>
            <w:r>
              <w:rPr>
                <w:b w:val="0"/>
                <w:color w:val="333333"/>
                <w:sz w:val="18"/>
              </w:rPr>
              <w:t>Purpose</w:t>
            </w:r>
          </w:p>
        </w:tc>
        <w:tc>
          <w:tcPr>
            <w:tcW w:type="dxa" w:w="8208"/>
            <w:vAlign w:val="center"/>
            <w:tcMar>
              <w:top w:w="80" w:type="dxa"/>
              <w:start w:w="100" w:type="dxa"/>
              <w:bottom w:w="80" w:type="dxa"/>
              <w:end w:w="100" w:type="dxa"/>
            </w:tcMar>
          </w:tcPr>
          <w:p>
            <w:r>
              <w:rPr>
                <w:b w:val="0"/>
                <w:color w:val="333333"/>
                <w:sz w:val="18"/>
              </w:rPr>
              <w:t>Provide reusable appointment, hearing, interview, counter-visit and inspection scheduling without embedding calendar logic inside individual services.</w:t>
            </w:r>
          </w:p>
        </w:tc>
      </w:tr>
      <w:tr>
        <w:trPr>
          <w:cantSplit/>
        </w:trPr>
        <w:tc>
          <w:tcPr>
            <w:tcW w:type="dxa" w:w="2160"/>
            <w:vAlign w:val="center"/>
            <w:tcMar>
              <w:top w:w="80" w:type="dxa"/>
              <w:start w:w="100" w:type="dxa"/>
              <w:bottom w:w="80" w:type="dxa"/>
              <w:end w:w="100" w:type="dxa"/>
            </w:tcMar>
          </w:tcPr>
          <w:p>
            <w:r>
              <w:rPr>
                <w:b w:val="0"/>
                <w:color w:val="333333"/>
                <w:sz w:val="18"/>
              </w:rPr>
              <w:t>Tenant model</w:t>
            </w:r>
          </w:p>
        </w:tc>
        <w:tc>
          <w:tcPr>
            <w:tcW w:type="dxa" w:w="8208"/>
            <w:vAlign w:val="center"/>
            <w:tcMar>
              <w:top w:w="80" w:type="dxa"/>
              <w:start w:w="100" w:type="dxa"/>
              <w:bottom w:w="80" w:type="dxa"/>
              <w:end w:w="100" w:type="dxa"/>
            </w:tcMar>
          </w:tcPr>
          <w:p>
            <w:r>
              <w:rPr>
                <w:b w:val="0"/>
                <w:color w:val="333333"/>
                <w:sz w:val="18"/>
              </w:rPr>
              <w:t>Tenant/service/office calendars and capacity are tenant scoped; public slot discovery exposes only published availability and never hidden officer calendars.</w:t>
            </w:r>
          </w:p>
        </w:tc>
      </w:tr>
      <w:tr>
        <w:trPr>
          <w:cantSplit/>
        </w:trPr>
        <w:tc>
          <w:tcPr>
            <w:tcW w:type="dxa" w:w="2160"/>
            <w:vAlign w:val="center"/>
            <w:tcMar>
              <w:top w:w="80" w:type="dxa"/>
              <w:start w:w="100" w:type="dxa"/>
              <w:bottom w:w="80" w:type="dxa"/>
              <w:end w:w="100" w:type="dxa"/>
            </w:tcMar>
          </w:tcPr>
          <w:p>
            <w:r>
              <w:rPr>
                <w:b w:val="0"/>
                <w:color w:val="333333"/>
                <w:sz w:val="18"/>
              </w:rPr>
              <w:t>Primary NFR</w:t>
            </w:r>
          </w:p>
        </w:tc>
        <w:tc>
          <w:tcPr>
            <w:tcW w:type="dxa" w:w="8208"/>
            <w:vAlign w:val="center"/>
            <w:tcMar>
              <w:top w:w="80" w:type="dxa"/>
              <w:start w:w="100" w:type="dxa"/>
              <w:bottom w:w="80" w:type="dxa"/>
              <w:end w:w="100" w:type="dxa"/>
            </w:tcMar>
          </w:tcPr>
          <w:p>
            <w:r>
              <w:rPr>
                <w:b w:val="0"/>
                <w:color w:val="333333"/>
                <w:sz w:val="18"/>
              </w:rPr>
              <w:t>Slot search p95 &lt;500 ms for normal load; booking uses atomic capacity control and idempotency; calendar generation is cacheable and horizontally scalable.</w:t>
            </w:r>
          </w:p>
        </w:tc>
      </w:tr>
    </w:tbl>
    <w:p>
      <w:pPr>
        <w:pStyle w:val="Heading3"/>
      </w:pPr>
      <w:r>
        <w:rPr>
          <w:b w:val="0"/>
        </w:rPr>
        <w:t>Responsibilities</w:t>
      </w:r>
    </w:p>
    <w:p>
      <w:pPr>
        <w:pStyle w:val="ListBullet"/>
      </w:pPr>
      <w:r>
        <w:rPr>
          <w:b w:val="0"/>
        </w:rPr>
        <w:t>Appointment type and slot-template configuration</w:t>
      </w:r>
    </w:p>
    <w:p>
      <w:pPr>
        <w:pStyle w:val="ListBullet"/>
      </w:pPr>
      <w:r>
        <w:rPr>
          <w:b w:val="0"/>
        </w:rPr>
        <w:t>Office/resource/role capacity calendars</w:t>
      </w:r>
    </w:p>
    <w:p>
      <w:pPr>
        <w:pStyle w:val="ListBullet"/>
      </w:pPr>
      <w:r>
        <w:rPr>
          <w:b w:val="0"/>
        </w:rPr>
        <w:t>Book, reschedule, cancel and wait-list operations</w:t>
      </w:r>
    </w:p>
    <w:p>
      <w:pPr>
        <w:pStyle w:val="ListBullet"/>
      </w:pPr>
      <w:r>
        <w:rPr>
          <w:b w:val="0"/>
        </w:rPr>
        <w:t>Inspection/hearing/interview scheduling</w:t>
      </w:r>
    </w:p>
    <w:p>
      <w:pPr>
        <w:pStyle w:val="ListBullet"/>
      </w:pPr>
      <w:r>
        <w:rPr>
          <w:b w:val="0"/>
        </w:rPr>
        <w:t>Holiday, blackout and working-calendar integration</w:t>
      </w:r>
    </w:p>
    <w:p>
      <w:pPr>
        <w:pStyle w:val="ListBullet"/>
      </w:pPr>
      <w:r>
        <w:rPr>
          <w:b w:val="0"/>
        </w:rPr>
        <w:t>Reminder and no-show events</w:t>
      </w:r>
    </w:p>
    <w:p>
      <w:pPr>
        <w:pStyle w:val="Heading3"/>
      </w:pPr>
      <w:r>
        <w:rPr>
          <w:b w:val="0"/>
        </w:rPr>
        <w:t>Explicit non-responsibilities</w:t>
      </w:r>
    </w:p>
    <w:p>
      <w:pPr>
        <w:pStyle w:val="ListBullet"/>
      </w:pPr>
      <w:r>
        <w:rPr>
          <w:b w:val="0"/>
        </w:rPr>
        <w:t>Does not own application/case decisions</w:t>
      </w:r>
    </w:p>
    <w:p>
      <w:pPr>
        <w:pStyle w:val="ListBullet"/>
      </w:pPr>
      <w:r>
        <w:rPr>
          <w:b w:val="0"/>
        </w:rPr>
        <w:t>Does not directly send SMS/email; uses Notification Service</w:t>
      </w:r>
    </w:p>
    <w:p>
      <w:pPr>
        <w:pStyle w:val="ListBullet"/>
      </w:pPr>
      <w:r>
        <w:rPr>
          <w:b w:val="0"/>
        </w:rPr>
        <w:t>Does not make officer authorization decisions; OPA remains authoritative</w:t>
      </w:r>
    </w:p>
    <w:p>
      <w:pPr>
        <w:pStyle w:val="Heading3"/>
      </w:pPr>
      <w:r>
        <w:rPr>
          <w:b w:val="0"/>
        </w:rPr>
        <w:t>Authoritative data / state</w:t>
      </w:r>
    </w:p>
    <w:p>
      <w:pPr>
        <w:pStyle w:val="ListBullet"/>
      </w:pPr>
      <w:r>
        <w:rPr>
          <w:b w:val="0"/>
        </w:rPr>
        <w:t>appointment_type</w:t>
      </w:r>
    </w:p>
    <w:p>
      <w:pPr>
        <w:pStyle w:val="ListBullet"/>
      </w:pPr>
      <w:r>
        <w:rPr>
          <w:b w:val="0"/>
        </w:rPr>
        <w:t>schedule_template</w:t>
      </w:r>
    </w:p>
    <w:p>
      <w:pPr>
        <w:pStyle w:val="ListBullet"/>
      </w:pPr>
      <w:r>
        <w:rPr>
          <w:b w:val="0"/>
        </w:rPr>
        <w:t>resource_calendar</w:t>
      </w:r>
    </w:p>
    <w:p>
      <w:pPr>
        <w:pStyle w:val="ListBullet"/>
      </w:pPr>
      <w:r>
        <w:rPr>
          <w:b w:val="0"/>
        </w:rPr>
        <w:t>appointment</w:t>
      </w:r>
    </w:p>
    <w:p>
      <w:pPr>
        <w:pStyle w:val="ListBullet"/>
      </w:pPr>
      <w:r>
        <w:rPr>
          <w:b w:val="0"/>
        </w:rPr>
        <w:t>appointment_participant</w:t>
      </w:r>
    </w:p>
    <w:p>
      <w:pPr>
        <w:pStyle w:val="ListBullet"/>
      </w:pPr>
      <w:r>
        <w:rPr>
          <w:b w:val="0"/>
        </w:rPr>
        <w:t>appointment_event</w:t>
      </w:r>
    </w:p>
    <w:p>
      <w:pPr>
        <w:pStyle w:val="Heading3"/>
      </w:pPr>
      <w:r>
        <w:rPr>
          <w:b w:val="0"/>
        </w:rPr>
        <w:t>Primary interfaces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tcMar>
              <w:top w:w="80" w:type="dxa"/>
              <w:start w:w="100" w:type="dxa"/>
              <w:bottom w:w="80" w:type="dxa"/>
              <w:end w:w="100" w:type="dxa"/>
            </w:tcMar>
            <w:shd w:fill="EAF1F8"/>
          </w:tcPr>
          <w:p>
            <w:r>
              <w:rPr>
                <w:b/>
                <w:color w:val="17365D"/>
                <w:sz w:val="18"/>
              </w:rPr>
              <w:t>Type</w:t>
            </w:r>
          </w:p>
        </w:tc>
        <w:tc>
          <w:tcPr>
            <w:tcW w:type="dxa" w:w="8496"/>
            <w:vAlign w:val="center"/>
            <w:tcMar>
              <w:top w:w="80" w:type="dxa"/>
              <w:start w:w="100" w:type="dxa"/>
              <w:bottom w:w="80" w:type="dxa"/>
              <w:end w:w="100" w:type="dxa"/>
            </w:tcMar>
            <w:shd w:fill="EAF1F8"/>
          </w:tcPr>
          <w:p>
            <w:r>
              <w:rPr>
                <w:b/>
                <w:color w:val="17365D"/>
                <w:sz w:val="18"/>
              </w:rPr>
              <w:t>Interface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/appointments/slots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/appointments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/appointments/{id}/reschedule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/appointments/{id}/cancel</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/appointments/{id}</w:t>
            </w:r>
          </w:p>
        </w:tc>
      </w:tr>
    </w:tbl>
    <w:p>
      <w:pPr>
        <w:pStyle w:val="Heading3"/>
      </w:pPr>
      <w:r>
        <w:rPr>
          <w:b w:val="0"/>
        </w:rPr>
        <w:t>Events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tcMar>
              <w:top w:w="80" w:type="dxa"/>
              <w:start w:w="100" w:type="dxa"/>
              <w:bottom w:w="80" w:type="dxa"/>
              <w:end w:w="100" w:type="dxa"/>
            </w:tcMar>
            <w:shd w:fill="EAF1F8"/>
          </w:tcPr>
          <w:p>
            <w:r>
              <w:rPr>
                <w:b/>
                <w:color w:val="17365D"/>
                <w:sz w:val="18"/>
              </w:rPr>
              <w:t>Direction</w:t>
            </w:r>
          </w:p>
        </w:tc>
        <w:tc>
          <w:tcPr>
            <w:tcW w:type="dxa" w:w="8064"/>
            <w:vAlign w:val="center"/>
            <w:tcMar>
              <w:top w:w="80" w:type="dxa"/>
              <w:start w:w="100" w:type="dxa"/>
              <w:bottom w:w="80" w:type="dxa"/>
              <w:end w:w="100" w:type="dxa"/>
            </w:tcMar>
            <w:shd w:fill="EAF1F8"/>
          </w:tcPr>
          <w:p>
            <w:r>
              <w:rPr>
                <w:b/>
                <w:color w:val="17365D"/>
                <w:sz w:val="18"/>
              </w:rPr>
              <w:t>Event / Contract</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AppointmentBooked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AppointmentRescheduled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AppointmentCancelled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AppointmentCompleted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AppointmentNoShow</w:t>
            </w:r>
          </w:p>
        </w:tc>
      </w:tr>
    </w:tbl>
    <w:p>
      <w:pPr>
        <w:pStyle w:val="Heading3"/>
      </w:pPr>
      <w:r>
        <w:rPr>
          <w:b w:val="0"/>
        </w:rPr>
        <w:t>Dependencies and integration</w:t>
      </w:r>
    </w:p>
    <w:p>
      <w:pPr>
        <w:pStyle w:val="ListBullet"/>
      </w:pPr>
      <w:r>
        <w:rPr>
          <w:b w:val="0"/>
        </w:rPr>
        <w:t>CMP-002 Tenant &amp; Organisation</w:t>
      </w:r>
    </w:p>
    <w:p>
      <w:pPr>
        <w:pStyle w:val="ListBullet"/>
      </w:pPr>
      <w:r>
        <w:rPr>
          <w:b w:val="0"/>
        </w:rPr>
        <w:t>CMP-003 Jurisdiction</w:t>
      </w:r>
    </w:p>
    <w:p>
      <w:pPr>
        <w:pStyle w:val="ListBullet"/>
      </w:pPr>
      <w:r>
        <w:rPr>
          <w:b w:val="0"/>
        </w:rPr>
        <w:t>CMP-017 Work Queue</w:t>
      </w:r>
    </w:p>
    <w:p>
      <w:pPr>
        <w:pStyle w:val="ListBullet"/>
      </w:pPr>
      <w:r>
        <w:rPr>
          <w:b w:val="0"/>
        </w:rPr>
        <w:t>CMP-025 Notification</w:t>
      </w:r>
    </w:p>
    <w:p>
      <w:pPr>
        <w:pStyle w:val="ListBullet"/>
      </w:pPr>
      <w:r>
        <w:rPr>
          <w:b w:val="0"/>
        </w:rPr>
        <w:t>CMP-029 SLA</w:t>
      </w:r>
    </w:p>
    <w:p>
      <w:pPr>
        <w:pStyle w:val="ListBullet"/>
      </w:pPr>
      <w:r>
        <w:rPr>
          <w:b w:val="0"/>
        </w:rPr>
        <w:t>CMP-048 Security</w:t>
      </w:r>
    </w:p>
    <w:p>
      <w:pPr>
        <w:pStyle w:val="Heading3"/>
      </w:pPr>
      <w:r>
        <w:rPr>
          <w:b w:val="0"/>
        </w:rPr>
        <w:t>Failure behavior and safeguards</w:t>
      </w:r>
    </w:p>
    <w:p>
      <w:pPr>
        <w:pStyle w:val="ListBullet"/>
      </w:pPr>
      <w:r>
        <w:rPr>
          <w:b w:val="0"/>
        </w:rPr>
        <w:t>Concurrent last-slot booking</w:t>
      </w:r>
    </w:p>
    <w:p>
      <w:pPr>
        <w:pStyle w:val="ListBullet"/>
      </w:pPr>
      <w:r>
        <w:rPr>
          <w:b w:val="0"/>
        </w:rPr>
        <w:t>Calendar/provider outage</w:t>
      </w:r>
    </w:p>
    <w:p>
      <w:pPr>
        <w:pStyle w:val="ListBullet"/>
      </w:pPr>
      <w:r>
        <w:rPr>
          <w:b w:val="0"/>
        </w:rPr>
        <w:t>Officer/resource unavailable</w:t>
      </w:r>
    </w:p>
    <w:p>
      <w:pPr>
        <w:pStyle w:val="ListBullet"/>
      </w:pPr>
      <w:r>
        <w:rPr>
          <w:b w:val="0"/>
        </w:rPr>
        <w:t>Timezone/holiday mismatch</w:t>
      </w:r>
    </w:p>
    <w:p>
      <w:pPr>
        <w:pStyle w:val="ListBullet"/>
      </w:pPr>
      <w:r>
        <w:rPr>
          <w:b w:val="0"/>
        </w:rPr>
        <w:t>Duplicate booking command</w:t>
      </w:r>
    </w:p>
    <w:p>
      <w:pPr>
        <w:pStyle w:val="Heading3"/>
      </w:pPr>
      <w:r>
        <w:rPr>
          <w:b w:val="0"/>
        </w:rPr>
        <w:t>Minimum acceptance tests</w:t>
      </w:r>
    </w:p>
    <w:p>
      <w:pPr>
        <w:pStyle w:val="ListBullet"/>
      </w:pPr>
      <w:r>
        <w:rPr>
          <w:b w:val="0"/>
        </w:rPr>
        <w:t>Atomic capacity: two concurrent requests cannot overbook a single-capacity slot.</w:t>
      </w:r>
    </w:p>
    <w:p>
      <w:pPr>
        <w:pStyle w:val="ListBullet"/>
      </w:pPr>
      <w:r>
        <w:rPr>
          <w:b w:val="0"/>
        </w:rPr>
        <w:t>Appointment access is tenant/jurisdiction scoped and OPA protected.</w:t>
      </w:r>
    </w:p>
    <w:p>
      <w:pPr>
        <w:pStyle w:val="ListBullet"/>
      </w:pPr>
      <w:r>
        <w:rPr>
          <w:b w:val="0"/>
        </w:rPr>
        <w:t>Notification failure does not invalidate a committed booking.</w:t>
      </w:r>
    </w:p>
    <w:p>
      <w:pPr>
        <w:pStyle w:val="ListBullet"/>
      </w:pPr>
      <w:r>
        <w:rPr>
          <w:b w:val="0"/>
        </w:rPr>
        <w:t>Inspection/workflow can wait on appointment events without polling.</w:t>
      </w:r>
    </w:p>
    <w:p>
      <w:pPr>
        <w:pStyle w:val="ListBullet"/>
      </w:pPr>
      <w:r>
        <w:rPr>
          <w:b w:val="0"/>
        </w:rPr>
        <w:t>Unauthorized and wrong-tenant requests are denied without data leakage.</w:t>
      </w:r>
    </w:p>
    <w:p>
      <w:pPr>
        <w:pStyle w:val="ListBullet"/>
      </w:pPr>
      <w:r>
        <w:rPr>
          <w:b w:val="0"/>
        </w:rPr>
        <w:t>Duplicate command/event/callback does not create duplicate business effect.</w:t>
      </w:r>
    </w:p>
    <w:p>
      <w:pPr>
        <w:pStyle w:val="ListBullet"/>
      </w:pPr>
      <w:r>
        <w:rPr>
          <w:b w:val="0"/>
        </w:rPr>
        <w:t>Audit/trace/correlation metadata is emitted for material actions.</w:t>
      </w:r>
    </w:p>
    <w:p>
      <w:pPr>
        <w:pStyle w:val="ListBullet"/>
      </w:pPr>
      <w:r>
        <w:rPr>
          <w:b w:val="0"/>
        </w:rPr>
        <w:t>Schema/version incompatibility fails explicitly rather than silently changing behavior.</w:t>
      </w:r>
    </w:p>
    <w:p>
      <w:pPr>
        <w:pStyle w:val="Heading2"/>
      </w:pPr>
      <w:r>
        <w:rPr>
          <w:b w:val="0"/>
        </w:rPr>
        <w:t>CMP-057  Assisted Service / Omnichannel Service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tcMar>
              <w:top w:w="80" w:type="dxa"/>
              <w:start w:w="100" w:type="dxa"/>
              <w:bottom w:w="80" w:type="dxa"/>
              <w:end w:w="100" w:type="dxa"/>
            </w:tcMar>
          </w:tcPr>
          <w:p>
            <w:r>
              <w:rPr>
                <w:b w:val="0"/>
                <w:color w:val="333333"/>
                <w:sz w:val="18"/>
              </w:rPr>
              <w:t>Classification</w:t>
            </w:r>
          </w:p>
        </w:tc>
        <w:tc>
          <w:tcPr>
            <w:tcW w:type="dxa" w:w="8208"/>
            <w:vAlign w:val="center"/>
            <w:tcMar>
              <w:top w:w="80" w:type="dxa"/>
              <w:start w:w="100" w:type="dxa"/>
              <w:bottom w:w="80" w:type="dxa"/>
              <w:end w:w="100" w:type="dxa"/>
            </w:tcMar>
          </w:tcPr>
          <w:p>
            <w:r>
              <w:rPr>
                <w:b w:val="0"/>
                <w:color w:val="333333"/>
                <w:sz w:val="18"/>
              </w:rPr>
              <w:t>Citizen &amp; Channel Domain</w:t>
            </w:r>
          </w:p>
        </w:tc>
      </w:tr>
      <w:tr>
        <w:trPr>
          <w:cantSplit/>
        </w:trPr>
        <w:tc>
          <w:tcPr>
            <w:tcW w:type="dxa" w:w="2160"/>
            <w:vAlign w:val="center"/>
            <w:tcMar>
              <w:top w:w="80" w:type="dxa"/>
              <w:start w:w="100" w:type="dxa"/>
              <w:bottom w:w="80" w:type="dxa"/>
              <w:end w:w="100" w:type="dxa"/>
            </w:tcMar>
          </w:tcPr>
          <w:p>
            <w:r>
              <w:rPr>
                <w:b w:val="0"/>
                <w:color w:val="333333"/>
                <w:sz w:val="18"/>
              </w:rPr>
              <w:t>Purpose</w:t>
            </w:r>
          </w:p>
        </w:tc>
        <w:tc>
          <w:tcPr>
            <w:tcW w:type="dxa" w:w="8208"/>
            <w:vAlign w:val="center"/>
            <w:tcMar>
              <w:top w:w="80" w:type="dxa"/>
              <w:start w:w="100" w:type="dxa"/>
              <w:bottom w:w="80" w:type="dxa"/>
              <w:end w:w="100" w:type="dxa"/>
            </w:tcMar>
          </w:tcPr>
          <w:p>
            <w:r>
              <w:rPr>
                <w:b w:val="0"/>
                <w:color w:val="333333"/>
                <w:sz w:val="18"/>
              </w:rPr>
              <w:t>Support legally auditable applications made with assistance through counters, CSC/kiosks, call centres, authorized representatives, guardians or institutional operators.</w:t>
            </w:r>
          </w:p>
        </w:tc>
      </w:tr>
      <w:tr>
        <w:trPr>
          <w:cantSplit/>
        </w:trPr>
        <w:tc>
          <w:tcPr>
            <w:tcW w:type="dxa" w:w="2160"/>
            <w:vAlign w:val="center"/>
            <w:tcMar>
              <w:top w:w="80" w:type="dxa"/>
              <w:start w:w="100" w:type="dxa"/>
              <w:bottom w:w="80" w:type="dxa"/>
              <w:end w:w="100" w:type="dxa"/>
            </w:tcMar>
          </w:tcPr>
          <w:p>
            <w:r>
              <w:rPr>
                <w:b w:val="0"/>
                <w:color w:val="333333"/>
                <w:sz w:val="18"/>
              </w:rPr>
              <w:t>Tenant model</w:t>
            </w:r>
          </w:p>
        </w:tc>
        <w:tc>
          <w:tcPr>
            <w:tcW w:type="dxa" w:w="8208"/>
            <w:vAlign w:val="center"/>
            <w:tcMar>
              <w:top w:w="80" w:type="dxa"/>
              <w:start w:w="100" w:type="dxa"/>
              <w:bottom w:w="80" w:type="dxa"/>
              <w:end w:w="100" w:type="dxa"/>
            </w:tcMar>
          </w:tcPr>
          <w:p>
            <w:r>
              <w:rPr>
                <w:b w:val="0"/>
                <w:color w:val="333333"/>
                <w:sz w:val="18"/>
              </w:rPr>
              <w:t>Assisted operators are tenant/organisation/office scoped. Every transaction records applied_by, applied_for, representation basis, channel, consent and operator context.</w:t>
            </w:r>
          </w:p>
        </w:tc>
      </w:tr>
      <w:tr>
        <w:trPr>
          <w:cantSplit/>
        </w:trPr>
        <w:tc>
          <w:tcPr>
            <w:tcW w:type="dxa" w:w="2160"/>
            <w:vAlign w:val="center"/>
            <w:tcMar>
              <w:top w:w="80" w:type="dxa"/>
              <w:start w:w="100" w:type="dxa"/>
              <w:bottom w:w="80" w:type="dxa"/>
              <w:end w:w="100" w:type="dxa"/>
            </w:tcMar>
          </w:tcPr>
          <w:p>
            <w:r>
              <w:rPr>
                <w:b w:val="0"/>
                <w:color w:val="333333"/>
                <w:sz w:val="18"/>
              </w:rPr>
              <w:t>Primary NFR</w:t>
            </w:r>
          </w:p>
        </w:tc>
        <w:tc>
          <w:tcPr>
            <w:tcW w:type="dxa" w:w="8208"/>
            <w:vAlign w:val="center"/>
            <w:tcMar>
              <w:top w:w="80" w:type="dxa"/>
              <w:start w:w="100" w:type="dxa"/>
              <w:bottom w:w="80" w:type="dxa"/>
              <w:end w:w="100" w:type="dxa"/>
            </w:tcMar>
          </w:tcPr>
          <w:p>
            <w:r>
              <w:rPr>
                <w:b w:val="0"/>
                <w:color w:val="333333"/>
                <w:sz w:val="18"/>
              </w:rPr>
              <w:t>Counter UX must support intermittent networks and rapid citizen lookup without weakening identity, consent, tenant or audit controls.</w:t>
            </w:r>
          </w:p>
        </w:tc>
      </w:tr>
    </w:tbl>
    <w:p>
      <w:pPr>
        <w:pStyle w:val="Heading3"/>
      </w:pPr>
      <w:r>
        <w:rPr>
          <w:b w:val="0"/>
        </w:rPr>
        <w:t>Responsibilities</w:t>
      </w:r>
    </w:p>
    <w:p>
      <w:pPr>
        <w:pStyle w:val="ListBullet"/>
      </w:pPr>
      <w:r>
        <w:rPr>
          <w:b w:val="0"/>
        </w:rPr>
        <w:t>Assisted-application session lifecycle</w:t>
      </w:r>
    </w:p>
    <w:p>
      <w:pPr>
        <w:pStyle w:val="ListBullet"/>
      </w:pPr>
      <w:r>
        <w:rPr>
          <w:b w:val="0"/>
        </w:rPr>
        <w:t>Applicant-versus-operator identity separation</w:t>
      </w:r>
    </w:p>
    <w:p>
      <w:pPr>
        <w:pStyle w:val="ListBullet"/>
      </w:pPr>
      <w:r>
        <w:rPr>
          <w:b w:val="0"/>
        </w:rPr>
        <w:t>Representation/guardian/authorized-agent evidence</w:t>
      </w:r>
    </w:p>
    <w:p>
      <w:pPr>
        <w:pStyle w:val="ListBullet"/>
      </w:pPr>
      <w:r>
        <w:rPr>
          <w:b w:val="0"/>
        </w:rPr>
        <w:t>Counter/CSC/call-centre channel context</w:t>
      </w:r>
    </w:p>
    <w:p>
      <w:pPr>
        <w:pStyle w:val="ListBullet"/>
      </w:pPr>
      <w:r>
        <w:rPr>
          <w:b w:val="0"/>
        </w:rPr>
        <w:t>Assisted consent and read-back acknowledgement</w:t>
      </w:r>
    </w:p>
    <w:p>
      <w:pPr>
        <w:pStyle w:val="ListBullet"/>
      </w:pPr>
      <w:r>
        <w:rPr>
          <w:b w:val="0"/>
        </w:rPr>
        <w:t>Draft handoff between assisted and self-service channels</w:t>
      </w:r>
    </w:p>
    <w:p>
      <w:pPr>
        <w:pStyle w:val="Heading3"/>
      </w:pPr>
      <w:r>
        <w:rPr>
          <w:b w:val="0"/>
        </w:rPr>
        <w:t>Explicit non-responsibilities</w:t>
      </w:r>
    </w:p>
    <w:p>
      <w:pPr>
        <w:pStyle w:val="ListBullet"/>
      </w:pPr>
      <w:r>
        <w:rPr>
          <w:b w:val="0"/>
        </w:rPr>
        <w:t>Does not allow operators to impersonate citizens silently</w:t>
      </w:r>
    </w:p>
    <w:p>
      <w:pPr>
        <w:pStyle w:val="ListBullet"/>
      </w:pPr>
      <w:r>
        <w:rPr>
          <w:b w:val="0"/>
        </w:rPr>
        <w:t>Does not bypass statutory identity/assurance requirements</w:t>
      </w:r>
    </w:p>
    <w:p>
      <w:pPr>
        <w:pStyle w:val="ListBullet"/>
      </w:pPr>
      <w:r>
        <w:rPr>
          <w:b w:val="0"/>
        </w:rPr>
        <w:t>Does not grant cross-tenant access to operators</w:t>
      </w:r>
    </w:p>
    <w:p>
      <w:pPr>
        <w:pStyle w:val="Heading3"/>
      </w:pPr>
      <w:r>
        <w:rPr>
          <w:b w:val="0"/>
        </w:rPr>
        <w:t>Authoritative data / state</w:t>
      </w:r>
    </w:p>
    <w:p>
      <w:pPr>
        <w:pStyle w:val="ListBullet"/>
      </w:pPr>
      <w:r>
        <w:rPr>
          <w:b w:val="0"/>
        </w:rPr>
        <w:t>assisted_session</w:t>
      </w:r>
    </w:p>
    <w:p>
      <w:pPr>
        <w:pStyle w:val="ListBullet"/>
      </w:pPr>
      <w:r>
        <w:rPr>
          <w:b w:val="0"/>
        </w:rPr>
        <w:t>representation_authority</w:t>
      </w:r>
    </w:p>
    <w:p>
      <w:pPr>
        <w:pStyle w:val="ListBullet"/>
      </w:pPr>
      <w:r>
        <w:rPr>
          <w:b w:val="0"/>
        </w:rPr>
        <w:t>channel_context</w:t>
      </w:r>
    </w:p>
    <w:p>
      <w:pPr>
        <w:pStyle w:val="ListBullet"/>
      </w:pPr>
      <w:r>
        <w:rPr>
          <w:b w:val="0"/>
        </w:rPr>
        <w:t>assisted_consent</w:t>
      </w:r>
    </w:p>
    <w:p>
      <w:pPr>
        <w:pStyle w:val="ListBullet"/>
      </w:pPr>
      <w:r>
        <w:rPr>
          <w:b w:val="0"/>
        </w:rPr>
        <w:t>operator_action_audit</w:t>
      </w:r>
    </w:p>
    <w:p>
      <w:pPr>
        <w:pStyle w:val="Heading3"/>
      </w:pPr>
      <w:r>
        <w:rPr>
          <w:b w:val="0"/>
        </w:rPr>
        <w:t>Primary interfaces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tcMar>
              <w:top w:w="80" w:type="dxa"/>
              <w:start w:w="100" w:type="dxa"/>
              <w:bottom w:w="80" w:type="dxa"/>
              <w:end w:w="100" w:type="dxa"/>
            </w:tcMar>
            <w:shd w:fill="EAF1F8"/>
          </w:tcPr>
          <w:p>
            <w:r>
              <w:rPr>
                <w:b/>
                <w:color w:val="17365D"/>
                <w:sz w:val="18"/>
              </w:rPr>
              <w:t>Type</w:t>
            </w:r>
          </w:p>
        </w:tc>
        <w:tc>
          <w:tcPr>
            <w:tcW w:type="dxa" w:w="8496"/>
            <w:vAlign w:val="center"/>
            <w:tcMar>
              <w:top w:w="80" w:type="dxa"/>
              <w:start w:w="100" w:type="dxa"/>
              <w:bottom w:w="80" w:type="dxa"/>
              <w:end w:w="100" w:type="dxa"/>
            </w:tcMar>
            <w:shd w:fill="EAF1F8"/>
          </w:tcPr>
          <w:p>
            <w:r>
              <w:rPr>
                <w:b/>
                <w:color w:val="17365D"/>
                <w:sz w:val="18"/>
              </w:rPr>
              <w:t>Interface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/assisted/sessions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/assisted/sessions/{id}/applicant</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/assisted/sessions/{id}/representation</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/assisted/sessions/{id}/handoff</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/assisted/sessions/{id}</w:t>
            </w:r>
          </w:p>
        </w:tc>
      </w:tr>
    </w:tbl>
    <w:p>
      <w:pPr>
        <w:pStyle w:val="Heading3"/>
      </w:pPr>
      <w:r>
        <w:rPr>
          <w:b w:val="0"/>
        </w:rPr>
        <w:t>Events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tcMar>
              <w:top w:w="80" w:type="dxa"/>
              <w:start w:w="100" w:type="dxa"/>
              <w:bottom w:w="80" w:type="dxa"/>
              <w:end w:w="100" w:type="dxa"/>
            </w:tcMar>
            <w:shd w:fill="EAF1F8"/>
          </w:tcPr>
          <w:p>
            <w:r>
              <w:rPr>
                <w:b/>
                <w:color w:val="17365D"/>
                <w:sz w:val="18"/>
              </w:rPr>
              <w:t>Direction</w:t>
            </w:r>
          </w:p>
        </w:tc>
        <w:tc>
          <w:tcPr>
            <w:tcW w:type="dxa" w:w="8064"/>
            <w:vAlign w:val="center"/>
            <w:tcMar>
              <w:top w:w="80" w:type="dxa"/>
              <w:start w:w="100" w:type="dxa"/>
              <w:bottom w:w="80" w:type="dxa"/>
              <w:end w:w="100" w:type="dxa"/>
            </w:tcMar>
            <w:shd w:fill="EAF1F8"/>
          </w:tcPr>
          <w:p>
            <w:r>
              <w:rPr>
                <w:b/>
                <w:color w:val="17365D"/>
                <w:sz w:val="18"/>
              </w:rPr>
              <w:t>Event / Contract</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AssistedSessionStarted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RepresentationVerified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AssistedApplicationSubmitted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AssistedSessionHandedOff</w:t>
            </w:r>
          </w:p>
        </w:tc>
      </w:tr>
    </w:tbl>
    <w:p>
      <w:pPr>
        <w:pStyle w:val="Heading3"/>
      </w:pPr>
      <w:r>
        <w:rPr>
          <w:b w:val="0"/>
        </w:rPr>
        <w:t>Dependencies and integration</w:t>
      </w:r>
    </w:p>
    <w:p>
      <w:pPr>
        <w:pStyle w:val="ListBullet"/>
      </w:pPr>
      <w:r>
        <w:rPr>
          <w:b w:val="0"/>
        </w:rPr>
        <w:t>CMP-004 Identity</w:t>
      </w:r>
    </w:p>
    <w:p>
      <w:pPr>
        <w:pStyle w:val="ListBullet"/>
      </w:pPr>
      <w:r>
        <w:rPr>
          <w:b w:val="0"/>
        </w:rPr>
        <w:t>CMP-005 Citizen Profile</w:t>
      </w:r>
    </w:p>
    <w:p>
      <w:pPr>
        <w:pStyle w:val="ListBullet"/>
      </w:pPr>
      <w:r>
        <w:rPr>
          <w:b w:val="0"/>
        </w:rPr>
        <w:t>CMP-015 Application</w:t>
      </w:r>
    </w:p>
    <w:p>
      <w:pPr>
        <w:pStyle w:val="ListBullet"/>
      </w:pPr>
      <w:r>
        <w:rPr>
          <w:b w:val="0"/>
        </w:rPr>
        <w:t>CMP-030 Consent</w:t>
      </w:r>
    </w:p>
    <w:p>
      <w:pPr>
        <w:pStyle w:val="ListBullet"/>
      </w:pPr>
      <w:r>
        <w:rPr>
          <w:b w:val="0"/>
        </w:rPr>
        <w:t>CMP-031 Audit</w:t>
      </w:r>
    </w:p>
    <w:p>
      <w:pPr>
        <w:pStyle w:val="ListBullet"/>
      </w:pPr>
      <w:r>
        <w:rPr>
          <w:b w:val="0"/>
        </w:rPr>
        <w:t>CMP-048 Security</w:t>
      </w:r>
    </w:p>
    <w:p>
      <w:pPr>
        <w:pStyle w:val="Heading3"/>
      </w:pPr>
      <w:r>
        <w:rPr>
          <w:b w:val="0"/>
        </w:rPr>
        <w:t>Failure behavior and safeguards</w:t>
      </w:r>
    </w:p>
    <w:p>
      <w:pPr>
        <w:pStyle w:val="ListBullet"/>
      </w:pPr>
      <w:r>
        <w:rPr>
          <w:b w:val="0"/>
        </w:rPr>
        <w:t>Operator attempts self-approval</w:t>
      </w:r>
    </w:p>
    <w:p>
      <w:pPr>
        <w:pStyle w:val="ListBullet"/>
      </w:pPr>
      <w:r>
        <w:rPr>
          <w:b w:val="0"/>
        </w:rPr>
        <w:t>Representation expired</w:t>
      </w:r>
    </w:p>
    <w:p>
      <w:pPr>
        <w:pStyle w:val="ListBullet"/>
      </w:pPr>
      <w:r>
        <w:rPr>
          <w:b w:val="0"/>
        </w:rPr>
        <w:t>Applicant/operator tenant mismatch</w:t>
      </w:r>
    </w:p>
    <w:p>
      <w:pPr>
        <w:pStyle w:val="ListBullet"/>
      </w:pPr>
      <w:r>
        <w:rPr>
          <w:b w:val="0"/>
        </w:rPr>
        <w:t>Consent not captured</w:t>
      </w:r>
    </w:p>
    <w:p>
      <w:pPr>
        <w:pStyle w:val="ListBullet"/>
      </w:pPr>
      <w:r>
        <w:rPr>
          <w:b w:val="0"/>
        </w:rPr>
        <w:t>Handoff token misuse</w:t>
      </w:r>
    </w:p>
    <w:p>
      <w:pPr>
        <w:pStyle w:val="Heading3"/>
      </w:pPr>
      <w:r>
        <w:rPr>
          <w:b w:val="0"/>
        </w:rPr>
        <w:t>Minimum acceptance tests</w:t>
      </w:r>
    </w:p>
    <w:p>
      <w:pPr>
        <w:pStyle w:val="ListBullet"/>
      </w:pPr>
      <w:r>
        <w:rPr>
          <w:b w:val="0"/>
        </w:rPr>
        <w:t>Every assisted application can prove who applied, for whom, under what authority and through which channel.</w:t>
      </w:r>
    </w:p>
    <w:p>
      <w:pPr>
        <w:pStyle w:val="ListBullet"/>
      </w:pPr>
      <w:r>
        <w:rPr>
          <w:b w:val="0"/>
        </w:rPr>
        <w:t>Operator cannot exceed OPA role/jurisdiction scope.</w:t>
      </w:r>
    </w:p>
    <w:p>
      <w:pPr>
        <w:pStyle w:val="ListBullet"/>
      </w:pPr>
      <w:r>
        <w:rPr>
          <w:b w:val="0"/>
        </w:rPr>
        <w:t>Citizen can resume an eligible assisted draft through self-service without changing citizen_id or application identity.</w:t>
      </w:r>
    </w:p>
    <w:p>
      <w:pPr>
        <w:pStyle w:val="ListBullet"/>
      </w:pPr>
      <w:r>
        <w:rPr>
          <w:b w:val="0"/>
        </w:rPr>
        <w:t>Unauthorized and wrong-tenant requests are denied without data leakage.</w:t>
      </w:r>
    </w:p>
    <w:p>
      <w:pPr>
        <w:pStyle w:val="ListBullet"/>
      </w:pPr>
      <w:r>
        <w:rPr>
          <w:b w:val="0"/>
        </w:rPr>
        <w:t>Duplicate command/event/callback does not create duplicate business effect.</w:t>
      </w:r>
    </w:p>
    <w:p>
      <w:pPr>
        <w:pStyle w:val="ListBullet"/>
      </w:pPr>
      <w:r>
        <w:rPr>
          <w:b w:val="0"/>
        </w:rPr>
        <w:t>Audit/trace/correlation metadata is emitted for material actions.</w:t>
      </w:r>
    </w:p>
    <w:p>
      <w:pPr>
        <w:pStyle w:val="ListBullet"/>
      </w:pPr>
      <w:r>
        <w:rPr>
          <w:b w:val="0"/>
        </w:rPr>
        <w:t>Schema/version incompatibility fails explicitly rather than silently changing behavior.</w:t>
      </w:r>
    </w:p>
    <w:p>
      <w:pPr>
        <w:pStyle w:val="Heading2"/>
      </w:pPr>
      <w:r>
        <w:rPr>
          <w:b w:val="0"/>
        </w:rPr>
        <w:t>CMP-058  Government Semantic &amp; Data Dictionary Registry</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tcMar>
              <w:top w:w="80" w:type="dxa"/>
              <w:start w:w="100" w:type="dxa"/>
              <w:bottom w:w="80" w:type="dxa"/>
              <w:end w:w="100" w:type="dxa"/>
            </w:tcMar>
          </w:tcPr>
          <w:p>
            <w:r>
              <w:rPr>
                <w:b w:val="0"/>
                <w:color w:val="333333"/>
                <w:sz w:val="18"/>
              </w:rPr>
              <w:t>Classification</w:t>
            </w:r>
          </w:p>
        </w:tc>
        <w:tc>
          <w:tcPr>
            <w:tcW w:type="dxa" w:w="8208"/>
            <w:vAlign w:val="center"/>
            <w:tcMar>
              <w:top w:w="80" w:type="dxa"/>
              <w:start w:w="100" w:type="dxa"/>
              <w:bottom w:w="80" w:type="dxa"/>
              <w:end w:w="100" w:type="dxa"/>
            </w:tcMar>
          </w:tcPr>
          <w:p>
            <w:r>
              <w:rPr>
                <w:b w:val="0"/>
                <w:color w:val="333333"/>
                <w:sz w:val="18"/>
              </w:rPr>
              <w:t>Control Plane / Semantic Governance</w:t>
            </w:r>
          </w:p>
        </w:tc>
      </w:tr>
      <w:tr>
        <w:trPr>
          <w:cantSplit/>
        </w:trPr>
        <w:tc>
          <w:tcPr>
            <w:tcW w:type="dxa" w:w="2160"/>
            <w:vAlign w:val="center"/>
            <w:tcMar>
              <w:top w:w="80" w:type="dxa"/>
              <w:start w:w="100" w:type="dxa"/>
              <w:bottom w:w="80" w:type="dxa"/>
              <w:end w:w="100" w:type="dxa"/>
            </w:tcMar>
          </w:tcPr>
          <w:p>
            <w:r>
              <w:rPr>
                <w:b w:val="0"/>
                <w:color w:val="333333"/>
                <w:sz w:val="18"/>
              </w:rPr>
              <w:t>Purpose</w:t>
            </w:r>
          </w:p>
        </w:tc>
        <w:tc>
          <w:tcPr>
            <w:tcW w:type="dxa" w:w="8208"/>
            <w:vAlign w:val="center"/>
            <w:tcMar>
              <w:top w:w="80" w:type="dxa"/>
              <w:start w:w="100" w:type="dxa"/>
              <w:bottom w:w="80" w:type="dxa"/>
              <w:end w:w="100" w:type="dxa"/>
            </w:tcMar>
          </w:tcPr>
          <w:p>
            <w:r>
              <w:rPr>
                <w:b w:val="0"/>
                <w:color w:val="333333"/>
                <w:sz w:val="18"/>
              </w:rPr>
              <w:t>Define canonical government data elements, code lists, validation semantics, privacy classification and translations so services reuse common meanings instead of inventing field variants.</w:t>
            </w:r>
          </w:p>
        </w:tc>
      </w:tr>
      <w:tr>
        <w:trPr>
          <w:cantSplit/>
        </w:trPr>
        <w:tc>
          <w:tcPr>
            <w:tcW w:type="dxa" w:w="2160"/>
            <w:vAlign w:val="center"/>
            <w:tcMar>
              <w:top w:w="80" w:type="dxa"/>
              <w:start w:w="100" w:type="dxa"/>
              <w:bottom w:w="80" w:type="dxa"/>
              <w:end w:w="100" w:type="dxa"/>
            </w:tcMar>
          </w:tcPr>
          <w:p>
            <w:r>
              <w:rPr>
                <w:b w:val="0"/>
                <w:color w:val="333333"/>
                <w:sz w:val="18"/>
              </w:rPr>
              <w:t>Tenant model</w:t>
            </w:r>
          </w:p>
        </w:tc>
        <w:tc>
          <w:tcPr>
            <w:tcW w:type="dxa" w:w="8208"/>
            <w:vAlign w:val="center"/>
            <w:tcMar>
              <w:top w:w="80" w:type="dxa"/>
              <w:start w:w="100" w:type="dxa"/>
              <w:bottom w:w="80" w:type="dxa"/>
              <w:end w:w="100" w:type="dxa"/>
            </w:tcMar>
          </w:tcPr>
          <w:p>
            <w:r>
              <w:rPr>
                <w:b w:val="0"/>
                <w:color w:val="333333"/>
                <w:sz w:val="18"/>
              </w:rPr>
              <w:t>Core semantic elements are global/versioned; tenant extensions are namespaced and cannot silently redefine canonical semantics.</w:t>
            </w:r>
          </w:p>
        </w:tc>
      </w:tr>
      <w:tr>
        <w:trPr>
          <w:cantSplit/>
        </w:trPr>
        <w:tc>
          <w:tcPr>
            <w:tcW w:type="dxa" w:w="2160"/>
            <w:vAlign w:val="center"/>
            <w:tcMar>
              <w:top w:w="80" w:type="dxa"/>
              <w:start w:w="100" w:type="dxa"/>
              <w:bottom w:w="80" w:type="dxa"/>
              <w:end w:w="100" w:type="dxa"/>
            </w:tcMar>
          </w:tcPr>
          <w:p>
            <w:r>
              <w:rPr>
                <w:b w:val="0"/>
                <w:color w:val="333333"/>
                <w:sz w:val="18"/>
              </w:rPr>
              <w:t>Primary NFR</w:t>
            </w:r>
          </w:p>
        </w:tc>
        <w:tc>
          <w:tcPr>
            <w:tcW w:type="dxa" w:w="8208"/>
            <w:vAlign w:val="center"/>
            <w:tcMar>
              <w:top w:w="80" w:type="dxa"/>
              <w:start w:w="100" w:type="dxa"/>
              <w:bottom w:w="80" w:type="dxa"/>
              <w:end w:w="100" w:type="dxa"/>
            </w:tcMar>
          </w:tcPr>
          <w:p>
            <w:r>
              <w:rPr>
                <w:b w:val="0"/>
                <w:color w:val="333333"/>
                <w:sz w:val="18"/>
              </w:rPr>
              <w:t>Highly cacheable read path; publication and dependency validation strongly consistent; schema changes versioned and impact-analyzed.</w:t>
            </w:r>
          </w:p>
        </w:tc>
      </w:tr>
    </w:tbl>
    <w:p>
      <w:pPr>
        <w:pStyle w:val="Heading3"/>
      </w:pPr>
      <w:r>
        <w:rPr>
          <w:b w:val="0"/>
        </w:rPr>
        <w:t>Responsibilities</w:t>
      </w:r>
    </w:p>
    <w:p>
      <w:pPr>
        <w:pStyle w:val="ListBullet"/>
      </w:pPr>
      <w:r>
        <w:rPr>
          <w:b w:val="0"/>
        </w:rPr>
        <w:t>Canonical data-element registry</w:t>
      </w:r>
    </w:p>
    <w:p>
      <w:pPr>
        <w:pStyle w:val="ListBullet"/>
      </w:pPr>
      <w:r>
        <w:rPr>
          <w:b w:val="0"/>
        </w:rPr>
        <w:t>Datatype/format/validation metadata</w:t>
      </w:r>
    </w:p>
    <w:p>
      <w:pPr>
        <w:pStyle w:val="ListBullet"/>
      </w:pPr>
      <w:r>
        <w:rPr>
          <w:b w:val="0"/>
        </w:rPr>
        <w:t>Privacy/purpose/retention classification defaults</w:t>
      </w:r>
    </w:p>
    <w:p>
      <w:pPr>
        <w:pStyle w:val="ListBullet"/>
      </w:pPr>
      <w:r>
        <w:rPr>
          <w:b w:val="0"/>
        </w:rPr>
        <w:t>Reference/code-list binding</w:t>
      </w:r>
    </w:p>
    <w:p>
      <w:pPr>
        <w:pStyle w:val="ListBullet"/>
      </w:pPr>
      <w:r>
        <w:rPr>
          <w:b w:val="0"/>
        </w:rPr>
        <w:t>Multilingual labels and aliases</w:t>
      </w:r>
    </w:p>
    <w:p>
      <w:pPr>
        <w:pStyle w:val="ListBullet"/>
      </w:pPr>
      <w:r>
        <w:rPr>
          <w:b w:val="0"/>
        </w:rPr>
        <w:t>Mapping from legacy/local fields to canonical elements</w:t>
      </w:r>
    </w:p>
    <w:p>
      <w:pPr>
        <w:pStyle w:val="Heading3"/>
      </w:pPr>
      <w:r>
        <w:rPr>
          <w:b w:val="0"/>
        </w:rPr>
        <w:t>Explicit non-responsibilities</w:t>
      </w:r>
    </w:p>
    <w:p>
      <w:pPr>
        <w:pStyle w:val="ListBullet"/>
      </w:pPr>
      <w:r>
        <w:rPr>
          <w:b w:val="0"/>
        </w:rPr>
        <w:t>Does not store citizen field values</w:t>
      </w:r>
    </w:p>
    <w:p>
      <w:pPr>
        <w:pStyle w:val="ListBullet"/>
      </w:pPr>
      <w:r>
        <w:rPr>
          <w:b w:val="0"/>
        </w:rPr>
        <w:t>Does not replace service-specific rules</w:t>
      </w:r>
    </w:p>
    <w:p>
      <w:pPr>
        <w:pStyle w:val="ListBullet"/>
      </w:pPr>
      <w:r>
        <w:rPr>
          <w:b w:val="0"/>
        </w:rPr>
        <w:t>Does not permit incompatible tenant overrides of canonical meaning</w:t>
      </w:r>
    </w:p>
    <w:p>
      <w:pPr>
        <w:pStyle w:val="Heading3"/>
      </w:pPr>
      <w:r>
        <w:rPr>
          <w:b w:val="0"/>
        </w:rPr>
        <w:t>Authoritative data / state</w:t>
      </w:r>
    </w:p>
    <w:p>
      <w:pPr>
        <w:pStyle w:val="ListBullet"/>
      </w:pPr>
      <w:r>
        <w:rPr>
          <w:b w:val="0"/>
        </w:rPr>
        <w:t>semantic_element</w:t>
      </w:r>
    </w:p>
    <w:p>
      <w:pPr>
        <w:pStyle w:val="ListBullet"/>
      </w:pPr>
      <w:r>
        <w:rPr>
          <w:b w:val="0"/>
        </w:rPr>
        <w:t>semantic_version</w:t>
      </w:r>
    </w:p>
    <w:p>
      <w:pPr>
        <w:pStyle w:val="ListBullet"/>
      </w:pPr>
      <w:r>
        <w:rPr>
          <w:b w:val="0"/>
        </w:rPr>
        <w:t>semantic_alias</w:t>
      </w:r>
    </w:p>
    <w:p>
      <w:pPr>
        <w:pStyle w:val="ListBullet"/>
      </w:pPr>
      <w:r>
        <w:rPr>
          <w:b w:val="0"/>
        </w:rPr>
        <w:t>semantic_mapping</w:t>
      </w:r>
    </w:p>
    <w:p>
      <w:pPr>
        <w:pStyle w:val="ListBullet"/>
      </w:pPr>
      <w:r>
        <w:rPr>
          <w:b w:val="0"/>
        </w:rPr>
        <w:t>code_list_binding</w:t>
      </w:r>
    </w:p>
    <w:p>
      <w:pPr>
        <w:pStyle w:val="ListBullet"/>
      </w:pPr>
      <w:r>
        <w:rPr>
          <w:b w:val="0"/>
        </w:rPr>
        <w:t>semantic_usage</w:t>
      </w:r>
    </w:p>
    <w:p>
      <w:pPr>
        <w:pStyle w:val="Heading3"/>
      </w:pPr>
      <w:r>
        <w:rPr>
          <w:b w:val="0"/>
        </w:rPr>
        <w:t>Primary interfaces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tcMar>
              <w:top w:w="80" w:type="dxa"/>
              <w:start w:w="100" w:type="dxa"/>
              <w:bottom w:w="80" w:type="dxa"/>
              <w:end w:w="100" w:type="dxa"/>
            </w:tcMar>
            <w:shd w:fill="EAF1F8"/>
          </w:tcPr>
          <w:p>
            <w:r>
              <w:rPr>
                <w:b/>
                <w:color w:val="17365D"/>
                <w:sz w:val="18"/>
              </w:rPr>
              <w:t>Type</w:t>
            </w:r>
          </w:p>
        </w:tc>
        <w:tc>
          <w:tcPr>
            <w:tcW w:type="dxa" w:w="8496"/>
            <w:vAlign w:val="center"/>
            <w:tcMar>
              <w:top w:w="80" w:type="dxa"/>
              <w:start w:w="100" w:type="dxa"/>
              <w:bottom w:w="80" w:type="dxa"/>
              <w:end w:w="100" w:type="dxa"/>
            </w:tcMar>
            <w:shd w:fill="EAF1F8"/>
          </w:tcPr>
          <w:p>
            <w:r>
              <w:rPr>
                <w:b/>
                <w:color w:val="17365D"/>
                <w:sz w:val="18"/>
              </w:rPr>
              <w:t>Interface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/semantics/elements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/semantics/elements/{id}</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/admin/semantics/elements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/semantics/mappings/validate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/semantics/usage/{id}</w:t>
            </w:r>
          </w:p>
        </w:tc>
      </w:tr>
    </w:tbl>
    <w:p>
      <w:pPr>
        <w:pStyle w:val="Heading3"/>
      </w:pPr>
      <w:r>
        <w:rPr>
          <w:b w:val="0"/>
        </w:rPr>
        <w:t>Events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tcMar>
              <w:top w:w="80" w:type="dxa"/>
              <w:start w:w="100" w:type="dxa"/>
              <w:bottom w:w="80" w:type="dxa"/>
              <w:end w:w="100" w:type="dxa"/>
            </w:tcMar>
            <w:shd w:fill="EAF1F8"/>
          </w:tcPr>
          <w:p>
            <w:r>
              <w:rPr>
                <w:b/>
                <w:color w:val="17365D"/>
                <w:sz w:val="18"/>
              </w:rPr>
              <w:t>Direction</w:t>
            </w:r>
          </w:p>
        </w:tc>
        <w:tc>
          <w:tcPr>
            <w:tcW w:type="dxa" w:w="8064"/>
            <w:vAlign w:val="center"/>
            <w:tcMar>
              <w:top w:w="80" w:type="dxa"/>
              <w:start w:w="100" w:type="dxa"/>
              <w:bottom w:w="80" w:type="dxa"/>
              <w:end w:w="100" w:type="dxa"/>
            </w:tcMar>
            <w:shd w:fill="EAF1F8"/>
          </w:tcPr>
          <w:p>
            <w:r>
              <w:rPr>
                <w:b/>
                <w:color w:val="17365D"/>
                <w:sz w:val="18"/>
              </w:rPr>
              <w:t>Event / Contract</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SemanticElementPublished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SemanticElementDeprecated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SemanticMappingPublished</w:t>
            </w:r>
          </w:p>
        </w:tc>
      </w:tr>
    </w:tbl>
    <w:p>
      <w:pPr>
        <w:pStyle w:val="Heading3"/>
      </w:pPr>
      <w:r>
        <w:rPr>
          <w:b w:val="0"/>
        </w:rPr>
        <w:t>Dependencies and integration</w:t>
      </w:r>
    </w:p>
    <w:p>
      <w:pPr>
        <w:pStyle w:val="ListBullet"/>
      </w:pPr>
      <w:r>
        <w:rPr>
          <w:b w:val="0"/>
        </w:rPr>
        <w:t>CMP-009 Forms</w:t>
      </w:r>
    </w:p>
    <w:p>
      <w:pPr>
        <w:pStyle w:val="ListBullet"/>
      </w:pPr>
      <w:r>
        <w:rPr>
          <w:b w:val="0"/>
        </w:rPr>
        <w:t>CMP-033 Metadata</w:t>
      </w:r>
    </w:p>
    <w:p>
      <w:pPr>
        <w:pStyle w:val="ListBullet"/>
      </w:pPr>
      <w:r>
        <w:rPr>
          <w:b w:val="0"/>
        </w:rPr>
        <w:t>CMP-034 Master Data</w:t>
      </w:r>
    </w:p>
    <w:p>
      <w:pPr>
        <w:pStyle w:val="ListBullet"/>
      </w:pPr>
      <w:r>
        <w:rPr>
          <w:b w:val="0"/>
        </w:rPr>
        <w:t>CMP-053 Localization</w:t>
      </w:r>
    </w:p>
    <w:p>
      <w:pPr>
        <w:pStyle w:val="ListBullet"/>
      </w:pPr>
      <w:r>
        <w:rPr>
          <w:b w:val="0"/>
        </w:rPr>
        <w:t>CMP-030 Consent</w:t>
      </w:r>
    </w:p>
    <w:p>
      <w:pPr>
        <w:pStyle w:val="Heading3"/>
      </w:pPr>
      <w:r>
        <w:rPr>
          <w:b w:val="0"/>
        </w:rPr>
        <w:t>Failure behavior and safeguards</w:t>
      </w:r>
    </w:p>
    <w:p>
      <w:pPr>
        <w:pStyle w:val="ListBullet"/>
      </w:pPr>
      <w:r>
        <w:rPr>
          <w:b w:val="0"/>
        </w:rPr>
        <w:t>Duplicate/conflicting definition</w:t>
      </w:r>
    </w:p>
    <w:p>
      <w:pPr>
        <w:pStyle w:val="ListBullet"/>
      </w:pPr>
      <w:r>
        <w:rPr>
          <w:b w:val="0"/>
        </w:rPr>
        <w:t>Breaking semantic change</w:t>
      </w:r>
    </w:p>
    <w:p>
      <w:pPr>
        <w:pStyle w:val="ListBullet"/>
      </w:pPr>
      <w:r>
        <w:rPr>
          <w:b w:val="0"/>
        </w:rPr>
        <w:t>Unknown code-list version</w:t>
      </w:r>
    </w:p>
    <w:p>
      <w:pPr>
        <w:pStyle w:val="ListBullet"/>
      </w:pPr>
      <w:r>
        <w:rPr>
          <w:b w:val="0"/>
        </w:rPr>
        <w:t>Tenant attempts canonical override</w:t>
      </w:r>
    </w:p>
    <w:p>
      <w:pPr>
        <w:pStyle w:val="Heading3"/>
      </w:pPr>
      <w:r>
        <w:rPr>
          <w:b w:val="0"/>
        </w:rPr>
        <w:t>Minimum acceptance tests</w:t>
      </w:r>
    </w:p>
    <w:p>
      <w:pPr>
        <w:pStyle w:val="ListBullet"/>
      </w:pPr>
      <w:r>
        <w:rPr>
          <w:b w:val="0"/>
        </w:rPr>
        <w:t>Studio can bind common fields to canonical semantic IDs.</w:t>
      </w:r>
    </w:p>
    <w:p>
      <w:pPr>
        <w:pStyle w:val="ListBullet"/>
      </w:pPr>
      <w:r>
        <w:rPr>
          <w:b w:val="0"/>
        </w:rPr>
        <w:t>Impact analysis identifies every published service using a semantic version before deprecation.</w:t>
      </w:r>
    </w:p>
    <w:p>
      <w:pPr>
        <w:pStyle w:val="ListBullet"/>
      </w:pPr>
      <w:r>
        <w:rPr>
          <w:b w:val="0"/>
        </w:rPr>
        <w:t>Legacy aliases map without changing canonical meaning.</w:t>
      </w:r>
    </w:p>
    <w:p>
      <w:pPr>
        <w:pStyle w:val="ListBullet"/>
      </w:pPr>
      <w:r>
        <w:rPr>
          <w:b w:val="0"/>
        </w:rPr>
        <w:t>Unauthorized and wrong-tenant requests are denied without data leakage.</w:t>
      </w:r>
    </w:p>
    <w:p>
      <w:pPr>
        <w:pStyle w:val="ListBullet"/>
      </w:pPr>
      <w:r>
        <w:rPr>
          <w:b w:val="0"/>
        </w:rPr>
        <w:t>Duplicate command/event/callback does not create duplicate business effect.</w:t>
      </w:r>
    </w:p>
    <w:p>
      <w:pPr>
        <w:pStyle w:val="ListBullet"/>
      </w:pPr>
      <w:r>
        <w:rPr>
          <w:b w:val="0"/>
        </w:rPr>
        <w:t>Audit/trace/correlation metadata is emitted for material actions.</w:t>
      </w:r>
    </w:p>
    <w:p>
      <w:pPr>
        <w:pStyle w:val="ListBullet"/>
      </w:pPr>
      <w:r>
        <w:rPr>
          <w:b w:val="0"/>
        </w:rPr>
        <w:t>Schema/version incompatibility fails explicitly rather than silently changing behavior.</w:t>
      </w:r>
    </w:p>
    <w:p>
      <w:pPr>
        <w:pStyle w:val="Heading2"/>
      </w:pPr>
      <w:r>
        <w:rPr>
          <w:b w:val="0"/>
        </w:rPr>
        <w:t>CMP-059  Migration &amp; Legacy Onboarding Workbench</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tcMar>
              <w:top w:w="80" w:type="dxa"/>
              <w:start w:w="100" w:type="dxa"/>
              <w:bottom w:w="80" w:type="dxa"/>
              <w:end w:w="100" w:type="dxa"/>
            </w:tcMar>
          </w:tcPr>
          <w:p>
            <w:r>
              <w:rPr>
                <w:b w:val="0"/>
                <w:color w:val="333333"/>
                <w:sz w:val="18"/>
              </w:rPr>
              <w:t>Classification</w:t>
            </w:r>
          </w:p>
        </w:tc>
        <w:tc>
          <w:tcPr>
            <w:tcW w:type="dxa" w:w="8208"/>
            <w:vAlign w:val="center"/>
            <w:tcMar>
              <w:top w:w="80" w:type="dxa"/>
              <w:start w:w="100" w:type="dxa"/>
              <w:bottom w:w="80" w:type="dxa"/>
              <w:end w:w="100" w:type="dxa"/>
            </w:tcMar>
          </w:tcPr>
          <w:p>
            <w:r>
              <w:rPr>
                <w:b w:val="0"/>
                <w:color w:val="333333"/>
                <w:sz w:val="18"/>
              </w:rPr>
              <w:t>Engineering / Transformation Platform</w:t>
            </w:r>
          </w:p>
        </w:tc>
      </w:tr>
      <w:tr>
        <w:trPr>
          <w:cantSplit/>
        </w:trPr>
        <w:tc>
          <w:tcPr>
            <w:tcW w:type="dxa" w:w="2160"/>
            <w:vAlign w:val="center"/>
            <w:tcMar>
              <w:top w:w="80" w:type="dxa"/>
              <w:start w:w="100" w:type="dxa"/>
              <w:bottom w:w="80" w:type="dxa"/>
              <w:end w:w="100" w:type="dxa"/>
            </w:tcMar>
          </w:tcPr>
          <w:p>
            <w:r>
              <w:rPr>
                <w:b w:val="0"/>
                <w:color w:val="333333"/>
                <w:sz w:val="18"/>
              </w:rPr>
              <w:t>Purpose</w:t>
            </w:r>
          </w:p>
        </w:tc>
        <w:tc>
          <w:tcPr>
            <w:tcW w:type="dxa" w:w="8208"/>
            <w:vAlign w:val="center"/>
            <w:tcMar>
              <w:top w:w="80" w:type="dxa"/>
              <w:start w:w="100" w:type="dxa"/>
              <w:bottom w:w="80" w:type="dxa"/>
              <w:end w:w="100" w:type="dxa"/>
            </w:tcMar>
          </w:tcPr>
          <w:p>
            <w:r>
              <w:rPr>
                <w:b w:val="0"/>
                <w:color w:val="333333"/>
                <w:sz w:val="18"/>
              </w:rPr>
              <w:t>Migrate legacy forms, workflows, service definitions and data into canonical ServiceForm models with mapping, rehearsal, reconciliation and rollback evidence.</w:t>
            </w:r>
          </w:p>
        </w:tc>
      </w:tr>
      <w:tr>
        <w:trPr>
          <w:cantSplit/>
        </w:trPr>
        <w:tc>
          <w:tcPr>
            <w:tcW w:type="dxa" w:w="2160"/>
            <w:vAlign w:val="center"/>
            <w:tcMar>
              <w:top w:w="80" w:type="dxa"/>
              <w:start w:w="100" w:type="dxa"/>
              <w:bottom w:w="80" w:type="dxa"/>
              <w:end w:w="100" w:type="dxa"/>
            </w:tcMar>
          </w:tcPr>
          <w:p>
            <w:r>
              <w:rPr>
                <w:b w:val="0"/>
                <w:color w:val="333333"/>
                <w:sz w:val="18"/>
              </w:rPr>
              <w:t>Tenant model</w:t>
            </w:r>
          </w:p>
        </w:tc>
        <w:tc>
          <w:tcPr>
            <w:tcW w:type="dxa" w:w="8208"/>
            <w:vAlign w:val="center"/>
            <w:tcMar>
              <w:top w:w="80" w:type="dxa"/>
              <w:start w:w="100" w:type="dxa"/>
              <w:bottom w:w="80" w:type="dxa"/>
              <w:end w:w="100" w:type="dxa"/>
            </w:tcMar>
          </w:tcPr>
          <w:p>
            <w:r>
              <w:rPr>
                <w:b w:val="0"/>
                <w:color w:val="333333"/>
                <w:sz w:val="18"/>
              </w:rPr>
              <w:t>Migration projects are tenant/source-system scoped and use isolated staging areas; production writes require approved migration plans and audited execution.</w:t>
            </w:r>
          </w:p>
        </w:tc>
      </w:tr>
      <w:tr>
        <w:trPr>
          <w:cantSplit/>
        </w:trPr>
        <w:tc>
          <w:tcPr>
            <w:tcW w:type="dxa" w:w="2160"/>
            <w:vAlign w:val="center"/>
            <w:tcMar>
              <w:top w:w="80" w:type="dxa"/>
              <w:start w:w="100" w:type="dxa"/>
              <w:bottom w:w="80" w:type="dxa"/>
              <w:end w:w="100" w:type="dxa"/>
            </w:tcMar>
          </w:tcPr>
          <w:p>
            <w:r>
              <w:rPr>
                <w:b w:val="0"/>
                <w:color w:val="333333"/>
                <w:sz w:val="18"/>
              </w:rPr>
              <w:t>Primary NFR</w:t>
            </w:r>
          </w:p>
        </w:tc>
        <w:tc>
          <w:tcPr>
            <w:tcW w:type="dxa" w:w="8208"/>
            <w:vAlign w:val="center"/>
            <w:tcMar>
              <w:top w:w="80" w:type="dxa"/>
              <w:start w:w="100" w:type="dxa"/>
              <w:bottom w:w="80" w:type="dxa"/>
              <w:end w:w="100" w:type="dxa"/>
            </w:tcMar>
          </w:tcPr>
          <w:p>
            <w:r>
              <w:rPr>
                <w:b w:val="0"/>
                <w:color w:val="333333"/>
                <w:sz w:val="18"/>
              </w:rPr>
              <w:t>Bulk operations are resumable, checkpointed and reconciliation-driven; no unbounded direct writes into production domain tables.</w:t>
            </w:r>
          </w:p>
        </w:tc>
      </w:tr>
    </w:tbl>
    <w:p>
      <w:pPr>
        <w:pStyle w:val="Heading3"/>
      </w:pPr>
      <w:r>
        <w:rPr>
          <w:b w:val="0"/>
        </w:rPr>
        <w:t>Responsibilities</w:t>
      </w:r>
    </w:p>
    <w:p>
      <w:pPr>
        <w:pStyle w:val="ListBullet"/>
      </w:pPr>
      <w:r>
        <w:rPr>
          <w:b w:val="0"/>
        </w:rPr>
        <w:t>Source inventory and profiling</w:t>
      </w:r>
    </w:p>
    <w:p>
      <w:pPr>
        <w:pStyle w:val="ListBullet"/>
      </w:pPr>
      <w:r>
        <w:rPr>
          <w:b w:val="0"/>
        </w:rPr>
        <w:t>Legacy-to-canonical field/semantic mapping</w:t>
      </w:r>
    </w:p>
    <w:p>
      <w:pPr>
        <w:pStyle w:val="ListBullet"/>
      </w:pPr>
      <w:r>
        <w:rPr>
          <w:b w:val="0"/>
        </w:rPr>
        <w:t>PDF/form/workflow/config import assistance</w:t>
      </w:r>
    </w:p>
    <w:p>
      <w:pPr>
        <w:pStyle w:val="ListBullet"/>
      </w:pPr>
      <w:r>
        <w:rPr>
          <w:b w:val="0"/>
        </w:rPr>
        <w:t>Dry-run and migration rehearsal</w:t>
      </w:r>
    </w:p>
    <w:p>
      <w:pPr>
        <w:pStyle w:val="ListBullet"/>
      </w:pPr>
      <w:r>
        <w:rPr>
          <w:b w:val="0"/>
        </w:rPr>
        <w:t>Data quality/reconciliation reports</w:t>
      </w:r>
    </w:p>
    <w:p>
      <w:pPr>
        <w:pStyle w:val="ListBullet"/>
      </w:pPr>
      <w:r>
        <w:rPr>
          <w:b w:val="0"/>
        </w:rPr>
        <w:t>Cutover, rollback and archival manifests</w:t>
      </w:r>
    </w:p>
    <w:p>
      <w:pPr>
        <w:pStyle w:val="Heading3"/>
      </w:pPr>
      <w:r>
        <w:rPr>
          <w:b w:val="0"/>
        </w:rPr>
        <w:t>Explicit non-responsibilities</w:t>
      </w:r>
    </w:p>
    <w:p>
      <w:pPr>
        <w:pStyle w:val="ListBullet"/>
      </w:pPr>
      <w:r>
        <w:rPr>
          <w:b w:val="0"/>
        </w:rPr>
        <w:t>Does not bypass owning-domain APIs/import contracts</w:t>
      </w:r>
    </w:p>
    <w:p>
      <w:pPr>
        <w:pStyle w:val="ListBullet"/>
      </w:pPr>
      <w:r>
        <w:rPr>
          <w:b w:val="0"/>
        </w:rPr>
        <w:t>Does not silently transform ambiguous statutory meaning</w:t>
      </w:r>
    </w:p>
    <w:p>
      <w:pPr>
        <w:pStyle w:val="ListBullet"/>
      </w:pPr>
      <w:r>
        <w:rPr>
          <w:b w:val="0"/>
        </w:rPr>
        <w:t>Does not certify migrated data without reconciliation</w:t>
      </w:r>
    </w:p>
    <w:p>
      <w:pPr>
        <w:pStyle w:val="Heading3"/>
      </w:pPr>
      <w:r>
        <w:rPr>
          <w:b w:val="0"/>
        </w:rPr>
        <w:t>Authoritative data / state</w:t>
      </w:r>
    </w:p>
    <w:p>
      <w:pPr>
        <w:pStyle w:val="ListBullet"/>
      </w:pPr>
      <w:r>
        <w:rPr>
          <w:b w:val="0"/>
        </w:rPr>
        <w:t>migration_project</w:t>
      </w:r>
    </w:p>
    <w:p>
      <w:pPr>
        <w:pStyle w:val="ListBullet"/>
      </w:pPr>
      <w:r>
        <w:rPr>
          <w:b w:val="0"/>
        </w:rPr>
        <w:t>source_profile</w:t>
      </w:r>
    </w:p>
    <w:p>
      <w:pPr>
        <w:pStyle w:val="ListBullet"/>
      </w:pPr>
      <w:r>
        <w:rPr>
          <w:b w:val="0"/>
        </w:rPr>
        <w:t>mapping_spec</w:t>
      </w:r>
    </w:p>
    <w:p>
      <w:pPr>
        <w:pStyle w:val="ListBullet"/>
      </w:pPr>
      <w:r>
        <w:rPr>
          <w:b w:val="0"/>
        </w:rPr>
        <w:t>migration_batch</w:t>
      </w:r>
    </w:p>
    <w:p>
      <w:pPr>
        <w:pStyle w:val="ListBullet"/>
      </w:pPr>
      <w:r>
        <w:rPr>
          <w:b w:val="0"/>
        </w:rPr>
        <w:t>reconciliation_result</w:t>
      </w:r>
    </w:p>
    <w:p>
      <w:pPr>
        <w:pStyle w:val="ListBullet"/>
      </w:pPr>
      <w:r>
        <w:rPr>
          <w:b w:val="0"/>
        </w:rPr>
        <w:t>cutover_manifest</w:t>
      </w:r>
    </w:p>
    <w:p>
      <w:pPr>
        <w:pStyle w:val="Heading3"/>
      </w:pPr>
      <w:r>
        <w:rPr>
          <w:b w:val="0"/>
        </w:rPr>
        <w:t>Primary interfaces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tcMar>
              <w:top w:w="80" w:type="dxa"/>
              <w:start w:w="100" w:type="dxa"/>
              <w:bottom w:w="80" w:type="dxa"/>
              <w:end w:w="100" w:type="dxa"/>
            </w:tcMar>
            <w:shd w:fill="EAF1F8"/>
          </w:tcPr>
          <w:p>
            <w:r>
              <w:rPr>
                <w:b/>
                <w:color w:val="17365D"/>
                <w:sz w:val="18"/>
              </w:rPr>
              <w:t>Type</w:t>
            </w:r>
          </w:p>
        </w:tc>
        <w:tc>
          <w:tcPr>
            <w:tcW w:type="dxa" w:w="8496"/>
            <w:vAlign w:val="center"/>
            <w:tcMar>
              <w:top w:w="80" w:type="dxa"/>
              <w:start w:w="100" w:type="dxa"/>
              <w:bottom w:w="80" w:type="dxa"/>
              <w:end w:w="100" w:type="dxa"/>
            </w:tcMar>
            <w:shd w:fill="EAF1F8"/>
          </w:tcPr>
          <w:p>
            <w:r>
              <w:rPr>
                <w:b/>
                <w:color w:val="17365D"/>
                <w:sz w:val="18"/>
              </w:rPr>
              <w:t>Interface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/migrations/projects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/migrations/{id}/profile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/migrations/{id}/map</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/migrations/{id}/dry-run</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/migrations/{id}/execute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/migrations/{id}/reconciliation</w:t>
            </w:r>
          </w:p>
        </w:tc>
      </w:tr>
    </w:tbl>
    <w:p>
      <w:pPr>
        <w:pStyle w:val="Heading3"/>
      </w:pPr>
      <w:r>
        <w:rPr>
          <w:b w:val="0"/>
        </w:rPr>
        <w:t>Events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tcMar>
              <w:top w:w="80" w:type="dxa"/>
              <w:start w:w="100" w:type="dxa"/>
              <w:bottom w:w="80" w:type="dxa"/>
              <w:end w:w="100" w:type="dxa"/>
            </w:tcMar>
            <w:shd w:fill="EAF1F8"/>
          </w:tcPr>
          <w:p>
            <w:r>
              <w:rPr>
                <w:b/>
                <w:color w:val="17365D"/>
                <w:sz w:val="18"/>
              </w:rPr>
              <w:t>Direction</w:t>
            </w:r>
          </w:p>
        </w:tc>
        <w:tc>
          <w:tcPr>
            <w:tcW w:type="dxa" w:w="8064"/>
            <w:vAlign w:val="center"/>
            <w:tcMar>
              <w:top w:w="80" w:type="dxa"/>
              <w:start w:w="100" w:type="dxa"/>
              <w:bottom w:w="80" w:type="dxa"/>
              <w:end w:w="100" w:type="dxa"/>
            </w:tcMar>
            <w:shd w:fill="EAF1F8"/>
          </w:tcPr>
          <w:p>
            <w:r>
              <w:rPr>
                <w:b/>
                <w:color w:val="17365D"/>
                <w:sz w:val="18"/>
              </w:rPr>
              <w:t>Event / Contract</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MigrationDryRunCompleted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MigrationBatchApplied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MigrationReconciliationFailed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MigrationCompleted</w:t>
            </w:r>
          </w:p>
        </w:tc>
      </w:tr>
    </w:tbl>
    <w:p>
      <w:pPr>
        <w:pStyle w:val="Heading3"/>
      </w:pPr>
      <w:r>
        <w:rPr>
          <w:b w:val="0"/>
        </w:rPr>
        <w:t>Dependencies and integration</w:t>
      </w:r>
    </w:p>
    <w:p>
      <w:pPr>
        <w:pStyle w:val="ListBullet"/>
      </w:pPr>
      <w:r>
        <w:rPr>
          <w:b w:val="0"/>
        </w:rPr>
        <w:t>CMP-033 Metadata</w:t>
      </w:r>
    </w:p>
    <w:p>
      <w:pPr>
        <w:pStyle w:val="ListBullet"/>
      </w:pPr>
      <w:r>
        <w:rPr>
          <w:b w:val="0"/>
        </w:rPr>
        <w:t>CMP-052 Version Registry</w:t>
      </w:r>
    </w:p>
    <w:p>
      <w:pPr>
        <w:pStyle w:val="ListBullet"/>
      </w:pPr>
      <w:r>
        <w:rPr>
          <w:b w:val="0"/>
        </w:rPr>
        <w:t>CMP-058 Semantic Registry</w:t>
      </w:r>
    </w:p>
    <w:p>
      <w:pPr>
        <w:pStyle w:val="ListBullet"/>
      </w:pPr>
      <w:r>
        <w:rPr>
          <w:b w:val="0"/>
        </w:rPr>
        <w:t>CMP-037 Integration Hub</w:t>
      </w:r>
    </w:p>
    <w:p>
      <w:pPr>
        <w:pStyle w:val="ListBullet"/>
      </w:pPr>
      <w:r>
        <w:rPr>
          <w:b w:val="0"/>
        </w:rPr>
        <w:t>CMP-031 Audit</w:t>
      </w:r>
    </w:p>
    <w:p>
      <w:pPr>
        <w:pStyle w:val="Heading3"/>
      </w:pPr>
      <w:r>
        <w:rPr>
          <w:b w:val="0"/>
        </w:rPr>
        <w:t>Failure behavior and safeguards</w:t>
      </w:r>
    </w:p>
    <w:p>
      <w:pPr>
        <w:pStyle w:val="ListBullet"/>
      </w:pPr>
      <w:r>
        <w:rPr>
          <w:b w:val="0"/>
        </w:rPr>
        <w:t>Unmapped mandatory field</w:t>
      </w:r>
    </w:p>
    <w:p>
      <w:pPr>
        <w:pStyle w:val="ListBullet"/>
      </w:pPr>
      <w:r>
        <w:rPr>
          <w:b w:val="0"/>
        </w:rPr>
        <w:t>Record count/hash mismatch</w:t>
      </w:r>
    </w:p>
    <w:p>
      <w:pPr>
        <w:pStyle w:val="ListBullet"/>
      </w:pPr>
      <w:r>
        <w:rPr>
          <w:b w:val="0"/>
        </w:rPr>
        <w:t>Ambiguous code mapping</w:t>
      </w:r>
    </w:p>
    <w:p>
      <w:pPr>
        <w:pStyle w:val="ListBullet"/>
      </w:pPr>
      <w:r>
        <w:rPr>
          <w:b w:val="0"/>
        </w:rPr>
        <w:t>Partial batch failure</w:t>
      </w:r>
    </w:p>
    <w:p>
      <w:pPr>
        <w:pStyle w:val="ListBullet"/>
      </w:pPr>
      <w:r>
        <w:rPr>
          <w:b w:val="0"/>
        </w:rPr>
        <w:t>Rollback unavailable</w:t>
      </w:r>
    </w:p>
    <w:p>
      <w:pPr>
        <w:pStyle w:val="Heading3"/>
      </w:pPr>
      <w:r>
        <w:rPr>
          <w:b w:val="0"/>
        </w:rPr>
        <w:t>Minimum acceptance tests</w:t>
      </w:r>
    </w:p>
    <w:p>
      <w:pPr>
        <w:pStyle w:val="ListBullet"/>
      </w:pPr>
      <w:r>
        <w:rPr>
          <w:b w:val="0"/>
        </w:rPr>
        <w:t>Every production migration has dry-run evidence, mapping version, source/target counts, exception list and reconciliation result.</w:t>
      </w:r>
    </w:p>
    <w:p>
      <w:pPr>
        <w:pStyle w:val="ListBullet"/>
      </w:pPr>
      <w:r>
        <w:rPr>
          <w:b w:val="0"/>
        </w:rPr>
        <w:t>Failed migration can resume or rollback according to approved plan.</w:t>
      </w:r>
    </w:p>
    <w:p>
      <w:pPr>
        <w:pStyle w:val="ListBullet"/>
      </w:pPr>
      <w:r>
        <w:rPr>
          <w:b w:val="0"/>
        </w:rPr>
        <w:t>Unauthorized and wrong-tenant requests are denied without data leakage.</w:t>
      </w:r>
    </w:p>
    <w:p>
      <w:pPr>
        <w:pStyle w:val="ListBullet"/>
      </w:pPr>
      <w:r>
        <w:rPr>
          <w:b w:val="0"/>
        </w:rPr>
        <w:t>Duplicate command/event/callback does not create duplicate business effect.</w:t>
      </w:r>
    </w:p>
    <w:p>
      <w:pPr>
        <w:pStyle w:val="ListBullet"/>
      </w:pPr>
      <w:r>
        <w:rPr>
          <w:b w:val="0"/>
        </w:rPr>
        <w:t>Audit/trace/correlation metadata is emitted for material actions.</w:t>
      </w:r>
    </w:p>
    <w:p>
      <w:pPr>
        <w:pStyle w:val="ListBullet"/>
      </w:pPr>
      <w:r>
        <w:rPr>
          <w:b w:val="0"/>
        </w:rPr>
        <w:t>Schema/version incompatibility fails explicitly rather than silently changing behavior.</w:t>
      </w:r>
    </w:p>
    <w:p>
      <w:pPr>
        <w:pStyle w:val="Heading2"/>
      </w:pPr>
      <w:r>
        <w:rPr>
          <w:b w:val="0"/>
        </w:rPr>
        <w:t>CMP-060  Risk, Fraud &amp; Integrity Service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tcMar>
              <w:top w:w="80" w:type="dxa"/>
              <w:start w:w="100" w:type="dxa"/>
              <w:bottom w:w="80" w:type="dxa"/>
              <w:end w:w="100" w:type="dxa"/>
            </w:tcMar>
          </w:tcPr>
          <w:p>
            <w:r>
              <w:rPr>
                <w:b w:val="0"/>
                <w:color w:val="333333"/>
                <w:sz w:val="18"/>
              </w:rPr>
              <w:t>Classification</w:t>
            </w:r>
          </w:p>
        </w:tc>
        <w:tc>
          <w:tcPr>
            <w:tcW w:type="dxa" w:w="8208"/>
            <w:vAlign w:val="center"/>
            <w:tcMar>
              <w:top w:w="80" w:type="dxa"/>
              <w:start w:w="100" w:type="dxa"/>
              <w:bottom w:w="80" w:type="dxa"/>
              <w:end w:w="100" w:type="dxa"/>
            </w:tcMar>
          </w:tcPr>
          <w:p>
            <w:r>
              <w:rPr>
                <w:b w:val="0"/>
                <w:color w:val="333333"/>
                <w:sz w:val="18"/>
              </w:rPr>
              <w:t>Decision Support / Integrity</w:t>
            </w:r>
          </w:p>
        </w:tc>
      </w:tr>
      <w:tr>
        <w:trPr>
          <w:cantSplit/>
        </w:trPr>
        <w:tc>
          <w:tcPr>
            <w:tcW w:type="dxa" w:w="2160"/>
            <w:vAlign w:val="center"/>
            <w:tcMar>
              <w:top w:w="80" w:type="dxa"/>
              <w:start w:w="100" w:type="dxa"/>
              <w:bottom w:w="80" w:type="dxa"/>
              <w:end w:w="100" w:type="dxa"/>
            </w:tcMar>
          </w:tcPr>
          <w:p>
            <w:r>
              <w:rPr>
                <w:b w:val="0"/>
                <w:color w:val="333333"/>
                <w:sz w:val="18"/>
              </w:rPr>
              <w:t>Purpose</w:t>
            </w:r>
          </w:p>
        </w:tc>
        <w:tc>
          <w:tcPr>
            <w:tcW w:type="dxa" w:w="8208"/>
            <w:vAlign w:val="center"/>
            <w:tcMar>
              <w:top w:w="80" w:type="dxa"/>
              <w:start w:w="100" w:type="dxa"/>
              <w:bottom w:w="80" w:type="dxa"/>
              <w:end w:w="100" w:type="dxa"/>
            </w:tcMar>
          </w:tcPr>
          <w:p>
            <w:r>
              <w:rPr>
                <w:b w:val="0"/>
                <w:color w:val="333333"/>
                <w:sz w:val="18"/>
              </w:rPr>
              <w:t>Generate explainable integrity signals for duplicate, anomalous, tampered or suspicious cases and route them for authorized review without replacing lawful eligibility or final decision authority.</w:t>
            </w:r>
          </w:p>
        </w:tc>
      </w:tr>
      <w:tr>
        <w:trPr>
          <w:cantSplit/>
        </w:trPr>
        <w:tc>
          <w:tcPr>
            <w:tcW w:type="dxa" w:w="2160"/>
            <w:vAlign w:val="center"/>
            <w:tcMar>
              <w:top w:w="80" w:type="dxa"/>
              <w:start w:w="100" w:type="dxa"/>
              <w:bottom w:w="80" w:type="dxa"/>
              <w:end w:w="100" w:type="dxa"/>
            </w:tcMar>
          </w:tcPr>
          <w:p>
            <w:r>
              <w:rPr>
                <w:b w:val="0"/>
                <w:color w:val="333333"/>
                <w:sz w:val="18"/>
              </w:rPr>
              <w:t>Tenant model</w:t>
            </w:r>
          </w:p>
        </w:tc>
        <w:tc>
          <w:tcPr>
            <w:tcW w:type="dxa" w:w="8208"/>
            <w:vAlign w:val="center"/>
            <w:tcMar>
              <w:top w:w="80" w:type="dxa"/>
              <w:start w:w="100" w:type="dxa"/>
              <w:bottom w:w="80" w:type="dxa"/>
              <w:end w:w="100" w:type="dxa"/>
            </w:tcMar>
          </w:tcPr>
          <w:p>
            <w:r>
              <w:rPr>
                <w:b w:val="0"/>
                <w:color w:val="333333"/>
                <w:sz w:val="18"/>
              </w:rPr>
              <w:t>Signals are tenant/service scoped; cross-program linkage requires an explicit legal/purpose basis and privileged audited policy.</w:t>
            </w:r>
          </w:p>
        </w:tc>
      </w:tr>
      <w:tr>
        <w:trPr>
          <w:cantSplit/>
        </w:trPr>
        <w:tc>
          <w:tcPr>
            <w:tcW w:type="dxa" w:w="2160"/>
            <w:vAlign w:val="center"/>
            <w:tcMar>
              <w:top w:w="80" w:type="dxa"/>
              <w:start w:w="100" w:type="dxa"/>
              <w:bottom w:w="80" w:type="dxa"/>
              <w:end w:w="100" w:type="dxa"/>
            </w:tcMar>
          </w:tcPr>
          <w:p>
            <w:r>
              <w:rPr>
                <w:b w:val="0"/>
                <w:color w:val="333333"/>
                <w:sz w:val="18"/>
              </w:rPr>
              <w:t>Primary NFR</w:t>
            </w:r>
          </w:p>
        </w:tc>
        <w:tc>
          <w:tcPr>
            <w:tcW w:type="dxa" w:w="8208"/>
            <w:vAlign w:val="center"/>
            <w:tcMar>
              <w:top w:w="80" w:type="dxa"/>
              <w:start w:w="100" w:type="dxa"/>
              <w:bottom w:w="80" w:type="dxa"/>
              <w:end w:w="100" w:type="dxa"/>
            </w:tcMar>
          </w:tcPr>
          <w:p>
            <w:r>
              <w:rPr>
                <w:b w:val="0"/>
                <w:color w:val="333333"/>
                <w:sz w:val="18"/>
              </w:rPr>
              <w:t>Risk evaluation can run asynchronously; submission hot path must not depend on expensive analytics unless a deterministic high-risk rule explicitly requires it.</w:t>
            </w:r>
          </w:p>
        </w:tc>
      </w:tr>
    </w:tbl>
    <w:p>
      <w:pPr>
        <w:pStyle w:val="Heading3"/>
      </w:pPr>
      <w:r>
        <w:rPr>
          <w:b w:val="0"/>
        </w:rPr>
        <w:t>Responsibilities</w:t>
      </w:r>
    </w:p>
    <w:p>
      <w:pPr>
        <w:pStyle w:val="ListBullet"/>
      </w:pPr>
      <w:r>
        <w:rPr>
          <w:b w:val="0"/>
        </w:rPr>
        <w:t>Duplicate-application/document/account signals</w:t>
      </w:r>
    </w:p>
    <w:p>
      <w:pPr>
        <w:pStyle w:val="ListBullet"/>
      </w:pPr>
      <w:r>
        <w:rPr>
          <w:b w:val="0"/>
        </w:rPr>
        <w:t>Document-tamper and identity inconsistency signals</w:t>
      </w:r>
    </w:p>
    <w:p>
      <w:pPr>
        <w:pStyle w:val="ListBullet"/>
      </w:pPr>
      <w:r>
        <w:rPr>
          <w:b w:val="0"/>
        </w:rPr>
        <w:t>Submission/officer anomaly detection</w:t>
      </w:r>
    </w:p>
    <w:p>
      <w:pPr>
        <w:pStyle w:val="ListBullet"/>
      </w:pPr>
      <w:r>
        <w:rPr>
          <w:b w:val="0"/>
        </w:rPr>
        <w:t>Explainable risk reasons and evidence links</w:t>
      </w:r>
    </w:p>
    <w:p>
      <w:pPr>
        <w:pStyle w:val="ListBullet"/>
      </w:pPr>
      <w:r>
        <w:rPr>
          <w:b w:val="0"/>
        </w:rPr>
        <w:t>Manual review/referral workflows</w:t>
      </w:r>
    </w:p>
    <w:p>
      <w:pPr>
        <w:pStyle w:val="ListBullet"/>
      </w:pPr>
      <w:r>
        <w:rPr>
          <w:b w:val="0"/>
        </w:rPr>
        <w:t>Model/rule performance monitoring</w:t>
      </w:r>
    </w:p>
    <w:p>
      <w:pPr>
        <w:pStyle w:val="Heading3"/>
      </w:pPr>
      <w:r>
        <w:rPr>
          <w:b w:val="0"/>
        </w:rPr>
        <w:t>Explicit non-responsibilities</w:t>
      </w:r>
    </w:p>
    <w:p>
      <w:pPr>
        <w:pStyle w:val="ListBullet"/>
      </w:pPr>
      <w:r>
        <w:rPr>
          <w:b w:val="0"/>
        </w:rPr>
        <w:t>Does not automatically reject solely from an AI risk score</w:t>
      </w:r>
    </w:p>
    <w:p>
      <w:pPr>
        <w:pStyle w:val="ListBullet"/>
      </w:pPr>
      <w:r>
        <w:rPr>
          <w:b w:val="0"/>
        </w:rPr>
        <w:t>Does not create hidden eligibility rules</w:t>
      </w:r>
    </w:p>
    <w:p>
      <w:pPr>
        <w:pStyle w:val="ListBullet"/>
      </w:pPr>
      <w:r>
        <w:rPr>
          <w:b w:val="0"/>
        </w:rPr>
        <w:t>Does not perform unrestricted cross-tenant surveillance</w:t>
      </w:r>
    </w:p>
    <w:p>
      <w:pPr>
        <w:pStyle w:val="Heading3"/>
      </w:pPr>
      <w:r>
        <w:rPr>
          <w:b w:val="0"/>
        </w:rPr>
        <w:t>Authoritative data / state</w:t>
      </w:r>
    </w:p>
    <w:p>
      <w:pPr>
        <w:pStyle w:val="ListBullet"/>
      </w:pPr>
      <w:r>
        <w:rPr>
          <w:b w:val="0"/>
        </w:rPr>
        <w:t>risk_assessment</w:t>
      </w:r>
    </w:p>
    <w:p>
      <w:pPr>
        <w:pStyle w:val="ListBullet"/>
      </w:pPr>
      <w:r>
        <w:rPr>
          <w:b w:val="0"/>
        </w:rPr>
        <w:t>risk_signal</w:t>
      </w:r>
    </w:p>
    <w:p>
      <w:pPr>
        <w:pStyle w:val="ListBullet"/>
      </w:pPr>
      <w:r>
        <w:rPr>
          <w:b w:val="0"/>
        </w:rPr>
        <w:t>risk_reason</w:t>
      </w:r>
    </w:p>
    <w:p>
      <w:pPr>
        <w:pStyle w:val="ListBullet"/>
      </w:pPr>
      <w:r>
        <w:rPr>
          <w:b w:val="0"/>
        </w:rPr>
        <w:t>risk_review</w:t>
      </w:r>
    </w:p>
    <w:p>
      <w:pPr>
        <w:pStyle w:val="ListBullet"/>
      </w:pPr>
      <w:r>
        <w:rPr>
          <w:b w:val="0"/>
        </w:rPr>
        <w:t>risk_model_binding</w:t>
      </w:r>
    </w:p>
    <w:p>
      <w:pPr>
        <w:pStyle w:val="ListBullet"/>
      </w:pPr>
      <w:r>
        <w:rPr>
          <w:b w:val="0"/>
        </w:rPr>
        <w:t>integrity_case_link</w:t>
      </w:r>
    </w:p>
    <w:p>
      <w:pPr>
        <w:pStyle w:val="Heading3"/>
      </w:pPr>
      <w:r>
        <w:rPr>
          <w:b w:val="0"/>
        </w:rPr>
        <w:t>Primary interfaces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tcMar>
              <w:top w:w="80" w:type="dxa"/>
              <w:start w:w="100" w:type="dxa"/>
              <w:bottom w:w="80" w:type="dxa"/>
              <w:end w:w="100" w:type="dxa"/>
            </w:tcMar>
            <w:shd w:fill="EAF1F8"/>
          </w:tcPr>
          <w:p>
            <w:r>
              <w:rPr>
                <w:b/>
                <w:color w:val="17365D"/>
                <w:sz w:val="18"/>
              </w:rPr>
              <w:t>Type</w:t>
            </w:r>
          </w:p>
        </w:tc>
        <w:tc>
          <w:tcPr>
            <w:tcW w:type="dxa" w:w="8496"/>
            <w:vAlign w:val="center"/>
            <w:tcMar>
              <w:top w:w="80" w:type="dxa"/>
              <w:start w:w="100" w:type="dxa"/>
              <w:bottom w:w="80" w:type="dxa"/>
              <w:end w:w="100" w:type="dxa"/>
            </w:tcMar>
            <w:shd w:fill="EAF1F8"/>
          </w:tcPr>
          <w:p>
            <w:r>
              <w:rPr>
                <w:b/>
                <w:color w:val="17365D"/>
                <w:sz w:val="18"/>
              </w:rPr>
              <w:t>Interface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/risk/evaluate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/risk/assessments/{id}</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/risk/assessments/{id}/review</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/risk/signals/{id}/disposition</w:t>
            </w:r>
          </w:p>
        </w:tc>
      </w:tr>
    </w:tbl>
    <w:p>
      <w:pPr>
        <w:pStyle w:val="Heading3"/>
      </w:pPr>
      <w:r>
        <w:rPr>
          <w:b w:val="0"/>
        </w:rPr>
        <w:t>Events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tcMar>
              <w:top w:w="80" w:type="dxa"/>
              <w:start w:w="100" w:type="dxa"/>
              <w:bottom w:w="80" w:type="dxa"/>
              <w:end w:w="100" w:type="dxa"/>
            </w:tcMar>
            <w:shd w:fill="EAF1F8"/>
          </w:tcPr>
          <w:p>
            <w:r>
              <w:rPr>
                <w:b/>
                <w:color w:val="17365D"/>
                <w:sz w:val="18"/>
              </w:rPr>
              <w:t>Direction</w:t>
            </w:r>
          </w:p>
        </w:tc>
        <w:tc>
          <w:tcPr>
            <w:tcW w:type="dxa" w:w="8064"/>
            <w:vAlign w:val="center"/>
            <w:tcMar>
              <w:top w:w="80" w:type="dxa"/>
              <w:start w:w="100" w:type="dxa"/>
              <w:bottom w:w="80" w:type="dxa"/>
              <w:end w:w="100" w:type="dxa"/>
            </w:tcMar>
            <w:shd w:fill="EAF1F8"/>
          </w:tcPr>
          <w:p>
            <w:r>
              <w:rPr>
                <w:b/>
                <w:color w:val="17365D"/>
                <w:sz w:val="18"/>
              </w:rPr>
              <w:t>Event / Contract</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RiskAssessmentCompleted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HighRiskReviewRequested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RiskDispositionRecorded</w:t>
            </w:r>
          </w:p>
        </w:tc>
      </w:tr>
    </w:tbl>
    <w:p>
      <w:pPr>
        <w:pStyle w:val="Heading3"/>
      </w:pPr>
      <w:r>
        <w:rPr>
          <w:b w:val="0"/>
        </w:rPr>
        <w:t>Dependencies and integration</w:t>
      </w:r>
    </w:p>
    <w:p>
      <w:pPr>
        <w:pStyle w:val="ListBullet"/>
      </w:pPr>
      <w:r>
        <w:rPr>
          <w:b w:val="0"/>
        </w:rPr>
        <w:t>CMP-015 Application</w:t>
      </w:r>
    </w:p>
    <w:p>
      <w:pPr>
        <w:pStyle w:val="ListBullet"/>
      </w:pPr>
      <w:r>
        <w:rPr>
          <w:b w:val="0"/>
        </w:rPr>
        <w:t>CMP-013 Upload</w:t>
      </w:r>
    </w:p>
    <w:p>
      <w:pPr>
        <w:pStyle w:val="ListBullet"/>
      </w:pPr>
      <w:r>
        <w:rPr>
          <w:b w:val="0"/>
        </w:rPr>
        <w:t>CMP-014 OCR</w:t>
      </w:r>
    </w:p>
    <w:p>
      <w:pPr>
        <w:pStyle w:val="ListBullet"/>
      </w:pPr>
      <w:r>
        <w:rPr>
          <w:b w:val="0"/>
        </w:rPr>
        <w:t>CMP-031 Audit</w:t>
      </w:r>
    </w:p>
    <w:p>
      <w:pPr>
        <w:pStyle w:val="ListBullet"/>
      </w:pPr>
      <w:r>
        <w:rPr>
          <w:b w:val="0"/>
        </w:rPr>
        <w:t>CMP-039 AI Gateway</w:t>
      </w:r>
    </w:p>
    <w:p>
      <w:pPr>
        <w:pStyle w:val="ListBullet"/>
      </w:pPr>
      <w:r>
        <w:rPr>
          <w:b w:val="0"/>
        </w:rPr>
        <w:t>CMP-017 Work Queue</w:t>
      </w:r>
    </w:p>
    <w:p>
      <w:pPr>
        <w:pStyle w:val="Heading3"/>
      </w:pPr>
      <w:r>
        <w:rPr>
          <w:b w:val="0"/>
        </w:rPr>
        <w:t>Failure behavior and safeguards</w:t>
      </w:r>
    </w:p>
    <w:p>
      <w:pPr>
        <w:pStyle w:val="ListBullet"/>
      </w:pPr>
      <w:r>
        <w:rPr>
          <w:b w:val="0"/>
        </w:rPr>
        <w:t>False-positive spike</w:t>
      </w:r>
    </w:p>
    <w:p>
      <w:pPr>
        <w:pStyle w:val="ListBullet"/>
      </w:pPr>
      <w:r>
        <w:rPr>
          <w:b w:val="0"/>
        </w:rPr>
        <w:t>Model unavailable</w:t>
      </w:r>
    </w:p>
    <w:p>
      <w:pPr>
        <w:pStyle w:val="ListBullet"/>
      </w:pPr>
      <w:r>
        <w:rPr>
          <w:b w:val="0"/>
        </w:rPr>
        <w:t>Feature source stale</w:t>
      </w:r>
    </w:p>
    <w:p>
      <w:pPr>
        <w:pStyle w:val="ListBullet"/>
      </w:pPr>
      <w:r>
        <w:rPr>
          <w:b w:val="0"/>
        </w:rPr>
        <w:t>Cross-tenant linkage denied</w:t>
      </w:r>
    </w:p>
    <w:p>
      <w:pPr>
        <w:pStyle w:val="ListBullet"/>
      </w:pPr>
      <w:r>
        <w:rPr>
          <w:b w:val="0"/>
        </w:rPr>
        <w:t>Unexplainable model result</w:t>
      </w:r>
    </w:p>
    <w:p>
      <w:pPr>
        <w:pStyle w:val="Heading3"/>
      </w:pPr>
      <w:r>
        <w:rPr>
          <w:b w:val="0"/>
        </w:rPr>
        <w:t>Minimum acceptance tests</w:t>
      </w:r>
    </w:p>
    <w:p>
      <w:pPr>
        <w:pStyle w:val="ListBullet"/>
      </w:pPr>
      <w:r>
        <w:rPr>
          <w:b w:val="0"/>
        </w:rPr>
        <w:t>Every adverse workflow effect requires deterministic policy or authorized human decision; raw AI score alone cannot reject.</w:t>
      </w:r>
    </w:p>
    <w:p>
      <w:pPr>
        <w:pStyle w:val="ListBullet"/>
      </w:pPr>
      <w:r>
        <w:rPr>
          <w:b w:val="0"/>
        </w:rPr>
        <w:t>Signals include provenance, reason and model/rule version.</w:t>
      </w:r>
    </w:p>
    <w:p>
      <w:pPr>
        <w:pStyle w:val="ListBullet"/>
      </w:pPr>
      <w:r>
        <w:rPr>
          <w:b w:val="0"/>
        </w:rPr>
        <w:t>Fairness/drift and false-positive monitoring are part of release evidence where ML is used.</w:t>
      </w:r>
    </w:p>
    <w:p>
      <w:pPr>
        <w:pStyle w:val="ListBullet"/>
      </w:pPr>
      <w:r>
        <w:rPr>
          <w:b w:val="0"/>
        </w:rPr>
        <w:t>Unauthorized and wrong-tenant requests are denied without data leakage.</w:t>
      </w:r>
    </w:p>
    <w:p>
      <w:pPr>
        <w:pStyle w:val="ListBullet"/>
      </w:pPr>
      <w:r>
        <w:rPr>
          <w:b w:val="0"/>
        </w:rPr>
        <w:t>Duplicate command/event/callback does not create duplicate business effect.</w:t>
      </w:r>
    </w:p>
    <w:p>
      <w:pPr>
        <w:pStyle w:val="ListBullet"/>
      </w:pPr>
      <w:r>
        <w:rPr>
          <w:b w:val="0"/>
        </w:rPr>
        <w:t>Audit/trace/correlation metadata is emitted for material actions.</w:t>
      </w:r>
    </w:p>
    <w:p>
      <w:pPr>
        <w:pStyle w:val="ListBullet"/>
      </w:pPr>
      <w:r>
        <w:rPr>
          <w:b w:val="0"/>
        </w:rPr>
        <w:t>Schema/version incompatibility fails explicitly rather than silently changing behavior.</w:t>
      </w:r>
    </w:p>
    <w:p>
      <w:pPr>
        <w:pStyle w:val="Heading2"/>
      </w:pPr>
      <w:r>
        <w:rPr>
          <w:b w:val="0"/>
        </w:rPr>
        <w:t>CMP-061  Citizen Privacy &amp; Data Rights Centre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tcMar>
              <w:top w:w="80" w:type="dxa"/>
              <w:start w:w="100" w:type="dxa"/>
              <w:bottom w:w="80" w:type="dxa"/>
              <w:end w:w="100" w:type="dxa"/>
            </w:tcMar>
          </w:tcPr>
          <w:p>
            <w:r>
              <w:rPr>
                <w:b w:val="0"/>
                <w:color w:val="333333"/>
                <w:sz w:val="18"/>
              </w:rPr>
              <w:t>Classification</w:t>
            </w:r>
          </w:p>
        </w:tc>
        <w:tc>
          <w:tcPr>
            <w:tcW w:type="dxa" w:w="8208"/>
            <w:vAlign w:val="center"/>
            <w:tcMar>
              <w:top w:w="80" w:type="dxa"/>
              <w:start w:w="100" w:type="dxa"/>
              <w:bottom w:w="80" w:type="dxa"/>
              <w:end w:w="100" w:type="dxa"/>
            </w:tcMar>
          </w:tcPr>
          <w:p>
            <w:r>
              <w:rPr>
                <w:b w:val="0"/>
                <w:color w:val="333333"/>
                <w:sz w:val="18"/>
              </w:rPr>
              <w:t>Citizen Trust / Privacy Domain</w:t>
            </w:r>
          </w:p>
        </w:tc>
      </w:tr>
      <w:tr>
        <w:trPr>
          <w:cantSplit/>
        </w:trPr>
        <w:tc>
          <w:tcPr>
            <w:tcW w:type="dxa" w:w="2160"/>
            <w:vAlign w:val="center"/>
            <w:tcMar>
              <w:top w:w="80" w:type="dxa"/>
              <w:start w:w="100" w:type="dxa"/>
              <w:bottom w:w="80" w:type="dxa"/>
              <w:end w:w="100" w:type="dxa"/>
            </w:tcMar>
          </w:tcPr>
          <w:p>
            <w:r>
              <w:rPr>
                <w:b w:val="0"/>
                <w:color w:val="333333"/>
                <w:sz w:val="18"/>
              </w:rPr>
              <w:t>Purpose</w:t>
            </w:r>
          </w:p>
        </w:tc>
        <w:tc>
          <w:tcPr>
            <w:tcW w:type="dxa" w:w="8208"/>
            <w:vAlign w:val="center"/>
            <w:tcMar>
              <w:top w:w="80" w:type="dxa"/>
              <w:start w:w="100" w:type="dxa"/>
              <w:bottom w:w="80" w:type="dxa"/>
              <w:end w:w="100" w:type="dxa"/>
            </w:tcMar>
          </w:tcPr>
          <w:p>
            <w:r>
              <w:rPr>
                <w:b w:val="0"/>
                <w:color w:val="333333"/>
                <w:sz w:val="18"/>
              </w:rPr>
              <w:t>Give citizens a coherent view of data use, consent, provenance, retention and applicable rights requests while orchestrating fulfillment across owning components.</w:t>
            </w:r>
          </w:p>
        </w:tc>
      </w:tr>
      <w:tr>
        <w:trPr>
          <w:cantSplit/>
        </w:trPr>
        <w:tc>
          <w:tcPr>
            <w:tcW w:type="dxa" w:w="2160"/>
            <w:vAlign w:val="center"/>
            <w:tcMar>
              <w:top w:w="80" w:type="dxa"/>
              <w:start w:w="100" w:type="dxa"/>
              <w:bottom w:w="80" w:type="dxa"/>
              <w:end w:w="100" w:type="dxa"/>
            </w:tcMar>
          </w:tcPr>
          <w:p>
            <w:r>
              <w:rPr>
                <w:b w:val="0"/>
                <w:color w:val="333333"/>
                <w:sz w:val="18"/>
              </w:rPr>
              <w:t>Tenant model</w:t>
            </w:r>
          </w:p>
        </w:tc>
        <w:tc>
          <w:tcPr>
            <w:tcW w:type="dxa" w:w="8208"/>
            <w:vAlign w:val="center"/>
            <w:tcMar>
              <w:top w:w="80" w:type="dxa"/>
              <w:start w:w="100" w:type="dxa"/>
              <w:bottom w:w="80" w:type="dxa"/>
              <w:end w:w="100" w:type="dxa"/>
            </w:tcMar>
          </w:tcPr>
          <w:p>
            <w:r>
              <w:rPr>
                <w:b w:val="0"/>
                <w:color w:val="333333"/>
                <w:sz w:val="18"/>
              </w:rPr>
              <w:t>Citizen-private rights requests may span tenant-held data only where legally applicable; each tenant/data-fiduciary scope is explicit and audited.</w:t>
            </w:r>
          </w:p>
        </w:tc>
      </w:tr>
      <w:tr>
        <w:trPr>
          <w:cantSplit/>
        </w:trPr>
        <w:tc>
          <w:tcPr>
            <w:tcW w:type="dxa" w:w="2160"/>
            <w:vAlign w:val="center"/>
            <w:tcMar>
              <w:top w:w="80" w:type="dxa"/>
              <w:start w:w="100" w:type="dxa"/>
              <w:bottom w:w="80" w:type="dxa"/>
              <w:end w:w="100" w:type="dxa"/>
            </w:tcMar>
          </w:tcPr>
          <w:p>
            <w:r>
              <w:rPr>
                <w:b w:val="0"/>
                <w:color w:val="333333"/>
                <w:sz w:val="18"/>
              </w:rPr>
              <w:t>Primary NFR</w:t>
            </w:r>
          </w:p>
        </w:tc>
        <w:tc>
          <w:tcPr>
            <w:tcW w:type="dxa" w:w="8208"/>
            <w:vAlign w:val="center"/>
            <w:tcMar>
              <w:top w:w="80" w:type="dxa"/>
              <w:start w:w="100" w:type="dxa"/>
              <w:bottom w:w="80" w:type="dxa"/>
              <w:end w:w="100" w:type="dxa"/>
            </w:tcMar>
          </w:tcPr>
          <w:p>
            <w:r>
              <w:rPr>
                <w:b w:val="0"/>
                <w:color w:val="333333"/>
                <w:sz w:val="18"/>
              </w:rPr>
              <w:t>Rights requests are durable cases with SLA, identity assurance, evidence, exceptions and immutable audit; they must not be lost during downstream outages.</w:t>
            </w:r>
          </w:p>
        </w:tc>
      </w:tr>
    </w:tbl>
    <w:p>
      <w:pPr>
        <w:pStyle w:val="Heading3"/>
      </w:pPr>
      <w:r>
        <w:rPr>
          <w:b w:val="0"/>
        </w:rPr>
        <w:t>Responsibilities</w:t>
      </w:r>
    </w:p>
    <w:p>
      <w:pPr>
        <w:pStyle w:val="ListBullet"/>
      </w:pPr>
      <w:r>
        <w:rPr>
          <w:b w:val="0"/>
        </w:rPr>
        <w:t>Citizen-facing data-use/consent dashboard</w:t>
      </w:r>
    </w:p>
    <w:p>
      <w:pPr>
        <w:pStyle w:val="ListBullet"/>
      </w:pPr>
      <w:r>
        <w:rPr>
          <w:b w:val="0"/>
        </w:rPr>
        <w:t>Consent history and linked-claim provenance</w:t>
      </w:r>
    </w:p>
    <w:p>
      <w:pPr>
        <w:pStyle w:val="ListBullet"/>
      </w:pPr>
      <w:r>
        <w:rPr>
          <w:b w:val="0"/>
        </w:rPr>
        <w:t>Access/correction/erasure/withdrawal request intake</w:t>
      </w:r>
    </w:p>
    <w:p>
      <w:pPr>
        <w:pStyle w:val="ListBullet"/>
      </w:pPr>
      <w:r>
        <w:rPr>
          <w:b w:val="0"/>
        </w:rPr>
        <w:t>Identity assurance for rights requests</w:t>
      </w:r>
    </w:p>
    <w:p>
      <w:pPr>
        <w:pStyle w:val="ListBullet"/>
      </w:pPr>
      <w:r>
        <w:rPr>
          <w:b w:val="0"/>
        </w:rPr>
        <w:t>Rights-workflow orchestration and status</w:t>
      </w:r>
    </w:p>
    <w:p>
      <w:pPr>
        <w:pStyle w:val="ListBullet"/>
      </w:pPr>
      <w:r>
        <w:rPr>
          <w:b w:val="0"/>
        </w:rPr>
        <w:t>Retention/legal-hold explanation and fulfillment evidence</w:t>
      </w:r>
    </w:p>
    <w:p>
      <w:pPr>
        <w:pStyle w:val="Heading3"/>
      </w:pPr>
      <w:r>
        <w:rPr>
          <w:b w:val="0"/>
        </w:rPr>
        <w:t>Explicit non-responsibilities</w:t>
      </w:r>
    </w:p>
    <w:p>
      <w:pPr>
        <w:pStyle w:val="ListBullet"/>
      </w:pPr>
      <w:r>
        <w:rPr>
          <w:b w:val="0"/>
        </w:rPr>
        <w:t>Does not directly delete another component’s authoritative data</w:t>
      </w:r>
    </w:p>
    <w:p>
      <w:pPr>
        <w:pStyle w:val="ListBullet"/>
      </w:pPr>
      <w:r>
        <w:rPr>
          <w:b w:val="0"/>
        </w:rPr>
        <w:t>Does not promise erasure where law/retention exception applies</w:t>
      </w:r>
    </w:p>
    <w:p>
      <w:pPr>
        <w:pStyle w:val="ListBullet"/>
      </w:pPr>
      <w:r>
        <w:rPr>
          <w:b w:val="0"/>
        </w:rPr>
        <w:t>Does not expose data across tenant/purpose boundaries</w:t>
      </w:r>
    </w:p>
    <w:p>
      <w:pPr>
        <w:pStyle w:val="Heading3"/>
      </w:pPr>
      <w:r>
        <w:rPr>
          <w:b w:val="0"/>
        </w:rPr>
        <w:t>Authoritative data / state</w:t>
      </w:r>
    </w:p>
    <w:p>
      <w:pPr>
        <w:pStyle w:val="ListBullet"/>
      </w:pPr>
      <w:r>
        <w:rPr>
          <w:b w:val="0"/>
        </w:rPr>
        <w:t>privacy_request</w:t>
      </w:r>
    </w:p>
    <w:p>
      <w:pPr>
        <w:pStyle w:val="ListBullet"/>
      </w:pPr>
      <w:r>
        <w:rPr>
          <w:b w:val="0"/>
        </w:rPr>
        <w:t>privacy_request_scope</w:t>
      </w:r>
    </w:p>
    <w:p>
      <w:pPr>
        <w:pStyle w:val="ListBullet"/>
      </w:pPr>
      <w:r>
        <w:rPr>
          <w:b w:val="0"/>
        </w:rPr>
        <w:t>privacy_fulfilment_task</w:t>
      </w:r>
    </w:p>
    <w:p>
      <w:pPr>
        <w:pStyle w:val="ListBullet"/>
      </w:pPr>
      <w:r>
        <w:rPr>
          <w:b w:val="0"/>
        </w:rPr>
        <w:t>privacy_decision</w:t>
      </w:r>
    </w:p>
    <w:p>
      <w:pPr>
        <w:pStyle w:val="ListBullet"/>
      </w:pPr>
      <w:r>
        <w:rPr>
          <w:b w:val="0"/>
        </w:rPr>
        <w:t>data_use_summary</w:t>
      </w:r>
    </w:p>
    <w:p>
      <w:pPr>
        <w:pStyle w:val="Heading3"/>
      </w:pPr>
      <w:r>
        <w:rPr>
          <w:b w:val="0"/>
        </w:rPr>
        <w:t>Primary interfaces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tcMar>
              <w:top w:w="80" w:type="dxa"/>
              <w:start w:w="100" w:type="dxa"/>
              <w:bottom w:w="80" w:type="dxa"/>
              <w:end w:w="100" w:type="dxa"/>
            </w:tcMar>
            <w:shd w:fill="EAF1F8"/>
          </w:tcPr>
          <w:p>
            <w:r>
              <w:rPr>
                <w:b/>
                <w:color w:val="17365D"/>
                <w:sz w:val="18"/>
              </w:rPr>
              <w:t>Type</w:t>
            </w:r>
          </w:p>
        </w:tc>
        <w:tc>
          <w:tcPr>
            <w:tcW w:type="dxa" w:w="8496"/>
            <w:vAlign w:val="center"/>
            <w:tcMar>
              <w:top w:w="80" w:type="dxa"/>
              <w:start w:w="100" w:type="dxa"/>
              <w:bottom w:w="80" w:type="dxa"/>
              <w:end w:w="100" w:type="dxa"/>
            </w:tcMar>
            <w:shd w:fill="EAF1F8"/>
          </w:tcPr>
          <w:p>
            <w:r>
              <w:rPr>
                <w:b/>
                <w:color w:val="17365D"/>
                <w:sz w:val="18"/>
              </w:rPr>
              <w:t>Interface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/privacy/me</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/privacy/me/consents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/privacy/requests</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GET /privacy/requests/{id}</w:t>
            </w:r>
          </w:p>
        </w:tc>
      </w:tr>
      <w:tr>
        <w:trPr>
          <w:cantSplit/>
        </w:trPr>
        <w:tc>
          <w:tcPr>
            <w:tcW w:type="dxa" w:w="1872"/>
            <w:vAlign w:val="center"/>
            <w:tcMar>
              <w:top w:w="80" w:type="dxa"/>
              <w:start w:w="100" w:type="dxa"/>
              <w:bottom w:w="80" w:type="dxa"/>
              <w:end w:w="100" w:type="dxa"/>
            </w:tcMar>
          </w:tcPr>
          <w:p>
            <w:r>
              <w:rPr>
                <w:b w:val="0"/>
                <w:color w:val="333333"/>
                <w:sz w:val="18"/>
              </w:rPr>
              <w:t>API</w:t>
            </w:r>
          </w:p>
        </w:tc>
        <w:tc>
          <w:tcPr>
            <w:tcW w:type="dxa" w:w="8496"/>
            <w:vAlign w:val="center"/>
            <w:tcMar>
              <w:top w:w="80" w:type="dxa"/>
              <w:start w:w="100" w:type="dxa"/>
              <w:bottom w:w="80" w:type="dxa"/>
              <w:end w:w="100" w:type="dxa"/>
            </w:tcMar>
          </w:tcPr>
          <w:p>
            <w:r>
              <w:rPr>
                <w:b w:val="0"/>
                <w:color w:val="333333"/>
                <w:sz w:val="18"/>
              </w:rPr>
              <w:t>POST /privacy/requests/{id}/withdraw</w:t>
            </w:r>
          </w:p>
        </w:tc>
      </w:tr>
    </w:tbl>
    <w:p>
      <w:pPr>
        <w:pStyle w:val="Heading3"/>
      </w:pPr>
      <w:r>
        <w:rPr>
          <w:b w:val="0"/>
        </w:rPr>
        <w:t>Events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tcMar>
              <w:top w:w="80" w:type="dxa"/>
              <w:start w:w="100" w:type="dxa"/>
              <w:bottom w:w="80" w:type="dxa"/>
              <w:end w:w="100" w:type="dxa"/>
            </w:tcMar>
            <w:shd w:fill="EAF1F8"/>
          </w:tcPr>
          <w:p>
            <w:r>
              <w:rPr>
                <w:b/>
                <w:color w:val="17365D"/>
                <w:sz w:val="18"/>
              </w:rPr>
              <w:t>Direction</w:t>
            </w:r>
          </w:p>
        </w:tc>
        <w:tc>
          <w:tcPr>
            <w:tcW w:type="dxa" w:w="8064"/>
            <w:vAlign w:val="center"/>
            <w:tcMar>
              <w:top w:w="80" w:type="dxa"/>
              <w:start w:w="100" w:type="dxa"/>
              <w:bottom w:w="80" w:type="dxa"/>
              <w:end w:w="100" w:type="dxa"/>
            </w:tcMar>
            <w:shd w:fill="EAF1F8"/>
          </w:tcPr>
          <w:p>
            <w:r>
              <w:rPr>
                <w:b/>
                <w:color w:val="17365D"/>
                <w:sz w:val="18"/>
              </w:rPr>
              <w:t>Event / Contract</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PrivacyRequestSubmitted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PrivacyTaskRequested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PrivacyRequestCompleted</w:t>
            </w:r>
          </w:p>
        </w:tc>
      </w:tr>
      <w:tr>
        <w:trPr>
          <w:cantSplit/>
        </w:trPr>
        <w:tc>
          <w:tcPr>
            <w:tcW w:type="dxa" w:w="2304"/>
            <w:vAlign w:val="center"/>
            <w:tcMar>
              <w:top w:w="80" w:type="dxa"/>
              <w:start w:w="100" w:type="dxa"/>
              <w:bottom w:w="80" w:type="dxa"/>
              <w:end w:w="100" w:type="dxa"/>
            </w:tcMar>
          </w:tcPr>
          <w:p>
            <w:r>
              <w:rPr>
                <w:b w:val="0"/>
                <w:color w:val="333333"/>
                <w:sz w:val="18"/>
              </w:rPr>
              <w:t>Emits / handles</w:t>
            </w:r>
          </w:p>
        </w:tc>
        <w:tc>
          <w:tcPr>
            <w:tcW w:type="dxa" w:w="8064"/>
            <w:vAlign w:val="center"/>
            <w:tcMar>
              <w:top w:w="80" w:type="dxa"/>
              <w:start w:w="100" w:type="dxa"/>
              <w:bottom w:w="80" w:type="dxa"/>
              <w:end w:w="100" w:type="dxa"/>
            </w:tcMar>
          </w:tcPr>
          <w:p>
            <w:r>
              <w:rPr>
                <w:b w:val="0"/>
                <w:color w:val="333333"/>
                <w:sz w:val="18"/>
              </w:rPr>
              <w:t>ConsentWithdrawalRequested</w:t>
            </w:r>
          </w:p>
        </w:tc>
      </w:tr>
    </w:tbl>
    <w:p>
      <w:pPr>
        <w:pStyle w:val="Heading3"/>
      </w:pPr>
      <w:r>
        <w:rPr>
          <w:b w:val="0"/>
        </w:rPr>
        <w:t>Dependencies and integration</w:t>
      </w:r>
    </w:p>
    <w:p>
      <w:pPr>
        <w:pStyle w:val="ListBullet"/>
      </w:pPr>
      <w:r>
        <w:rPr>
          <w:b w:val="0"/>
        </w:rPr>
        <w:t>CMP-030 Consent &amp; Privacy</w:t>
      </w:r>
    </w:p>
    <w:p>
      <w:pPr>
        <w:pStyle w:val="ListBullet"/>
      </w:pPr>
      <w:r>
        <w:rPr>
          <w:b w:val="0"/>
        </w:rPr>
        <w:t>CMP-031 Audit</w:t>
      </w:r>
    </w:p>
    <w:p>
      <w:pPr>
        <w:pStyle w:val="ListBullet"/>
      </w:pPr>
      <w:r>
        <w:rPr>
          <w:b w:val="0"/>
        </w:rPr>
        <w:t>CMP-049 Retention</w:t>
      </w:r>
    </w:p>
    <w:p>
      <w:pPr>
        <w:pStyle w:val="ListBullet"/>
      </w:pPr>
      <w:r>
        <w:rPr>
          <w:b w:val="0"/>
        </w:rPr>
        <w:t>CMP-004 Identity</w:t>
      </w:r>
    </w:p>
    <w:p>
      <w:pPr>
        <w:pStyle w:val="ListBullet"/>
      </w:pPr>
      <w:r>
        <w:rPr>
          <w:b w:val="0"/>
        </w:rPr>
        <w:t>CMP-017 Work Queue</w:t>
      </w:r>
    </w:p>
    <w:p>
      <w:pPr>
        <w:pStyle w:val="ListBullet"/>
      </w:pPr>
      <w:r>
        <w:rPr>
          <w:b w:val="0"/>
        </w:rPr>
        <w:t>CMP-025 Notification</w:t>
      </w:r>
    </w:p>
    <w:p>
      <w:pPr>
        <w:pStyle w:val="Heading3"/>
      </w:pPr>
      <w:r>
        <w:rPr>
          <w:b w:val="0"/>
        </w:rPr>
        <w:t>Failure behavior and safeguards</w:t>
      </w:r>
    </w:p>
    <w:p>
      <w:pPr>
        <w:pStyle w:val="ListBullet"/>
      </w:pPr>
      <w:r>
        <w:rPr>
          <w:b w:val="0"/>
        </w:rPr>
        <w:t>Identity assurance insufficient</w:t>
      </w:r>
    </w:p>
    <w:p>
      <w:pPr>
        <w:pStyle w:val="ListBullet"/>
      </w:pPr>
      <w:r>
        <w:rPr>
          <w:b w:val="0"/>
        </w:rPr>
        <w:t>Legal hold blocks erasure</w:t>
      </w:r>
    </w:p>
    <w:p>
      <w:pPr>
        <w:pStyle w:val="ListBullet"/>
      </w:pPr>
      <w:r>
        <w:rPr>
          <w:b w:val="0"/>
        </w:rPr>
        <w:t>Owning service unavailable</w:t>
      </w:r>
    </w:p>
    <w:p>
      <w:pPr>
        <w:pStyle w:val="ListBullet"/>
      </w:pPr>
      <w:r>
        <w:rPr>
          <w:b w:val="0"/>
        </w:rPr>
        <w:t>Scope ambiguity</w:t>
      </w:r>
    </w:p>
    <w:p>
      <w:pPr>
        <w:pStyle w:val="ListBullet"/>
      </w:pPr>
      <w:r>
        <w:rPr>
          <w:b w:val="0"/>
        </w:rPr>
        <w:t>Cross-tenant request</w:t>
      </w:r>
    </w:p>
    <w:p>
      <w:pPr>
        <w:pStyle w:val="Heading3"/>
      </w:pPr>
      <w:r>
        <w:rPr>
          <w:b w:val="0"/>
        </w:rPr>
        <w:t>Minimum acceptance tests</w:t>
      </w:r>
    </w:p>
    <w:p>
      <w:pPr>
        <w:pStyle w:val="ListBullet"/>
      </w:pPr>
      <w:r>
        <w:rPr>
          <w:b w:val="0"/>
        </w:rPr>
        <w:t>Rights request has clear scope, legal basis/exception, SLA, owning-service tasks and completion evidence.</w:t>
      </w:r>
    </w:p>
    <w:p>
      <w:pPr>
        <w:pStyle w:val="ListBullet"/>
      </w:pPr>
      <w:r>
        <w:rPr>
          <w:b w:val="0"/>
        </w:rPr>
        <w:t>No direct cross-domain deletion; owning services execute and attest changes.</w:t>
      </w:r>
    </w:p>
    <w:p>
      <w:pPr>
        <w:pStyle w:val="ListBullet"/>
      </w:pPr>
      <w:r>
        <w:rPr>
          <w:b w:val="0"/>
        </w:rPr>
        <w:t>Unauthorized and wrong-tenant requests are denied without data leakage.</w:t>
      </w:r>
    </w:p>
    <w:p>
      <w:pPr>
        <w:pStyle w:val="ListBullet"/>
      </w:pPr>
      <w:r>
        <w:rPr>
          <w:b w:val="0"/>
        </w:rPr>
        <w:t>Duplicate command/event/callback does not create duplicate business effect.</w:t>
      </w:r>
    </w:p>
    <w:p>
      <w:pPr>
        <w:pStyle w:val="ListBullet"/>
      </w:pPr>
      <w:r>
        <w:rPr>
          <w:b w:val="0"/>
        </w:rPr>
        <w:t>Audit/trace/correlation metadata is emitted for material actions.</w:t>
      </w:r>
    </w:p>
    <w:p>
      <w:pPr>
        <w:pStyle w:val="ListBullet"/>
      </w:pPr>
      <w:r>
        <w:rPr>
          <w:b w:val="0"/>
        </w:rPr>
        <w:t>Schema/version incompatibility fails explicitly rather than silently changing behavior.</w:t>
      </w:r>
    </w:p>
    <w:p>
      <w:pPr>
        <w:pStyle w:val="ListBullet"/>
        <w:spacing w:after="40" w:line="259" w:lineRule="auto"/>
      </w:pPr>
      <w:r>
        <w:rPr>
          <w:rFonts w:ascii="Aptos" w:hAnsi="Aptos"/>
        </w:rPr>
        <w:t>5. Cross-Component Integration Contracts (INT-001 to INT-019)</w:t>
      </w:r>
    </w:p>
    <w:p>
      <w:pPr>
        <w:pStyle w:val="Heading2"/>
      </w:pPr>
      <w:r>
        <w:rPr>
          <w:b w:val="0"/>
        </w:rPr>
        <w:t>INT-013  External dependency simulation contract</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80" w:type="dxa"/>
              <w:start w:w="100" w:type="dxa"/>
              <w:bottom w:w="80" w:type="dxa"/>
              <w:end w:w="100" w:type="dxa"/>
            </w:tcMar>
          </w:tcPr>
          <w:p>
            <w:r>
              <w:rPr>
                <w:b w:val="0"/>
                <w:color w:val="333333"/>
                <w:sz w:val="18"/>
              </w:rPr>
              <w:t>Participating blocks</w:t>
            </w:r>
          </w:p>
        </w:tc>
        <w:tc>
          <w:tcPr>
            <w:tcW w:type="dxa" w:w="7920"/>
            <w:vAlign w:val="center"/>
            <w:tcMar>
              <w:top w:w="80" w:type="dxa"/>
              <w:start w:w="100" w:type="dxa"/>
              <w:bottom w:w="80" w:type="dxa"/>
              <w:end w:w="100" w:type="dxa"/>
            </w:tcMar>
          </w:tcPr>
          <w:p>
            <w:r>
              <w:rPr>
                <w:b w:val="0"/>
                <w:color w:val="333333"/>
                <w:sz w:val="18"/>
              </w:rPr>
              <w:t>CMP-037, CMP-021, CMP-025, CMP-004</w:t>
            </w:r>
          </w:p>
        </w:tc>
      </w:tr>
      <w:tr>
        <w:trPr>
          <w:cantSplit/>
        </w:trPr>
        <w:tc>
          <w:tcPr>
            <w:tcW w:type="dxa" w:w="2448"/>
            <w:vAlign w:val="center"/>
            <w:tcMar>
              <w:top w:w="80" w:type="dxa"/>
              <w:start w:w="100" w:type="dxa"/>
              <w:bottom w:w="80" w:type="dxa"/>
              <w:end w:w="100" w:type="dxa"/>
            </w:tcMar>
          </w:tcPr>
          <w:p>
            <w:r>
              <w:rPr>
                <w:b w:val="0"/>
                <w:color w:val="333333"/>
                <w:sz w:val="18"/>
              </w:rPr>
              <w:t>Pattern</w:t>
            </w:r>
          </w:p>
        </w:tc>
        <w:tc>
          <w:tcPr>
            <w:tcW w:type="dxa" w:w="7920"/>
            <w:vAlign w:val="center"/>
            <w:tcMar>
              <w:top w:w="80" w:type="dxa"/>
              <w:start w:w="100" w:type="dxa"/>
              <w:bottom w:w="80" w:type="dxa"/>
              <w:end w:w="100" w:type="dxa"/>
            </w:tcMar>
          </w:tcPr>
          <w:p>
            <w:r>
              <w:rPr>
                <w:b w:val="0"/>
                <w:color w:val="333333"/>
                <w:sz w:val="18"/>
              </w:rPr>
              <w:t>API + domain events + versioned metadata; authoritative writes remain with owning component</w:t>
            </w:r>
          </w:p>
        </w:tc>
      </w:tr>
    </w:tbl>
    <w:p>
      <w:pPr/>
      <w:r>
        <w:rPr>
          <w:b w:val="0"/>
        </w:rPr>
        <w:t>1. Environment resolves each connector to REAL, SANDBOX or SIMULATED through server-side configuration.</w:t>
      </w:r>
    </w:p>
    <w:p>
      <w:pPr/>
      <w:r>
        <w:rPr>
          <w:b w:val="0"/>
        </w:rPr>
        <w:t>2. SIMULATED adapters implement the same public adapter contract and callback/event path as real providers.</w:t>
      </w:r>
    </w:p>
    <w:p>
      <w:pPr/>
      <w:r>
        <w:rPr>
          <w:b w:val="0"/>
        </w:rPr>
        <w:t>3. Production fails deployment/startup if a critical enabled connector resolves to SIMULATED.</w:t>
      </w:r>
    </w:p>
    <w:p>
      <w:pPr/>
      <w:r>
        <w:rPr>
          <w:b w:val="0"/>
        </w:rPr>
        <w:t>4. All simulated outputs are visibly test-marked and traceable to testRunId/scenario.</w:t>
      </w:r>
    </w:p>
    <w:p>
      <w:pPr>
        <w:pStyle w:val="Heading3"/>
      </w:pPr>
      <w:r>
        <w:rPr>
          <w:b w:val="0"/>
        </w:rPr>
        <w:t>Flow invariants</w:t>
      </w:r>
    </w:p>
    <w:p>
      <w:pPr>
        <w:pStyle w:val="ListBullet"/>
      </w:pPr>
      <w:r>
        <w:rPr>
          <w:b w:val="0"/>
        </w:rPr>
        <w:t>Every request/event carries correlation and tenant context where applicable.</w:t>
      </w:r>
    </w:p>
    <w:p>
      <w:pPr>
        <w:pStyle w:val="ListBullet"/>
      </w:pPr>
      <w:r>
        <w:rPr>
          <w:b w:val="0"/>
        </w:rPr>
        <w:t>Components write only their own authoritative state.</w:t>
      </w:r>
    </w:p>
    <w:p>
      <w:pPr>
        <w:pStyle w:val="ListBullet"/>
      </w:pPr>
      <w:r>
        <w:rPr>
          <w:b w:val="0"/>
        </w:rPr>
        <w:t>Retries and callbacks are idempotent and replay-safe.</w:t>
      </w:r>
    </w:p>
    <w:p>
      <w:pPr>
        <w:pStyle w:val="ListBullet"/>
      </w:pPr>
      <w:r>
        <w:rPr>
          <w:b w:val="0"/>
        </w:rPr>
        <w:t>Tests include failure, duplicate and wrong-tenant/security paths.</w:t>
      </w:r>
    </w:p>
    <w:p>
      <w:pPr>
        <w:pStyle w:val="Heading2"/>
      </w:pPr>
      <w:r>
        <w:rPr>
          <w:b w:val="0"/>
        </w:rPr>
        <w:t>INT-014  Appointment, inspection and hearing scheduling</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80" w:type="dxa"/>
              <w:start w:w="100" w:type="dxa"/>
              <w:bottom w:w="80" w:type="dxa"/>
              <w:end w:w="100" w:type="dxa"/>
            </w:tcMar>
          </w:tcPr>
          <w:p>
            <w:r>
              <w:rPr>
                <w:b w:val="0"/>
                <w:color w:val="333333"/>
                <w:sz w:val="18"/>
              </w:rPr>
              <w:t>Participating blocks</w:t>
            </w:r>
          </w:p>
        </w:tc>
        <w:tc>
          <w:tcPr>
            <w:tcW w:type="dxa" w:w="7920"/>
            <w:vAlign w:val="center"/>
            <w:tcMar>
              <w:top w:w="80" w:type="dxa"/>
              <w:start w:w="100" w:type="dxa"/>
              <w:bottom w:w="80" w:type="dxa"/>
              <w:end w:w="100" w:type="dxa"/>
            </w:tcMar>
          </w:tcPr>
          <w:p>
            <w:r>
              <w:rPr>
                <w:b w:val="0"/>
                <w:color w:val="333333"/>
                <w:sz w:val="18"/>
              </w:rPr>
              <w:t>CMP-056, CMP-015, CMP-016, CMP-017, CMP-025</w:t>
            </w:r>
          </w:p>
        </w:tc>
      </w:tr>
      <w:tr>
        <w:trPr>
          <w:cantSplit/>
        </w:trPr>
        <w:tc>
          <w:tcPr>
            <w:tcW w:type="dxa" w:w="2448"/>
            <w:vAlign w:val="center"/>
            <w:tcMar>
              <w:top w:w="80" w:type="dxa"/>
              <w:start w:w="100" w:type="dxa"/>
              <w:bottom w:w="80" w:type="dxa"/>
              <w:end w:w="100" w:type="dxa"/>
            </w:tcMar>
          </w:tcPr>
          <w:p>
            <w:r>
              <w:rPr>
                <w:b w:val="0"/>
                <w:color w:val="333333"/>
                <w:sz w:val="18"/>
              </w:rPr>
              <w:t>Pattern</w:t>
            </w:r>
          </w:p>
        </w:tc>
        <w:tc>
          <w:tcPr>
            <w:tcW w:type="dxa" w:w="7920"/>
            <w:vAlign w:val="center"/>
            <w:tcMar>
              <w:top w:w="80" w:type="dxa"/>
              <w:start w:w="100" w:type="dxa"/>
              <w:bottom w:w="80" w:type="dxa"/>
              <w:end w:w="100" w:type="dxa"/>
            </w:tcMar>
          </w:tcPr>
          <w:p>
            <w:r>
              <w:rPr>
                <w:b w:val="0"/>
                <w:color w:val="333333"/>
                <w:sz w:val="18"/>
              </w:rPr>
              <w:t>API + domain events + versioned metadata; authoritative writes remain with owning component</w:t>
            </w:r>
          </w:p>
        </w:tc>
      </w:tr>
    </w:tbl>
    <w:p>
      <w:pPr/>
      <w:r>
        <w:rPr>
          <w:b w:val="0"/>
        </w:rPr>
        <w:t>1. Workflow requests a schedule requirement by appointment type, resource scope and jurisdiction.</w:t>
      </w:r>
    </w:p>
    <w:p>
      <w:pPr/>
      <w:r>
        <w:rPr>
          <w:b w:val="0"/>
        </w:rPr>
        <w:t>2. Scheduler atomically reserves capacity and emits AppointmentBooked.</w:t>
      </w:r>
    </w:p>
    <w:p>
      <w:pPr/>
      <w:r>
        <w:rPr>
          <w:b w:val="0"/>
        </w:rPr>
        <w:t>3. Workflow waits on reschedule/cancel/complete/no-show events rather than polling.</w:t>
      </w:r>
    </w:p>
    <w:p>
      <w:pPr/>
      <w:r>
        <w:rPr>
          <w:b w:val="0"/>
        </w:rPr>
        <w:t>4. Notification is asynchronous; appointment state remains authoritative in CMP-056.</w:t>
      </w:r>
    </w:p>
    <w:p>
      <w:pPr>
        <w:pStyle w:val="Heading3"/>
      </w:pPr>
      <w:r>
        <w:rPr>
          <w:b w:val="0"/>
        </w:rPr>
        <w:t>Flow invariants</w:t>
      </w:r>
    </w:p>
    <w:p>
      <w:pPr>
        <w:pStyle w:val="ListBullet"/>
      </w:pPr>
      <w:r>
        <w:rPr>
          <w:b w:val="0"/>
        </w:rPr>
        <w:t>Every request/event carries correlation and tenant context where applicable.</w:t>
      </w:r>
    </w:p>
    <w:p>
      <w:pPr>
        <w:pStyle w:val="ListBullet"/>
      </w:pPr>
      <w:r>
        <w:rPr>
          <w:b w:val="0"/>
        </w:rPr>
        <w:t>Components write only their own authoritative state.</w:t>
      </w:r>
    </w:p>
    <w:p>
      <w:pPr>
        <w:pStyle w:val="ListBullet"/>
      </w:pPr>
      <w:r>
        <w:rPr>
          <w:b w:val="0"/>
        </w:rPr>
        <w:t>Retries and callbacks are idempotent and replay-safe.</w:t>
      </w:r>
    </w:p>
    <w:p>
      <w:pPr>
        <w:pStyle w:val="ListBullet"/>
      </w:pPr>
      <w:r>
        <w:rPr>
          <w:b w:val="0"/>
        </w:rPr>
        <w:t>Tests include failure, duplicate and wrong-tenant/security paths.</w:t>
      </w:r>
    </w:p>
    <w:p>
      <w:pPr>
        <w:pStyle w:val="Heading2"/>
      </w:pPr>
      <w:r>
        <w:rPr>
          <w:b w:val="0"/>
        </w:rPr>
        <w:t>INT-015  Assisted service and representative submission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80" w:type="dxa"/>
              <w:start w:w="100" w:type="dxa"/>
              <w:bottom w:w="80" w:type="dxa"/>
              <w:end w:w="100" w:type="dxa"/>
            </w:tcMar>
          </w:tcPr>
          <w:p>
            <w:r>
              <w:rPr>
                <w:b w:val="0"/>
                <w:color w:val="333333"/>
                <w:sz w:val="18"/>
              </w:rPr>
              <w:t>Participating blocks</w:t>
            </w:r>
          </w:p>
        </w:tc>
        <w:tc>
          <w:tcPr>
            <w:tcW w:type="dxa" w:w="7920"/>
            <w:vAlign w:val="center"/>
            <w:tcMar>
              <w:top w:w="80" w:type="dxa"/>
              <w:start w:w="100" w:type="dxa"/>
              <w:bottom w:w="80" w:type="dxa"/>
              <w:end w:w="100" w:type="dxa"/>
            </w:tcMar>
          </w:tcPr>
          <w:p>
            <w:r>
              <w:rPr>
                <w:b w:val="0"/>
                <w:color w:val="333333"/>
                <w:sz w:val="18"/>
              </w:rPr>
              <w:t>CMP-057, CMP-004, CMP-015, CMP-030, CMP-031, CMP-048</w:t>
            </w:r>
          </w:p>
        </w:tc>
      </w:tr>
      <w:tr>
        <w:trPr>
          <w:cantSplit/>
        </w:trPr>
        <w:tc>
          <w:tcPr>
            <w:tcW w:type="dxa" w:w="2448"/>
            <w:vAlign w:val="center"/>
            <w:tcMar>
              <w:top w:w="80" w:type="dxa"/>
              <w:start w:w="100" w:type="dxa"/>
              <w:bottom w:w="80" w:type="dxa"/>
              <w:end w:w="100" w:type="dxa"/>
            </w:tcMar>
          </w:tcPr>
          <w:p>
            <w:r>
              <w:rPr>
                <w:b w:val="0"/>
                <w:color w:val="333333"/>
                <w:sz w:val="18"/>
              </w:rPr>
              <w:t>Pattern</w:t>
            </w:r>
          </w:p>
        </w:tc>
        <w:tc>
          <w:tcPr>
            <w:tcW w:type="dxa" w:w="7920"/>
            <w:vAlign w:val="center"/>
            <w:tcMar>
              <w:top w:w="80" w:type="dxa"/>
              <w:start w:w="100" w:type="dxa"/>
              <w:bottom w:w="80" w:type="dxa"/>
              <w:end w:w="100" w:type="dxa"/>
            </w:tcMar>
          </w:tcPr>
          <w:p>
            <w:r>
              <w:rPr>
                <w:b w:val="0"/>
                <w:color w:val="333333"/>
                <w:sz w:val="18"/>
              </w:rPr>
              <w:t>API + domain events + versioned metadata; authoritative writes remain with owning component</w:t>
            </w:r>
          </w:p>
        </w:tc>
      </w:tr>
    </w:tbl>
    <w:p>
      <w:pPr/>
      <w:r>
        <w:rPr>
          <w:b w:val="0"/>
        </w:rPr>
        <w:t>1. Operator authenticates as self; applicant identity remains a separate subject.</w:t>
      </w:r>
    </w:p>
    <w:p>
      <w:pPr/>
      <w:r>
        <w:rPr>
          <w:b w:val="0"/>
        </w:rPr>
        <w:t>2. Representation basis and consent are verified before protected data is accessed or submission occurs.</w:t>
      </w:r>
    </w:p>
    <w:p>
      <w:pPr/>
      <w:r>
        <w:rPr>
          <w:b w:val="0"/>
        </w:rPr>
        <w:t>3. Application records applied_by and applied_for; OPA evaluates both operator authority and service scope.</w:t>
      </w:r>
    </w:p>
    <w:p>
      <w:pPr/>
      <w:r>
        <w:rPr>
          <w:b w:val="0"/>
        </w:rPr>
        <w:t>4. No shared kiosk session may leak prior citizen state.</w:t>
      </w:r>
    </w:p>
    <w:p>
      <w:pPr>
        <w:pStyle w:val="Heading3"/>
      </w:pPr>
      <w:r>
        <w:rPr>
          <w:b w:val="0"/>
        </w:rPr>
        <w:t>Flow invariants</w:t>
      </w:r>
    </w:p>
    <w:p>
      <w:pPr>
        <w:pStyle w:val="ListBullet"/>
      </w:pPr>
      <w:r>
        <w:rPr>
          <w:b w:val="0"/>
        </w:rPr>
        <w:t>Every request/event carries correlation and tenant context where applicable.</w:t>
      </w:r>
    </w:p>
    <w:p>
      <w:pPr>
        <w:pStyle w:val="ListBullet"/>
      </w:pPr>
      <w:r>
        <w:rPr>
          <w:b w:val="0"/>
        </w:rPr>
        <w:t>Components write only their own authoritative state.</w:t>
      </w:r>
    </w:p>
    <w:p>
      <w:pPr>
        <w:pStyle w:val="ListBullet"/>
      </w:pPr>
      <w:r>
        <w:rPr>
          <w:b w:val="0"/>
        </w:rPr>
        <w:t>Retries and callbacks are idempotent and replay-safe.</w:t>
      </w:r>
    </w:p>
    <w:p>
      <w:pPr>
        <w:pStyle w:val="ListBullet"/>
      </w:pPr>
      <w:r>
        <w:rPr>
          <w:b w:val="0"/>
        </w:rPr>
        <w:t>Tests include failure, duplicate and wrong-tenant/security paths.</w:t>
      </w:r>
    </w:p>
    <w:p>
      <w:pPr>
        <w:pStyle w:val="Heading2"/>
      </w:pPr>
      <w:r>
        <w:rPr>
          <w:b w:val="0"/>
        </w:rPr>
        <w:t>INT-016  Semantic registry to Studio and runtime data contracts</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80" w:type="dxa"/>
              <w:start w:w="100" w:type="dxa"/>
              <w:bottom w:w="80" w:type="dxa"/>
              <w:end w:w="100" w:type="dxa"/>
            </w:tcMar>
          </w:tcPr>
          <w:p>
            <w:r>
              <w:rPr>
                <w:b w:val="0"/>
                <w:color w:val="333333"/>
                <w:sz w:val="18"/>
              </w:rPr>
              <w:t>Participating blocks</w:t>
            </w:r>
          </w:p>
        </w:tc>
        <w:tc>
          <w:tcPr>
            <w:tcW w:type="dxa" w:w="7920"/>
            <w:vAlign w:val="center"/>
            <w:tcMar>
              <w:top w:w="80" w:type="dxa"/>
              <w:start w:w="100" w:type="dxa"/>
              <w:bottom w:w="80" w:type="dxa"/>
              <w:end w:w="100" w:type="dxa"/>
            </w:tcMar>
          </w:tcPr>
          <w:p>
            <w:r>
              <w:rPr>
                <w:b w:val="0"/>
                <w:color w:val="333333"/>
                <w:sz w:val="18"/>
              </w:rPr>
              <w:t>CMP-058, CMP-009, CMP-033, CMP-034, CMP-053</w:t>
            </w:r>
          </w:p>
        </w:tc>
      </w:tr>
      <w:tr>
        <w:trPr>
          <w:cantSplit/>
        </w:trPr>
        <w:tc>
          <w:tcPr>
            <w:tcW w:type="dxa" w:w="2448"/>
            <w:vAlign w:val="center"/>
            <w:tcMar>
              <w:top w:w="80" w:type="dxa"/>
              <w:start w:w="100" w:type="dxa"/>
              <w:bottom w:w="80" w:type="dxa"/>
              <w:end w:w="100" w:type="dxa"/>
            </w:tcMar>
          </w:tcPr>
          <w:p>
            <w:r>
              <w:rPr>
                <w:b w:val="0"/>
                <w:color w:val="333333"/>
                <w:sz w:val="18"/>
              </w:rPr>
              <w:t>Pattern</w:t>
            </w:r>
          </w:p>
        </w:tc>
        <w:tc>
          <w:tcPr>
            <w:tcW w:type="dxa" w:w="7920"/>
            <w:vAlign w:val="center"/>
            <w:tcMar>
              <w:top w:w="80" w:type="dxa"/>
              <w:start w:w="100" w:type="dxa"/>
              <w:bottom w:w="80" w:type="dxa"/>
              <w:end w:w="100" w:type="dxa"/>
            </w:tcMar>
          </w:tcPr>
          <w:p>
            <w:r>
              <w:rPr>
                <w:b w:val="0"/>
                <w:color w:val="333333"/>
                <w:sz w:val="18"/>
              </w:rPr>
              <w:t>API + domain events + versioned metadata; authoritative writes remain with owning component</w:t>
            </w:r>
          </w:p>
        </w:tc>
      </w:tr>
    </w:tbl>
    <w:p>
      <w:pPr/>
      <w:r>
        <w:rPr>
          <w:b w:val="0"/>
        </w:rPr>
        <w:t>1. Studio binds reusable fields to canonical semantic element/version IDs.</w:t>
      </w:r>
    </w:p>
    <w:p>
      <w:pPr/>
      <w:r>
        <w:rPr>
          <w:b w:val="0"/>
        </w:rPr>
        <w:t>2. Published forms pin semantic dependencies and code-list versions where authoritative meaning matters.</w:t>
      </w:r>
    </w:p>
    <w:p>
      <w:pPr/>
      <w:r>
        <w:rPr>
          <w:b w:val="0"/>
        </w:rPr>
        <w:t>3. Tenant extensions are namespaced and cannot redefine canonical semantics.</w:t>
      </w:r>
    </w:p>
    <w:p>
      <w:pPr/>
      <w:r>
        <w:rPr>
          <w:b w:val="0"/>
        </w:rPr>
        <w:t>4. Deprecation runs impact analysis before publication.</w:t>
      </w:r>
    </w:p>
    <w:p>
      <w:pPr>
        <w:pStyle w:val="Heading3"/>
      </w:pPr>
      <w:r>
        <w:rPr>
          <w:b w:val="0"/>
        </w:rPr>
        <w:t>Flow invariants</w:t>
      </w:r>
    </w:p>
    <w:p>
      <w:pPr>
        <w:pStyle w:val="ListBullet"/>
      </w:pPr>
      <w:r>
        <w:rPr>
          <w:b w:val="0"/>
        </w:rPr>
        <w:t>Every request/event carries correlation and tenant context where applicable.</w:t>
      </w:r>
    </w:p>
    <w:p>
      <w:pPr>
        <w:pStyle w:val="ListBullet"/>
      </w:pPr>
      <w:r>
        <w:rPr>
          <w:b w:val="0"/>
        </w:rPr>
        <w:t>Components write only their own authoritative state.</w:t>
      </w:r>
    </w:p>
    <w:p>
      <w:pPr>
        <w:pStyle w:val="ListBullet"/>
      </w:pPr>
      <w:r>
        <w:rPr>
          <w:b w:val="0"/>
        </w:rPr>
        <w:t>Retries and callbacks are idempotent and replay-safe.</w:t>
      </w:r>
    </w:p>
    <w:p>
      <w:pPr>
        <w:pStyle w:val="ListBullet"/>
      </w:pPr>
      <w:r>
        <w:rPr>
          <w:b w:val="0"/>
        </w:rPr>
        <w:t>Tests include failure, duplicate and wrong-tenant/security paths.</w:t>
      </w:r>
    </w:p>
    <w:p>
      <w:pPr>
        <w:pStyle w:val="Heading2"/>
      </w:pPr>
      <w:r>
        <w:rPr>
          <w:b w:val="0"/>
        </w:rPr>
        <w:t>INT-017  Legacy migration and onboarding factory</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80" w:type="dxa"/>
              <w:start w:w="100" w:type="dxa"/>
              <w:bottom w:w="80" w:type="dxa"/>
              <w:end w:w="100" w:type="dxa"/>
            </w:tcMar>
          </w:tcPr>
          <w:p>
            <w:r>
              <w:rPr>
                <w:b w:val="0"/>
                <w:color w:val="333333"/>
                <w:sz w:val="18"/>
              </w:rPr>
              <w:t>Participating blocks</w:t>
            </w:r>
          </w:p>
        </w:tc>
        <w:tc>
          <w:tcPr>
            <w:tcW w:type="dxa" w:w="7920"/>
            <w:vAlign w:val="center"/>
            <w:tcMar>
              <w:top w:w="80" w:type="dxa"/>
              <w:start w:w="100" w:type="dxa"/>
              <w:bottom w:w="80" w:type="dxa"/>
              <w:end w:w="100" w:type="dxa"/>
            </w:tcMar>
          </w:tcPr>
          <w:p>
            <w:r>
              <w:rPr>
                <w:b w:val="0"/>
                <w:color w:val="333333"/>
                <w:sz w:val="18"/>
              </w:rPr>
              <w:t>CMP-059, CMP-058, CMP-033, CMP-052, CMP-037, CMP-031</w:t>
            </w:r>
          </w:p>
        </w:tc>
      </w:tr>
      <w:tr>
        <w:trPr>
          <w:cantSplit/>
        </w:trPr>
        <w:tc>
          <w:tcPr>
            <w:tcW w:type="dxa" w:w="2448"/>
            <w:vAlign w:val="center"/>
            <w:tcMar>
              <w:top w:w="80" w:type="dxa"/>
              <w:start w:w="100" w:type="dxa"/>
              <w:bottom w:w="80" w:type="dxa"/>
              <w:end w:w="100" w:type="dxa"/>
            </w:tcMar>
          </w:tcPr>
          <w:p>
            <w:r>
              <w:rPr>
                <w:b w:val="0"/>
                <w:color w:val="333333"/>
                <w:sz w:val="18"/>
              </w:rPr>
              <w:t>Pattern</w:t>
            </w:r>
          </w:p>
        </w:tc>
        <w:tc>
          <w:tcPr>
            <w:tcW w:type="dxa" w:w="7920"/>
            <w:vAlign w:val="center"/>
            <w:tcMar>
              <w:top w:w="80" w:type="dxa"/>
              <w:start w:w="100" w:type="dxa"/>
              <w:bottom w:w="80" w:type="dxa"/>
              <w:end w:w="100" w:type="dxa"/>
            </w:tcMar>
          </w:tcPr>
          <w:p>
            <w:r>
              <w:rPr>
                <w:b w:val="0"/>
                <w:color w:val="333333"/>
                <w:sz w:val="18"/>
              </w:rPr>
              <w:t>API + domain events + versioned metadata; authoritative writes remain with owning component</w:t>
            </w:r>
          </w:p>
        </w:tc>
      </w:tr>
    </w:tbl>
    <w:p>
      <w:pPr/>
      <w:r>
        <w:rPr>
          <w:b w:val="0"/>
        </w:rPr>
        <w:t>1. Source is profiled and mapped to canonical semantics/config before any production write.</w:t>
      </w:r>
    </w:p>
    <w:p>
      <w:pPr/>
      <w:r>
        <w:rPr>
          <w:b w:val="0"/>
        </w:rPr>
        <w:t>2. Dry-run produces counts, hashes, exceptions and target validation.</w:t>
      </w:r>
    </w:p>
    <w:p>
      <w:pPr/>
      <w:r>
        <w:rPr>
          <w:b w:val="0"/>
        </w:rPr>
        <w:t>3. Production migration uses approved import interfaces/batches and emits audit evidence.</w:t>
      </w:r>
    </w:p>
    <w:p>
      <w:pPr/>
      <w:r>
        <w:rPr>
          <w:b w:val="0"/>
        </w:rPr>
        <w:t>4. Cutover cannot certify success until reconciliation passes.</w:t>
      </w:r>
    </w:p>
    <w:p>
      <w:pPr>
        <w:pStyle w:val="Heading3"/>
      </w:pPr>
      <w:r>
        <w:rPr>
          <w:b w:val="0"/>
        </w:rPr>
        <w:t>Flow invariants</w:t>
      </w:r>
    </w:p>
    <w:p>
      <w:pPr>
        <w:pStyle w:val="ListBullet"/>
      </w:pPr>
      <w:r>
        <w:rPr>
          <w:b w:val="0"/>
        </w:rPr>
        <w:t>Every request/event carries correlation and tenant context where applicable.</w:t>
      </w:r>
    </w:p>
    <w:p>
      <w:pPr>
        <w:pStyle w:val="ListBullet"/>
      </w:pPr>
      <w:r>
        <w:rPr>
          <w:b w:val="0"/>
        </w:rPr>
        <w:t>Components write only their own authoritative state.</w:t>
      </w:r>
    </w:p>
    <w:p>
      <w:pPr>
        <w:pStyle w:val="ListBullet"/>
      </w:pPr>
      <w:r>
        <w:rPr>
          <w:b w:val="0"/>
        </w:rPr>
        <w:t>Retries and callbacks are idempotent and replay-safe.</w:t>
      </w:r>
    </w:p>
    <w:p>
      <w:pPr>
        <w:pStyle w:val="ListBullet"/>
      </w:pPr>
      <w:r>
        <w:rPr>
          <w:b w:val="0"/>
        </w:rPr>
        <w:t>Tests include failure, duplicate and wrong-tenant/security paths.</w:t>
      </w:r>
    </w:p>
    <w:p>
      <w:pPr>
        <w:pStyle w:val="Heading2"/>
      </w:pPr>
      <w:r>
        <w:rPr>
          <w:b w:val="0"/>
        </w:rPr>
        <w:t>INT-018  Risk/integrity signal to authorized review</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80" w:type="dxa"/>
              <w:start w:w="100" w:type="dxa"/>
              <w:bottom w:w="80" w:type="dxa"/>
              <w:end w:w="100" w:type="dxa"/>
            </w:tcMar>
          </w:tcPr>
          <w:p>
            <w:r>
              <w:rPr>
                <w:b w:val="0"/>
                <w:color w:val="333333"/>
                <w:sz w:val="18"/>
              </w:rPr>
              <w:t>Participating blocks</w:t>
            </w:r>
          </w:p>
        </w:tc>
        <w:tc>
          <w:tcPr>
            <w:tcW w:type="dxa" w:w="7920"/>
            <w:vAlign w:val="center"/>
            <w:tcMar>
              <w:top w:w="80" w:type="dxa"/>
              <w:start w:w="100" w:type="dxa"/>
              <w:bottom w:w="80" w:type="dxa"/>
              <w:end w:w="100" w:type="dxa"/>
            </w:tcMar>
          </w:tcPr>
          <w:p>
            <w:r>
              <w:rPr>
                <w:b w:val="0"/>
                <w:color w:val="333333"/>
                <w:sz w:val="18"/>
              </w:rPr>
              <w:t>CMP-060, CMP-015, CMP-017, CMP-031, CMP-039</w:t>
            </w:r>
          </w:p>
        </w:tc>
      </w:tr>
      <w:tr>
        <w:trPr>
          <w:cantSplit/>
        </w:trPr>
        <w:tc>
          <w:tcPr>
            <w:tcW w:type="dxa" w:w="2448"/>
            <w:vAlign w:val="center"/>
            <w:tcMar>
              <w:top w:w="80" w:type="dxa"/>
              <w:start w:w="100" w:type="dxa"/>
              <w:bottom w:w="80" w:type="dxa"/>
              <w:end w:w="100" w:type="dxa"/>
            </w:tcMar>
          </w:tcPr>
          <w:p>
            <w:r>
              <w:rPr>
                <w:b w:val="0"/>
                <w:color w:val="333333"/>
                <w:sz w:val="18"/>
              </w:rPr>
              <w:t>Pattern</w:t>
            </w:r>
          </w:p>
        </w:tc>
        <w:tc>
          <w:tcPr>
            <w:tcW w:type="dxa" w:w="7920"/>
            <w:vAlign w:val="center"/>
            <w:tcMar>
              <w:top w:w="80" w:type="dxa"/>
              <w:start w:w="100" w:type="dxa"/>
              <w:bottom w:w="80" w:type="dxa"/>
              <w:end w:w="100" w:type="dxa"/>
            </w:tcMar>
          </w:tcPr>
          <w:p>
            <w:r>
              <w:rPr>
                <w:b w:val="0"/>
                <w:color w:val="333333"/>
                <w:sz w:val="18"/>
              </w:rPr>
              <w:t>API + domain events + versioned metadata; authoritative writes remain with owning component</w:t>
            </w:r>
          </w:p>
        </w:tc>
      </w:tr>
    </w:tbl>
    <w:p>
      <w:pPr/>
      <w:r>
        <w:rPr>
          <w:b w:val="0"/>
        </w:rPr>
        <w:t>1. Risk service emits explainable signal with provenance and model/rule version.</w:t>
      </w:r>
    </w:p>
    <w:p>
      <w:pPr/>
      <w:r>
        <w:rPr>
          <w:b w:val="0"/>
        </w:rPr>
        <w:t>2. High-risk signal may create an authorized review task but does not itself reject or penalize.</w:t>
      </w:r>
    </w:p>
    <w:p>
      <w:pPr/>
      <w:r>
        <w:rPr>
          <w:b w:val="0"/>
        </w:rPr>
        <w:t>3. OPA controls reviewer scope; final statutory outcome remains deterministic policy/human authority.</w:t>
      </w:r>
    </w:p>
    <w:p>
      <w:pPr/>
      <w:r>
        <w:rPr>
          <w:b w:val="0"/>
        </w:rPr>
        <w:t>4. Model drift/fairness/false-positive metrics are observable where ML is used.</w:t>
      </w:r>
    </w:p>
    <w:p>
      <w:pPr>
        <w:pStyle w:val="Heading3"/>
      </w:pPr>
      <w:r>
        <w:rPr>
          <w:b w:val="0"/>
        </w:rPr>
        <w:t>Flow invariants</w:t>
      </w:r>
    </w:p>
    <w:p>
      <w:pPr>
        <w:pStyle w:val="ListBullet"/>
      </w:pPr>
      <w:r>
        <w:rPr>
          <w:b w:val="0"/>
        </w:rPr>
        <w:t>Every request/event carries correlation and tenant context where applicable.</w:t>
      </w:r>
    </w:p>
    <w:p>
      <w:pPr>
        <w:pStyle w:val="ListBullet"/>
      </w:pPr>
      <w:r>
        <w:rPr>
          <w:b w:val="0"/>
        </w:rPr>
        <w:t>Components write only their own authoritative state.</w:t>
      </w:r>
    </w:p>
    <w:p>
      <w:pPr>
        <w:pStyle w:val="ListBullet"/>
      </w:pPr>
      <w:r>
        <w:rPr>
          <w:b w:val="0"/>
        </w:rPr>
        <w:t>Retries and callbacks are idempotent and replay-safe.</w:t>
      </w:r>
    </w:p>
    <w:p>
      <w:pPr>
        <w:pStyle w:val="ListBullet"/>
      </w:pPr>
      <w:r>
        <w:rPr>
          <w:b w:val="0"/>
        </w:rPr>
        <w:t>Tests include failure, duplicate and wrong-tenant/security paths.</w:t>
      </w:r>
    </w:p>
    <w:p>
      <w:pPr>
        <w:pStyle w:val="Heading2"/>
      </w:pPr>
      <w:r>
        <w:rPr>
          <w:b w:val="0"/>
        </w:rPr>
        <w:t>INT-019  Citizen privacy rights fulfilment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80" w:type="dxa"/>
              <w:start w:w="100" w:type="dxa"/>
              <w:bottom w:w="80" w:type="dxa"/>
              <w:end w:w="100" w:type="dxa"/>
            </w:tcMar>
          </w:tcPr>
          <w:p>
            <w:r>
              <w:rPr>
                <w:b w:val="0"/>
                <w:color w:val="333333"/>
                <w:sz w:val="18"/>
              </w:rPr>
              <w:t>Participating blocks</w:t>
            </w:r>
          </w:p>
        </w:tc>
        <w:tc>
          <w:tcPr>
            <w:tcW w:type="dxa" w:w="7920"/>
            <w:vAlign w:val="center"/>
            <w:tcMar>
              <w:top w:w="80" w:type="dxa"/>
              <w:start w:w="100" w:type="dxa"/>
              <w:bottom w:w="80" w:type="dxa"/>
              <w:end w:w="100" w:type="dxa"/>
            </w:tcMar>
          </w:tcPr>
          <w:p>
            <w:r>
              <w:rPr>
                <w:b w:val="0"/>
                <w:color w:val="333333"/>
                <w:sz w:val="18"/>
              </w:rPr>
              <w:t>CMP-061, CMP-030, CMP-049, CMP-017, CMP-031</w:t>
            </w:r>
          </w:p>
        </w:tc>
      </w:tr>
      <w:tr>
        <w:trPr>
          <w:cantSplit/>
        </w:trPr>
        <w:tc>
          <w:tcPr>
            <w:tcW w:type="dxa" w:w="2448"/>
            <w:vAlign w:val="center"/>
            <w:tcMar>
              <w:top w:w="80" w:type="dxa"/>
              <w:start w:w="100" w:type="dxa"/>
              <w:bottom w:w="80" w:type="dxa"/>
              <w:end w:w="100" w:type="dxa"/>
            </w:tcMar>
          </w:tcPr>
          <w:p>
            <w:r>
              <w:rPr>
                <w:b w:val="0"/>
                <w:color w:val="333333"/>
                <w:sz w:val="18"/>
              </w:rPr>
              <w:t>Pattern</w:t>
            </w:r>
          </w:p>
        </w:tc>
        <w:tc>
          <w:tcPr>
            <w:tcW w:type="dxa" w:w="7920"/>
            <w:vAlign w:val="center"/>
            <w:tcMar>
              <w:top w:w="80" w:type="dxa"/>
              <w:start w:w="100" w:type="dxa"/>
              <w:bottom w:w="80" w:type="dxa"/>
              <w:end w:w="100" w:type="dxa"/>
            </w:tcMar>
          </w:tcPr>
          <w:p>
            <w:r>
              <w:rPr>
                <w:b w:val="0"/>
                <w:color w:val="333333"/>
                <w:sz w:val="18"/>
              </w:rPr>
              <w:t>API + domain events + versioned metadata; authoritative writes remain with owning component</w:t>
            </w:r>
          </w:p>
        </w:tc>
      </w:tr>
    </w:tbl>
    <w:p>
      <w:pPr/>
      <w:r>
        <w:rPr>
          <w:b w:val="0"/>
        </w:rPr>
        <w:t>1. Citizen submits scoped rights request after required identity assurance.</w:t>
      </w:r>
    </w:p>
    <w:p>
      <w:pPr/>
      <w:r>
        <w:rPr>
          <w:b w:val="0"/>
        </w:rPr>
        <w:t>2. Privacy Centre decomposes the request into owning-component tasks instead of directly mutating foreign data.</w:t>
      </w:r>
    </w:p>
    <w:p>
      <w:pPr/>
      <w:r>
        <w:rPr>
          <w:b w:val="0"/>
        </w:rPr>
        <w:t>3. Retention/legal-hold exceptions are recorded with reason and authority.</w:t>
      </w:r>
    </w:p>
    <w:p>
      <w:pPr/>
      <w:r>
        <w:rPr>
          <w:b w:val="0"/>
        </w:rPr>
        <w:t>4. Completion requires evidence from each owning component and an auditable final response.</w:t>
      </w:r>
    </w:p>
    <w:p>
      <w:pPr>
        <w:pStyle w:val="Heading3"/>
      </w:pPr>
      <w:r>
        <w:rPr>
          <w:b w:val="0"/>
        </w:rPr>
        <w:t>Flow invariants</w:t>
      </w:r>
    </w:p>
    <w:p>
      <w:pPr>
        <w:pStyle w:val="ListBullet"/>
      </w:pPr>
      <w:r>
        <w:rPr>
          <w:b w:val="0"/>
        </w:rPr>
        <w:t>Every request/event carries correlation and tenant context where applicable.</w:t>
      </w:r>
    </w:p>
    <w:p>
      <w:pPr>
        <w:pStyle w:val="ListBullet"/>
      </w:pPr>
      <w:r>
        <w:rPr>
          <w:b w:val="0"/>
        </w:rPr>
        <w:t>Components write only their own authoritative state.</w:t>
      </w:r>
    </w:p>
    <w:p>
      <w:pPr>
        <w:pStyle w:val="ListBullet"/>
      </w:pPr>
      <w:r>
        <w:rPr>
          <w:b w:val="0"/>
        </w:rPr>
        <w:t>Retries and callbacks are idempotent and replay-safe.</w:t>
      </w:r>
    </w:p>
    <w:p>
      <w:pPr>
        <w:pStyle w:val="ListBullet"/>
      </w:pPr>
      <w:r>
        <w:rPr>
          <w:b w:val="0"/>
        </w:rPr>
        <w:t>Tests include failure, duplicate and wrong-tenant/security paths.</w:t>
      </w:r>
    </w:p>
    <w:p>
      <w:pPr>
        <w:pStyle w:val="ListBullet"/>
        <w:spacing w:after="40" w:line="259" w:lineRule="auto"/>
      </w:pPr>
      <w:r>
        <w:rPr>
          <w:rFonts w:ascii="Aptos" w:hAnsi="Aptos"/>
        </w:rPr>
        <w:t>6. Integration Rules and Dependency Governance</w:t>
      </w:r>
    </w:p>
    <w:p>
      <w:pPr>
        <w:pStyle w:val="ListBullet"/>
        <w:spacing w:after="40" w:line="259" w:lineRule="auto"/>
      </w:pPr>
      <w:r>
        <w:rPr>
          <w:rFonts w:ascii="Aptos" w:hAnsi="Aptos"/>
        </w:rPr>
        <w:t>7. Implementation Wave Plan</w:t>
      </w:r>
    </w:p>
    <w:p>
      <w:pPr>
        <w:pStyle w:val="ListBullet"/>
        <w:spacing w:after="40" w:line="259" w:lineRule="auto"/>
      </w:pPr>
      <w:r>
        <w:rPr>
          <w:rFonts w:ascii="Aptos" w:hAnsi="Aptos"/>
        </w:rPr>
        <w:t>8. Definition of Done for a Building Block</w:t>
      </w:r>
    </w:p>
    <w:p>
      <w:pPr>
        <w:pStyle w:val="ListBullet"/>
        <w:spacing w:after="40" w:line="259" w:lineRule="auto"/>
      </w:pPr>
      <w:r>
        <w:rPr>
          <w:rFonts w:ascii="Aptos" w:hAnsi="Aptos"/>
        </w:rPr>
        <w:t>Appendix A. Canonical API/Event Envelopes</w:t>
      </w:r>
    </w:p>
    <w:p>
      <w:pPr>
        <w:pStyle w:val="ListBullet"/>
        <w:spacing w:after="40" w:line="259" w:lineRule="auto"/>
      </w:pPr>
      <w:r>
        <w:rPr>
          <w:rFonts w:ascii="Aptos" w:hAnsi="Aptos"/>
        </w:rPr>
        <w:t>Appendix B. Ownership and Data-Access Rules</w:t>
      </w:r>
    </w:p>
    <w:p>
      <w:pPr>
        <w:pStyle w:val="ListBullet"/>
      </w:pPr>
      <w:r>
        <w:t>PART II - Sections 9-18: AI-assisted development, simulation, module/component verification and internal engineering certification</w:t>
      </w:r>
    </w:p>
    <w:p>
      <w:pPr>
        <w:pStyle w:val="Heading1"/>
      </w:pPr>
      <w:r>
        <w:t>1. How to Use This Specification</w:t>
      </w:r>
    </w:p>
    <w:tbl>
      <w:tblPr>
        <w:tblW w:type="auto" w:w="0"/>
        <w:jc w:val="center"/>
        <w:tblLayout w:type="fixed"/>
        <w:tblLook w:firstColumn="1" w:firstRow="1" w:lastColumn="0" w:lastRow="0" w:noHBand="0" w:noVBand="1" w:val="04A0"/>
      </w:tblPr>
      <w:tblGrid>
        <w:gridCol w:w="9792"/>
      </w:tblGrid>
      <w:tr>
        <w:tc>
          <w:tcPr>
            <w:tcW w:type="dxa" w:w="10166"/>
            <w:shd w:fill="EAF4EA"/>
            <w:tcMar>
              <w:top w:w="130" w:type="dxa"/>
              <w:start w:w="150" w:type="dxa"/>
              <w:bottom w:w="130" w:type="dxa"/>
              <w:end w:w="150" w:type="dxa"/>
            </w:tcMar>
          </w:tcPr>
          <w:p>
            <w:pPr>
              <w:spacing w:after="60"/>
            </w:pPr>
            <w:r>
              <w:rPr>
                <w:rFonts w:ascii="Aptos" w:hAnsi="Aptos"/>
                <w:b/>
                <w:color w:val="1F4E78"/>
              </w:rPr>
              <w:t>For AI coding agents</w:t>
            </w:r>
          </w:p>
          <w:p>
            <w:pPr>
              <w:spacing w:after="0"/>
            </w:pPr>
            <w:r>
              <w:rPr>
                <w:rFonts w:ascii="Aptos" w:hAnsi="Aptos"/>
                <w:sz w:val="21"/>
              </w:rPr>
              <w:t>Before implementing a component, load the component section, the cross-cutting contracts, the relevant integration flows, the Architecture Constitution and the accepted ADRs. If a required behavior conflicts with them, stop and propose an ADR rather than silently changing the architecture.</w:t>
            </w:r>
          </w:p>
        </w:tc>
      </w:tr>
    </w:tbl>
    <w:p>
      <w:pPr>
        <w:spacing w:after="20"/>
      </w:pPr>
    </w:p>
    <w:p>
      <w:pPr>
        <w:pStyle w:val="ListBullet"/>
        <w:spacing w:after="40" w:line="259" w:lineRule="auto"/>
      </w:pPr>
      <w:r>
        <w:rPr>
          <w:rFonts w:ascii="Aptos" w:hAnsi="Aptos"/>
        </w:rPr>
        <w:t>Each CMP section defines a logical product/service boundary, not necessarily a separate deployment on day one.</w:t>
      </w:r>
    </w:p>
    <w:p>
      <w:pPr>
        <w:pStyle w:val="ListBullet"/>
        <w:spacing w:after="40" w:line="259" w:lineRule="auto"/>
      </w:pPr>
      <w:r>
        <w:rPr>
          <w:rFonts w:ascii="Aptos" w:hAnsi="Aptos"/>
        </w:rPr>
        <w:t>A component may share the initial Aurora cluster with other components but must own its schema/tables and may not couple through cross-service SQL.</w:t>
      </w:r>
    </w:p>
    <w:p>
      <w:pPr>
        <w:pStyle w:val="ListBullet"/>
        <w:spacing w:after="40" w:line="259" w:lineRule="auto"/>
      </w:pPr>
      <w:r>
        <w:rPr>
          <w:rFonts w:ascii="Aptos" w:hAnsi="Aptos"/>
        </w:rPr>
        <w:t>Published APIs/events are the compatibility boundary. Database layout is an implementation detail of the owning component.</w:t>
      </w:r>
    </w:p>
    <w:p>
      <w:pPr>
        <w:pStyle w:val="ListBullet"/>
        <w:spacing w:after="40" w:line="259" w:lineRule="auto"/>
      </w:pPr>
      <w:r>
        <w:rPr>
          <w:rFonts w:ascii="Aptos" w:hAnsi="Aptos"/>
        </w:rPr>
        <w:t>All tenant-owned PostgreSQL rows use tenant_id and FORCE RLS. OPA governs action authorization; RLS is the hard data boundary.</w:t>
      </w:r>
    </w:p>
    <w:p>
      <w:pPr>
        <w:pStyle w:val="ListBullet"/>
        <w:spacing w:after="40" w:line="259" w:lineRule="auto"/>
      </w:pPr>
      <w:r>
        <w:rPr>
          <w:rFonts w:ascii="Aptos" w:hAnsi="Aptos"/>
        </w:rPr>
        <w:t>All material state changes emit versioned domain events through the transactional outbox pattern.</w:t>
      </w:r>
    </w:p>
    <w:p>
      <w:pPr>
        <w:pStyle w:val="ListBullet"/>
        <w:spacing w:after="40" w:line="259" w:lineRule="auto"/>
      </w:pPr>
      <w:r>
        <w:rPr>
          <w:rFonts w:ascii="Aptos" w:hAnsi="Aptos"/>
        </w:rPr>
        <w:t>Every block must support observability, audit, privacy classification, idempotency and negative cross-tenant testing where applicable.</w:t>
      </w:r>
    </w:p>
    <w:p>
      <w:pPr>
        <w:pStyle w:val="Heading1"/>
      </w:pPr>
      <w:r>
        <w:t>2. System Boundary and Building-Block Model</w:t>
      </w:r>
    </w:p>
    <w:tbl>
      <w:tblPr>
        <w:tblW w:type="auto" w:w="0"/>
        <w:jc w:val="center"/>
        <w:tblLayout w:type="fixed"/>
        <w:tblLook w:firstColumn="1" w:firstRow="1" w:lastColumn="0" w:lastRow="0" w:noHBand="0" w:noVBand="1" w:val="04A0"/>
      </w:tblPr>
      <w:tblGrid>
        <w:gridCol w:w="3024"/>
        <w:gridCol w:w="6768"/>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Layer</w:t>
            </w:r>
          </w:p>
        </w:tc>
        <w:tc>
          <w:tcPr>
            <w:tcW w:type="dxa" w:w="5083"/>
            <w:shd w:fill="1F4E78"/>
            <w:tcMar>
              <w:top w:w="90" w:type="dxa"/>
              <w:start w:w="90" w:type="dxa"/>
              <w:bottom w:w="90" w:type="dxa"/>
              <w:end w:w="90" w:type="dxa"/>
            </w:tcMar>
          </w:tcPr>
          <w:p>
            <w:pPr>
              <w:jc w:val="center"/>
            </w:pPr>
            <w:r>
              <w:rPr>
                <w:rFonts w:ascii="Aptos" w:hAnsi="Aptos"/>
                <w:b/>
                <w:color w:val="FFFFFF"/>
                <w:sz w:val="18"/>
              </w:rPr>
              <w:t>Building blocks</w:t>
            </w:r>
          </w:p>
        </w:tc>
      </w:tr>
      <w:tr>
        <w:tc>
          <w:tcPr>
            <w:tcW w:type="dxa" w:w="3024"/>
            <w:tcMar>
              <w:top w:w="90" w:type="dxa"/>
              <w:start w:w="90" w:type="dxa"/>
              <w:bottom w:w="90" w:type="dxa"/>
              <w:end w:w="90" w:type="dxa"/>
            </w:tcMar>
          </w:tcPr>
          <w:p>
            <w:r>
              <w:rPr>
                <w:rFonts w:ascii="Aptos" w:hAnsi="Aptos"/>
                <w:sz w:val="17"/>
              </w:rPr>
              <w:t>Experience &amp; Design</w:t>
            </w:r>
          </w:p>
        </w:tc>
        <w:tc>
          <w:tcPr>
            <w:tcW w:type="dxa" w:w="6768"/>
            <w:tcMar>
              <w:top w:w="90" w:type="dxa"/>
              <w:start w:w="90" w:type="dxa"/>
              <w:bottom w:w="90" w:type="dxa"/>
              <w:end w:w="90" w:type="dxa"/>
            </w:tcMar>
          </w:tcPr>
          <w:p>
            <w:r>
              <w:rPr>
                <w:rFonts w:ascii="Aptos" w:hAnsi="Aptos"/>
                <w:sz w:val="17"/>
              </w:rPr>
              <w:t>CMP-006, 007, 009, 010, 040-044, 050, 053, 054</w:t>
            </w:r>
          </w:p>
        </w:tc>
      </w:tr>
      <w:tr>
        <w:tc>
          <w:tcPr>
            <w:tcW w:type="dxa" w:w="3024"/>
            <w:tcMar>
              <w:top w:w="90" w:type="dxa"/>
              <w:start w:w="90" w:type="dxa"/>
              <w:bottom w:w="90" w:type="dxa"/>
              <w:end w:w="90" w:type="dxa"/>
            </w:tcMar>
          </w:tcPr>
          <w:p>
            <w:r>
              <w:rPr>
                <w:rFonts w:ascii="Aptos" w:hAnsi="Aptos"/>
                <w:sz w:val="17"/>
              </w:rPr>
              <w:t>Government &amp; Identity</w:t>
            </w:r>
          </w:p>
        </w:tc>
        <w:tc>
          <w:tcPr>
            <w:tcW w:type="dxa" w:w="6768"/>
            <w:tcMar>
              <w:top w:w="90" w:type="dxa"/>
              <w:start w:w="90" w:type="dxa"/>
              <w:bottom w:w="90" w:type="dxa"/>
              <w:end w:w="90" w:type="dxa"/>
            </w:tcMar>
          </w:tcPr>
          <w:p>
            <w:r>
              <w:rPr>
                <w:rFonts w:ascii="Aptos" w:hAnsi="Aptos"/>
                <w:sz w:val="17"/>
              </w:rPr>
              <w:t>CMP-002, 003, 004, 005, 030</w:t>
            </w:r>
          </w:p>
        </w:tc>
      </w:tr>
      <w:tr>
        <w:tc>
          <w:tcPr>
            <w:tcW w:type="dxa" w:w="3024"/>
            <w:tcMar>
              <w:top w:w="90" w:type="dxa"/>
              <w:start w:w="90" w:type="dxa"/>
              <w:bottom w:w="90" w:type="dxa"/>
              <w:end w:w="90" w:type="dxa"/>
            </w:tcMar>
          </w:tcPr>
          <w:p>
            <w:r>
              <w:rPr>
                <w:rFonts w:ascii="Aptos" w:hAnsi="Aptos"/>
                <w:sz w:val="17"/>
              </w:rPr>
              <w:t>Service Configuration</w:t>
            </w:r>
          </w:p>
        </w:tc>
        <w:tc>
          <w:tcPr>
            <w:tcW w:type="dxa" w:w="6768"/>
            <w:tcMar>
              <w:top w:w="90" w:type="dxa"/>
              <w:start w:w="90" w:type="dxa"/>
              <w:bottom w:w="90" w:type="dxa"/>
              <w:end w:w="90" w:type="dxa"/>
            </w:tcMar>
          </w:tcPr>
          <w:p>
            <w:r>
              <w:rPr>
                <w:rFonts w:ascii="Aptos" w:hAnsi="Aptos"/>
                <w:sz w:val="17"/>
              </w:rPr>
              <w:t>CMP-001, 008, 011, 020, 029, 033, 034, 051, 052</w:t>
            </w:r>
          </w:p>
        </w:tc>
      </w:tr>
      <w:tr>
        <w:tc>
          <w:tcPr>
            <w:tcW w:type="dxa" w:w="3024"/>
            <w:tcMar>
              <w:top w:w="90" w:type="dxa"/>
              <w:start w:w="90" w:type="dxa"/>
              <w:bottom w:w="90" w:type="dxa"/>
              <w:end w:w="90" w:type="dxa"/>
            </w:tcMar>
          </w:tcPr>
          <w:p>
            <w:r>
              <w:rPr>
                <w:rFonts w:ascii="Aptos" w:hAnsi="Aptos"/>
                <w:sz w:val="17"/>
              </w:rPr>
              <w:t>Case Execution</w:t>
            </w:r>
          </w:p>
        </w:tc>
        <w:tc>
          <w:tcPr>
            <w:tcW w:type="dxa" w:w="6768"/>
            <w:tcMar>
              <w:top w:w="90" w:type="dxa"/>
              <w:start w:w="90" w:type="dxa"/>
              <w:bottom w:w="90" w:type="dxa"/>
              <w:end w:w="90" w:type="dxa"/>
            </w:tcMar>
          </w:tcPr>
          <w:p>
            <w:r>
              <w:rPr>
                <w:rFonts w:ascii="Aptos" w:hAnsi="Aptos"/>
                <w:sz w:val="17"/>
              </w:rPr>
              <w:t>CMP-015-028</w:t>
            </w:r>
          </w:p>
        </w:tc>
      </w:tr>
      <w:tr>
        <w:tc>
          <w:tcPr>
            <w:tcW w:type="dxa" w:w="3024"/>
            <w:tcMar>
              <w:top w:w="90" w:type="dxa"/>
              <w:start w:w="90" w:type="dxa"/>
              <w:bottom w:w="90" w:type="dxa"/>
              <w:end w:w="90" w:type="dxa"/>
            </w:tcMar>
          </w:tcPr>
          <w:p>
            <w:r>
              <w:rPr>
                <w:rFonts w:ascii="Aptos" w:hAnsi="Aptos"/>
                <w:sz w:val="17"/>
              </w:rPr>
              <w:t>Platform &amp; Integration</w:t>
            </w:r>
          </w:p>
        </w:tc>
        <w:tc>
          <w:tcPr>
            <w:tcW w:type="dxa" w:w="6768"/>
            <w:tcMar>
              <w:top w:w="90" w:type="dxa"/>
              <w:start w:w="90" w:type="dxa"/>
              <w:bottom w:w="90" w:type="dxa"/>
              <w:end w:w="90" w:type="dxa"/>
            </w:tcMar>
          </w:tcPr>
          <w:p>
            <w:r>
              <w:rPr>
                <w:rFonts w:ascii="Aptos" w:hAnsi="Aptos"/>
                <w:sz w:val="17"/>
              </w:rPr>
              <w:t>CMP-032, 035-039, 045-049, 055</w:t>
            </w:r>
          </w:p>
        </w:tc>
      </w:tr>
      <w:tr>
        <w:tc>
          <w:tcPr>
            <w:tcW w:type="dxa" w:w="3024"/>
            <w:tcMar>
              <w:top w:w="90" w:type="dxa"/>
              <w:start w:w="90" w:type="dxa"/>
              <w:bottom w:w="90" w:type="dxa"/>
              <w:end w:w="90" w:type="dxa"/>
            </w:tcMar>
          </w:tcPr>
          <w:p>
            <w:r>
              <w:rPr>
                <w:rFonts w:ascii="Aptos" w:hAnsi="Aptos"/>
                <w:sz w:val="17"/>
              </w:rPr>
              <w:t>Cross-cutting controls</w:t>
            </w:r>
          </w:p>
        </w:tc>
        <w:tc>
          <w:tcPr>
            <w:tcW w:type="dxa" w:w="6768"/>
            <w:tcMar>
              <w:top w:w="90" w:type="dxa"/>
              <w:start w:w="90" w:type="dxa"/>
              <w:bottom w:w="90" w:type="dxa"/>
              <w:end w:w="90" w:type="dxa"/>
            </w:tcMar>
          </w:tcPr>
          <w:p>
            <w:r>
              <w:rPr>
                <w:rFonts w:ascii="Aptos" w:hAnsi="Aptos"/>
                <w:sz w:val="17"/>
              </w:rPr>
              <w:t>OPA, PostgreSQL RLS, audit, privacy, observability, versioning and tenant context apply across all layers.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FF1E6"/>
            <w:tcMar>
              <w:top w:w="130" w:type="dxa"/>
              <w:start w:w="150" w:type="dxa"/>
              <w:bottom w:w="130" w:type="dxa"/>
              <w:end w:w="150" w:type="dxa"/>
            </w:tcMar>
          </w:tcPr>
          <w:p>
            <w:pPr>
              <w:spacing w:after="60"/>
            </w:pPr>
            <w:r>
              <w:rPr>
                <w:rFonts w:ascii="Aptos" w:hAnsi="Aptos"/>
                <w:b/>
                <w:color w:val="1F4E78"/>
              </w:rPr>
              <w:t>Logical boundary versus deployment boundary</w:t>
            </w:r>
          </w:p>
          <w:p>
            <w:pPr>
              <w:spacing w:after="0"/>
            </w:pPr>
            <w:r>
              <w:rPr>
                <w:rFonts w:ascii="Aptos" w:hAnsi="Aptos"/>
                <w:sz w:val="21"/>
              </w:rPr>
              <w:t>The 55 components define responsibilities and contracts. They do not require 55 microservices on day one. Closely related components may initially be packaged together if their ownership boundaries remain explicit and they expose the same contracts internally. Split deployment only when scale, team autonomy, security or fault isolation justifies it.</w:t>
            </w:r>
          </w:p>
        </w:tc>
      </w:tr>
    </w:tbl>
    <w:p>
      <w:pPr>
        <w:spacing w:after="20"/>
      </w:pPr>
    </w:p>
    <w:p>
      <w:pPr>
        <w:pStyle w:val="Heading1"/>
      </w:pPr>
      <w:r>
        <w:t>3. Cross-Cutting Contracts Every Block Must Follow</w:t>
      </w:r>
    </w:p>
    <w:tbl>
      <w:tblPr>
        <w:tblW w:type="auto" w:w="0"/>
        <w:jc w:val="center"/>
        <w:tblLayout w:type="fixed"/>
        <w:tblLook w:firstColumn="1" w:firstRow="1" w:lastColumn="0" w:lastRow="0" w:noHBand="0" w:noVBand="1" w:val="04A0"/>
      </w:tblPr>
      <w:tblGrid>
        <w:gridCol w:w="3024"/>
        <w:gridCol w:w="6768"/>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Contract</w:t>
            </w:r>
          </w:p>
        </w:tc>
        <w:tc>
          <w:tcPr>
            <w:tcW w:type="dxa" w:w="5083"/>
            <w:shd w:fill="1F4E78"/>
            <w:tcMar>
              <w:top w:w="90" w:type="dxa"/>
              <w:start w:w="90" w:type="dxa"/>
              <w:bottom w:w="90" w:type="dxa"/>
              <w:end w:w="90" w:type="dxa"/>
            </w:tcMar>
          </w:tcPr>
          <w:p>
            <w:pPr>
              <w:jc w:val="center"/>
            </w:pPr>
            <w:r>
              <w:rPr>
                <w:rFonts w:ascii="Aptos" w:hAnsi="Aptos"/>
                <w:b/>
                <w:color w:val="FFFFFF"/>
                <w:sz w:val="18"/>
              </w:rPr>
              <w:t>Mandatory rule</w:t>
            </w:r>
          </w:p>
        </w:tc>
      </w:tr>
      <w:tr>
        <w:tc>
          <w:tcPr>
            <w:tcW w:type="dxa" w:w="3024"/>
            <w:tcMar>
              <w:top w:w="90" w:type="dxa"/>
              <w:start w:w="90" w:type="dxa"/>
              <w:bottom w:w="90" w:type="dxa"/>
              <w:end w:w="90" w:type="dxa"/>
            </w:tcMar>
          </w:tcPr>
          <w:p>
            <w:r>
              <w:rPr>
                <w:rFonts w:ascii="Aptos" w:hAnsi="Aptos"/>
                <w:sz w:val="17"/>
              </w:rPr>
              <w:t>Tenant Context</w:t>
            </w:r>
          </w:p>
        </w:tc>
        <w:tc>
          <w:tcPr>
            <w:tcW w:type="dxa" w:w="6768"/>
            <w:tcMar>
              <w:top w:w="90" w:type="dxa"/>
              <w:start w:w="90" w:type="dxa"/>
              <w:bottom w:w="90" w:type="dxa"/>
              <w:end w:w="90" w:type="dxa"/>
            </w:tcMar>
          </w:tcPr>
          <w:p>
            <w:r>
              <w:rPr>
                <w:rFonts w:ascii="Aptos" w:hAnsi="Aptos"/>
                <w:sz w:val="17"/>
              </w:rPr>
              <w:t>tenant_id is server-derived from trusted identity/binding. Never trust client-supplied tenant headers as authority. Every tenant-owned DB row, event, task, object and search document carries tenant context.</w:t>
            </w:r>
          </w:p>
        </w:tc>
      </w:tr>
      <w:tr>
        <w:tc>
          <w:tcPr>
            <w:tcW w:type="dxa" w:w="3024"/>
            <w:tcMar>
              <w:top w:w="90" w:type="dxa"/>
              <w:start w:w="90" w:type="dxa"/>
              <w:bottom w:w="90" w:type="dxa"/>
              <w:end w:w="90" w:type="dxa"/>
            </w:tcMar>
          </w:tcPr>
          <w:p>
            <w:r>
              <w:rPr>
                <w:rFonts w:ascii="Aptos" w:hAnsi="Aptos"/>
                <w:sz w:val="17"/>
              </w:rPr>
              <w:t>Authorization</w:t>
            </w:r>
          </w:p>
        </w:tc>
        <w:tc>
          <w:tcPr>
            <w:tcW w:type="dxa" w:w="6768"/>
            <w:tcMar>
              <w:top w:w="90" w:type="dxa"/>
              <w:start w:w="90" w:type="dxa"/>
              <w:bottom w:w="90" w:type="dxa"/>
              <w:end w:w="90" w:type="dxa"/>
            </w:tcMar>
          </w:tcPr>
          <w:p>
            <w:r>
              <w:rPr>
                <w:rFonts w:ascii="Aptos" w:hAnsi="Aptos"/>
                <w:sz w:val="17"/>
              </w:rPr>
              <w:t>OPA answers whether an actor may perform an action. PostgreSQL FORCE RLS restricts rows. GoRules decides deterministic business rules. Temporal sequences process. These responsibilities must not be merged.</w:t>
            </w:r>
          </w:p>
        </w:tc>
      </w:tr>
      <w:tr>
        <w:tc>
          <w:tcPr>
            <w:tcW w:type="dxa" w:w="3024"/>
            <w:tcMar>
              <w:top w:w="90" w:type="dxa"/>
              <w:start w:w="90" w:type="dxa"/>
              <w:bottom w:w="90" w:type="dxa"/>
              <w:end w:w="90" w:type="dxa"/>
            </w:tcMar>
          </w:tcPr>
          <w:p>
            <w:r>
              <w:rPr>
                <w:rFonts w:ascii="Aptos" w:hAnsi="Aptos"/>
                <w:sz w:val="17"/>
              </w:rPr>
              <w:t>Data Ownership</w:t>
            </w:r>
          </w:p>
        </w:tc>
        <w:tc>
          <w:tcPr>
            <w:tcW w:type="dxa" w:w="6768"/>
            <w:tcMar>
              <w:top w:w="90" w:type="dxa"/>
              <w:start w:w="90" w:type="dxa"/>
              <w:bottom w:w="90" w:type="dxa"/>
              <w:end w:w="90" w:type="dxa"/>
            </w:tcMar>
          </w:tcPr>
          <w:p>
            <w:r>
              <w:rPr>
                <w:rFonts w:ascii="Aptos" w:hAnsi="Aptos"/>
                <w:sz w:val="17"/>
              </w:rPr>
              <w:t>Only the owning component writes its authoritative tables. Other components use APIs/events. Read replicas/search projections are derived and rebuildable.</w:t>
            </w:r>
          </w:p>
        </w:tc>
      </w:tr>
      <w:tr>
        <w:tc>
          <w:tcPr>
            <w:tcW w:type="dxa" w:w="3024"/>
            <w:tcMar>
              <w:top w:w="90" w:type="dxa"/>
              <w:start w:w="90" w:type="dxa"/>
              <w:bottom w:w="90" w:type="dxa"/>
              <w:end w:w="90" w:type="dxa"/>
            </w:tcMar>
          </w:tcPr>
          <w:p>
            <w:r>
              <w:rPr>
                <w:rFonts w:ascii="Aptos" w:hAnsi="Aptos"/>
                <w:sz w:val="17"/>
              </w:rPr>
              <w:t>Versioning</w:t>
            </w:r>
          </w:p>
        </w:tc>
        <w:tc>
          <w:tcPr>
            <w:tcW w:type="dxa" w:w="6768"/>
            <w:tcMar>
              <w:top w:w="90" w:type="dxa"/>
              <w:start w:w="90" w:type="dxa"/>
              <w:bottom w:w="90" w:type="dxa"/>
              <w:end w:w="90" w:type="dxa"/>
            </w:tcMar>
          </w:tcPr>
          <w:p>
            <w:r>
              <w:rPr>
                <w:rFonts w:ascii="Aptos" w:hAnsi="Aptos"/>
                <w:sz w:val="17"/>
              </w:rPr>
              <w:t>Published service/form/rule/workflow/evidence/fee/SLA/access/credential versions are immutable. Applications pin exact versions through TenantServiceBinding.</w:t>
            </w:r>
          </w:p>
        </w:tc>
      </w:tr>
      <w:tr>
        <w:tc>
          <w:tcPr>
            <w:tcW w:type="dxa" w:w="3024"/>
            <w:tcMar>
              <w:top w:w="90" w:type="dxa"/>
              <w:start w:w="90" w:type="dxa"/>
              <w:bottom w:w="90" w:type="dxa"/>
              <w:end w:w="90" w:type="dxa"/>
            </w:tcMar>
          </w:tcPr>
          <w:p>
            <w:r>
              <w:rPr>
                <w:rFonts w:ascii="Aptos" w:hAnsi="Aptos"/>
                <w:sz w:val="17"/>
              </w:rPr>
              <w:t>Idempotency</w:t>
            </w:r>
          </w:p>
        </w:tc>
        <w:tc>
          <w:tcPr>
            <w:tcW w:type="dxa" w:w="6768"/>
            <w:tcMar>
              <w:top w:w="90" w:type="dxa"/>
              <w:start w:w="90" w:type="dxa"/>
              <w:bottom w:w="90" w:type="dxa"/>
              <w:end w:w="90" w:type="dxa"/>
            </w:tcMar>
          </w:tcPr>
          <w:p>
            <w:r>
              <w:rPr>
                <w:rFonts w:ascii="Aptos" w:hAnsi="Aptos"/>
                <w:sz w:val="17"/>
              </w:rPr>
              <w:t>External commands, event consumers and provider callbacks must be idempotent. Every event has eventId; every user-facing create/submit/payment command supports idempotency keys where duplicate effects matter.</w:t>
            </w:r>
          </w:p>
        </w:tc>
      </w:tr>
      <w:tr>
        <w:tc>
          <w:tcPr>
            <w:tcW w:type="dxa" w:w="3024"/>
            <w:tcMar>
              <w:top w:w="90" w:type="dxa"/>
              <w:start w:w="90" w:type="dxa"/>
              <w:bottom w:w="90" w:type="dxa"/>
              <w:end w:w="90" w:type="dxa"/>
            </w:tcMar>
          </w:tcPr>
          <w:p>
            <w:r>
              <w:rPr>
                <w:rFonts w:ascii="Aptos" w:hAnsi="Aptos"/>
                <w:sz w:val="17"/>
              </w:rPr>
              <w:t>Events</w:t>
            </w:r>
          </w:p>
        </w:tc>
        <w:tc>
          <w:tcPr>
            <w:tcW w:type="dxa" w:w="6768"/>
            <w:tcMar>
              <w:top w:w="90" w:type="dxa"/>
              <w:start w:w="90" w:type="dxa"/>
              <w:bottom w:w="90" w:type="dxa"/>
              <w:end w:w="90" w:type="dxa"/>
            </w:tcMar>
          </w:tcPr>
          <w:p>
            <w:r>
              <w:rPr>
                <w:rFonts w:ascii="Aptos" w:hAnsi="Aptos"/>
                <w:sz w:val="17"/>
              </w:rPr>
              <w:t>Use transactional outbox for authoritative state -&gt; event publication. Consumers assume at-least-once delivery and must deduplicate.</w:t>
            </w:r>
          </w:p>
        </w:tc>
      </w:tr>
      <w:tr>
        <w:tc>
          <w:tcPr>
            <w:tcW w:type="dxa" w:w="3024"/>
            <w:tcMar>
              <w:top w:w="90" w:type="dxa"/>
              <w:start w:w="90" w:type="dxa"/>
              <w:bottom w:w="90" w:type="dxa"/>
              <w:end w:w="90" w:type="dxa"/>
            </w:tcMar>
          </w:tcPr>
          <w:p>
            <w:r>
              <w:rPr>
                <w:rFonts w:ascii="Aptos" w:hAnsi="Aptos"/>
                <w:sz w:val="17"/>
              </w:rPr>
              <w:t>Errors</w:t>
            </w:r>
          </w:p>
        </w:tc>
        <w:tc>
          <w:tcPr>
            <w:tcW w:type="dxa" w:w="6768"/>
            <w:tcMar>
              <w:top w:w="90" w:type="dxa"/>
              <w:start w:w="90" w:type="dxa"/>
              <w:bottom w:w="90" w:type="dxa"/>
              <w:end w:w="90" w:type="dxa"/>
            </w:tcMar>
          </w:tcPr>
          <w:p>
            <w:r>
              <w:rPr>
                <w:rFonts w:ascii="Aptos" w:hAnsi="Aptos"/>
                <w:sz w:val="17"/>
              </w:rPr>
              <w:t>Use stable SF-* error codes, correlationId and structured details. Never expose stack traces, SQL, secrets or provider internals to clients.</w:t>
            </w:r>
          </w:p>
        </w:tc>
      </w:tr>
      <w:tr>
        <w:tc>
          <w:tcPr>
            <w:tcW w:type="dxa" w:w="3024"/>
            <w:tcMar>
              <w:top w:w="90" w:type="dxa"/>
              <w:start w:w="90" w:type="dxa"/>
              <w:bottom w:w="90" w:type="dxa"/>
              <w:end w:w="90" w:type="dxa"/>
            </w:tcMar>
          </w:tcPr>
          <w:p>
            <w:r>
              <w:rPr>
                <w:rFonts w:ascii="Aptos" w:hAnsi="Aptos"/>
                <w:sz w:val="17"/>
              </w:rPr>
              <w:t>Privacy</w:t>
            </w:r>
          </w:p>
        </w:tc>
        <w:tc>
          <w:tcPr>
            <w:tcW w:type="dxa" w:w="6768"/>
            <w:tcMar>
              <w:top w:w="90" w:type="dxa"/>
              <w:start w:w="90" w:type="dxa"/>
              <w:bottom w:w="90" w:type="dxa"/>
              <w:end w:w="90" w:type="dxa"/>
            </w:tcMar>
          </w:tcPr>
          <w:p>
            <w:r>
              <w:rPr>
                <w:rFonts w:ascii="Aptos" w:hAnsi="Aptos"/>
                <w:sz w:val="17"/>
              </w:rPr>
              <w:t>No full PII in logs. Every sensitive field has classification, purpose and retention metadata. AI receives only the minimum allowed context.</w:t>
            </w:r>
          </w:p>
        </w:tc>
      </w:tr>
      <w:tr>
        <w:tc>
          <w:tcPr>
            <w:tcW w:type="dxa" w:w="3024"/>
            <w:tcMar>
              <w:top w:w="90" w:type="dxa"/>
              <w:start w:w="90" w:type="dxa"/>
              <w:bottom w:w="90" w:type="dxa"/>
              <w:end w:w="90" w:type="dxa"/>
            </w:tcMar>
          </w:tcPr>
          <w:p>
            <w:r>
              <w:rPr>
                <w:rFonts w:ascii="Aptos" w:hAnsi="Aptos"/>
                <w:sz w:val="17"/>
              </w:rPr>
              <w:t>Observability</w:t>
            </w:r>
          </w:p>
        </w:tc>
        <w:tc>
          <w:tcPr>
            <w:tcW w:type="dxa" w:w="6768"/>
            <w:tcMar>
              <w:top w:w="90" w:type="dxa"/>
              <w:start w:w="90" w:type="dxa"/>
              <w:bottom w:w="90" w:type="dxa"/>
              <w:end w:w="90" w:type="dxa"/>
            </w:tcMar>
          </w:tcPr>
          <w:p>
            <w:r>
              <w:rPr>
                <w:rFonts w:ascii="Aptos" w:hAnsi="Aptos"/>
                <w:sz w:val="17"/>
              </w:rPr>
              <w:t>Propagate traceId/correlationId; emit metrics, traces and structured logs. All critical dependencies have SLOs and alerts.</w:t>
            </w:r>
          </w:p>
        </w:tc>
      </w:tr>
      <w:tr>
        <w:tc>
          <w:tcPr>
            <w:tcW w:type="dxa" w:w="3024"/>
            <w:tcMar>
              <w:top w:w="90" w:type="dxa"/>
              <w:start w:w="90" w:type="dxa"/>
              <w:bottom w:w="90" w:type="dxa"/>
              <w:end w:w="90" w:type="dxa"/>
            </w:tcMar>
          </w:tcPr>
          <w:p>
            <w:r>
              <w:rPr>
                <w:rFonts w:ascii="Aptos" w:hAnsi="Aptos"/>
                <w:sz w:val="17"/>
              </w:rPr>
              <w:t>Testing</w:t>
            </w:r>
          </w:p>
        </w:tc>
        <w:tc>
          <w:tcPr>
            <w:tcW w:type="dxa" w:w="6768"/>
            <w:tcMar>
              <w:top w:w="90" w:type="dxa"/>
              <w:start w:w="90" w:type="dxa"/>
              <w:bottom w:w="90" w:type="dxa"/>
              <w:end w:w="90" w:type="dxa"/>
            </w:tcMar>
          </w:tcPr>
          <w:p>
            <w:r>
              <w:rPr>
                <w:rFonts w:ascii="Aptos" w:hAnsi="Aptos"/>
                <w:sz w:val="17"/>
              </w:rPr>
              <w:t>At minimum: unit, contract, integration, security, tenant-negative tests and component-specific failure tests. Runtime verification must produce evidence; generated tests alone are not verification.</w:t>
            </w:r>
          </w:p>
        </w:tc>
      </w:tr>
    </w:tbl>
    <w:p>
      <w:pPr>
        <w:spacing w:after="40"/>
      </w:pPr>
    </w:p>
    <w:p>
      <w:pPr>
        <w:pStyle w:val="Heading1"/>
      </w:pPr>
      <w:r>
        <w:t>4. Building Block Specifications (CMP-001 to CMP-061)</w:t>
      </w:r>
    </w:p>
    <w:p>
      <w:r>
        <w:t>Every component below uses the same implementation contract so teams and AI agents can build consistently. “Owned data” means authoritative ownership; derived projections may exist elsewhere but must be rebuildable.</w:t>
      </w:r>
    </w:p>
    <w:p>
      <w:r>
        <w:br w:type="page"/>
      </w:r>
    </w:p>
    <w:p>
      <w:pPr>
        <w:pStyle w:val="Heading2"/>
      </w:pPr>
      <w:r>
        <w:t>CMP-001  Service Catalogue &amp; Registry</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Control Plane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Own the canonical service taxonomy and tenant-visible local service offerings without encoding state-specific business logic.</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Global canonical records; tenant-scoped local offerings. All tenant-owned rows use tenant_id + RLS.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p95 service lookup &lt;300 ms from cache/read model; catalogue publication is strongly consistent.</w:t>
            </w:r>
          </w:p>
        </w:tc>
      </w:tr>
    </w:tbl>
    <w:p>
      <w:pPr>
        <w:spacing w:after="40"/>
      </w:pPr>
    </w:p>
    <w:p>
      <w:pPr>
        <w:pStyle w:val="Heading3"/>
      </w:pPr>
      <w:r>
        <w:t>Responsibilities</w:t>
      </w:r>
    </w:p>
    <w:p>
      <w:pPr>
        <w:pStyle w:val="ListBullet"/>
        <w:spacing w:after="40" w:line="259" w:lineRule="auto"/>
      </w:pPr>
      <w:r>
        <w:rPr>
          <w:rFonts w:ascii="Aptos" w:hAnsi="Aptos"/>
        </w:rPr>
        <w:t>Canonical service definitions and categories</w:t>
      </w:r>
    </w:p>
    <w:p>
      <w:pPr>
        <w:pStyle w:val="ListBullet"/>
        <w:spacing w:after="40" w:line="259" w:lineRule="auto"/>
      </w:pPr>
      <w:r>
        <w:rPr>
          <w:rFonts w:ascii="Aptos" w:hAnsi="Aptos"/>
        </w:rPr>
        <w:t>Local service offering metadata and provider/jurisdiction bindings</w:t>
      </w:r>
    </w:p>
    <w:p>
      <w:pPr>
        <w:pStyle w:val="ListBullet"/>
        <w:spacing w:after="40" w:line="259" w:lineRule="auto"/>
      </w:pPr>
      <w:r>
        <w:rPr>
          <w:rFonts w:ascii="Aptos" w:hAnsi="Aptos"/>
        </w:rPr>
        <w:t>Searchable service descriptors, tags and lifecycle status</w:t>
      </w:r>
    </w:p>
    <w:p>
      <w:pPr>
        <w:pStyle w:val="ListBullet"/>
        <w:spacing w:after="40" w:line="259" w:lineRule="auto"/>
      </w:pPr>
      <w:r>
        <w:rPr>
          <w:rFonts w:ascii="Aptos" w:hAnsi="Aptos"/>
        </w:rPr>
        <w:t>Publication references to exact executable service versions</w:t>
      </w:r>
    </w:p>
    <w:p>
      <w:pPr>
        <w:pStyle w:val="Heading3"/>
      </w:pPr>
      <w:r>
        <w:t>Explicit non-responsibilities</w:t>
      </w:r>
    </w:p>
    <w:p>
      <w:pPr>
        <w:pStyle w:val="ListBullet"/>
        <w:spacing w:after="40" w:line="259" w:lineRule="auto"/>
      </w:pPr>
      <w:r>
        <w:rPr>
          <w:rFonts w:ascii="Aptos" w:hAnsi="Aptos"/>
        </w:rPr>
        <w:t>Does not execute eligibility, workflow or payments</w:t>
      </w:r>
    </w:p>
    <w:p>
      <w:pPr>
        <w:pStyle w:val="ListBullet"/>
        <w:spacing w:after="40" w:line="259" w:lineRule="auto"/>
      </w:pPr>
      <w:r>
        <w:rPr>
          <w:rFonts w:ascii="Aptos" w:hAnsi="Aptos"/>
        </w:rPr>
        <w:t>Does not store citizen applications</w:t>
      </w:r>
    </w:p>
    <w:p>
      <w:pPr>
        <w:pStyle w:val="ListBullet"/>
        <w:spacing w:after="40" w:line="259" w:lineRule="auto"/>
      </w:pPr>
      <w:r>
        <w:rPr>
          <w:rFonts w:ascii="Aptos" w:hAnsi="Aptos"/>
        </w:rPr>
        <w:t>Does not own organization hierarchy</w:t>
      </w:r>
    </w:p>
    <w:p>
      <w:pPr>
        <w:pStyle w:val="Heading3"/>
      </w:pPr>
      <w:r>
        <w:t>Authoritative data / state</w:t>
      </w:r>
    </w:p>
    <w:p>
      <w:pPr>
        <w:pStyle w:val="ListBullet"/>
        <w:spacing w:after="40" w:line="259" w:lineRule="auto"/>
      </w:pPr>
      <w:r>
        <w:rPr>
          <w:rFonts w:ascii="Aptos" w:hAnsi="Aptos"/>
        </w:rPr>
        <w:t>canonical_service</w:t>
      </w:r>
    </w:p>
    <w:p>
      <w:pPr>
        <w:pStyle w:val="ListBullet"/>
        <w:spacing w:after="40" w:line="259" w:lineRule="auto"/>
      </w:pPr>
      <w:r>
        <w:rPr>
          <w:rFonts w:ascii="Aptos" w:hAnsi="Aptos"/>
        </w:rPr>
        <w:t>local_service_offering</w:t>
      </w:r>
    </w:p>
    <w:p>
      <w:pPr>
        <w:pStyle w:val="ListBullet"/>
        <w:spacing w:after="40" w:line="259" w:lineRule="auto"/>
      </w:pPr>
      <w:r>
        <w:rPr>
          <w:rFonts w:ascii="Aptos" w:hAnsi="Aptos"/>
        </w:rPr>
        <w:t>service_category</w:t>
      </w:r>
    </w:p>
    <w:p>
      <w:pPr>
        <w:pStyle w:val="ListBullet"/>
        <w:spacing w:after="40" w:line="259" w:lineRule="auto"/>
      </w:pPr>
      <w:r>
        <w:rPr>
          <w:rFonts w:ascii="Aptos" w:hAnsi="Aptos"/>
        </w:rPr>
        <w:t>service_alias</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/services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/services/{serviceId}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/admin/services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/admin/service-offerings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/service-offerings/{id}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ServiceDefinitionPublished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LocalServiceOfferingPublished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ServiceOfferingSuspended</w:t>
            </w:r>
          </w:p>
        </w:tc>
      </w:tr>
    </w:tbl>
    <w:p>
      <w:pPr>
        <w:spacing w:after="40"/>
      </w:pPr>
    </w:p>
    <w:p>
      <w:pPr>
        <w:pStyle w:val="Heading3"/>
      </w:pPr>
      <w:r>
        <w:t>Dependencies and integration</w:t>
      </w:r>
    </w:p>
    <w:p>
      <w:pPr>
        <w:pStyle w:val="ListBullet"/>
        <w:spacing w:after="40" w:line="259" w:lineRule="auto"/>
      </w:pPr>
      <w:r>
        <w:rPr>
          <w:rFonts w:ascii="Aptos" w:hAnsi="Aptos"/>
        </w:rPr>
        <w:t>CMP-002 Tenant &amp; Organisation</w:t>
      </w:r>
    </w:p>
    <w:p>
      <w:pPr>
        <w:pStyle w:val="ListBullet"/>
        <w:spacing w:after="40" w:line="259" w:lineRule="auto"/>
      </w:pPr>
      <w:r>
        <w:rPr>
          <w:rFonts w:ascii="Aptos" w:hAnsi="Aptos"/>
        </w:rPr>
        <w:t>CMP-003 Jurisdiction</w:t>
      </w:r>
    </w:p>
    <w:p>
      <w:pPr>
        <w:pStyle w:val="ListBullet"/>
        <w:spacing w:after="40" w:line="259" w:lineRule="auto"/>
      </w:pPr>
      <w:r>
        <w:rPr>
          <w:rFonts w:ascii="Aptos" w:hAnsi="Aptos"/>
        </w:rPr>
        <w:t>CMP-052 Version Registry</w:t>
      </w:r>
    </w:p>
    <w:p>
      <w:pPr>
        <w:pStyle w:val="ListBullet"/>
        <w:spacing w:after="40" w:line="259" w:lineRule="auto"/>
      </w:pPr>
      <w:r>
        <w:rPr>
          <w:rFonts w:ascii="Aptos" w:hAnsi="Aptos"/>
        </w:rPr>
        <w:t>CMP-051 Publishing</w:t>
      </w:r>
    </w:p>
    <w:p>
      <w:pPr>
        <w:pStyle w:val="Heading3"/>
      </w:pPr>
      <w:r>
        <w:t>Failure behavior and safeguards</w:t>
      </w:r>
    </w:p>
    <w:p>
      <w:pPr>
        <w:pStyle w:val="ListBullet"/>
        <w:spacing w:after="40" w:line="259" w:lineRule="auto"/>
      </w:pPr>
      <w:r>
        <w:rPr>
          <w:rFonts w:ascii="Aptos" w:hAnsi="Aptos"/>
        </w:rPr>
        <w:t>Duplicate canonical mapping</w:t>
      </w:r>
    </w:p>
    <w:p>
      <w:pPr>
        <w:pStyle w:val="ListBullet"/>
        <w:spacing w:after="40" w:line="259" w:lineRule="auto"/>
      </w:pPr>
      <w:r>
        <w:rPr>
          <w:rFonts w:ascii="Aptos" w:hAnsi="Aptos"/>
        </w:rPr>
        <w:t>Publishing offering with missing jurisdiction/provider</w:t>
      </w:r>
    </w:p>
    <w:p>
      <w:pPr>
        <w:pStyle w:val="ListBullet"/>
        <w:spacing w:after="40" w:line="259" w:lineRule="auto"/>
      </w:pPr>
      <w:r>
        <w:rPr>
          <w:rFonts w:ascii="Aptos" w:hAnsi="Aptos"/>
        </w:rPr>
        <w:t>Attempt to modify immutable published version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CMP-002  Tenant &amp; Government Organisation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Control Plane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Represent tenants, government bodies, offices and administrative relationships independently from geography.</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data is RLS-scoped. Platform operator actions require explicit privileged workflow and audit.</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Hierarchy reads must be cacheable; changes versioned and effective-dated.</w:t>
            </w:r>
          </w:p>
        </w:tc>
      </w:tr>
    </w:tbl>
    <w:p>
      <w:pPr>
        <w:spacing w:after="40"/>
      </w:pPr>
    </w:p>
    <w:p>
      <w:pPr>
        <w:pStyle w:val="Heading3"/>
      </w:pPr>
      <w:r>
        <w:t>Responsibilities</w:t>
      </w:r>
    </w:p>
    <w:p>
      <w:pPr>
        <w:pStyle w:val="ListBullet"/>
        <w:spacing w:after="40" w:line="259" w:lineRule="auto"/>
      </w:pPr>
      <w:r>
        <w:rPr>
          <w:rFonts w:ascii="Aptos" w:hAnsi="Aptos"/>
        </w:rPr>
        <w:t>Tenant lifecycle</w:t>
      </w:r>
    </w:p>
    <w:p>
      <w:pPr>
        <w:pStyle w:val="ListBullet"/>
        <w:spacing w:after="40" w:line="259" w:lineRule="auto"/>
      </w:pPr>
      <w:r>
        <w:rPr>
          <w:rFonts w:ascii="Aptos" w:hAnsi="Aptos"/>
        </w:rPr>
        <w:t>Organisation hierarchy</w:t>
      </w:r>
    </w:p>
    <w:p>
      <w:pPr>
        <w:pStyle w:val="ListBullet"/>
        <w:spacing w:after="40" w:line="259" w:lineRule="auto"/>
      </w:pPr>
      <w:r>
        <w:rPr>
          <w:rFonts w:ascii="Aptos" w:hAnsi="Aptos"/>
        </w:rPr>
        <w:t>Office registry</w:t>
      </w:r>
    </w:p>
    <w:p>
      <w:pPr>
        <w:pStyle w:val="ListBullet"/>
        <w:spacing w:after="40" w:line="259" w:lineRule="auto"/>
      </w:pPr>
      <w:r>
        <w:rPr>
          <w:rFonts w:ascii="Aptos" w:hAnsi="Aptos"/>
        </w:rPr>
        <w:t>Tenant isolation class and cell placement</w:t>
      </w:r>
    </w:p>
    <w:p>
      <w:pPr>
        <w:pStyle w:val="ListBullet"/>
        <w:spacing w:after="40" w:line="259" w:lineRule="auto"/>
      </w:pPr>
      <w:r>
        <w:rPr>
          <w:rFonts w:ascii="Aptos" w:hAnsi="Aptos"/>
        </w:rPr>
        <w:t>Delegation of administration</w:t>
      </w:r>
    </w:p>
    <w:p>
      <w:pPr>
        <w:pStyle w:val="Heading3"/>
      </w:pPr>
      <w:r>
        <w:t>Explicit non-responsibilities</w:t>
      </w:r>
    </w:p>
    <w:p>
      <w:pPr>
        <w:pStyle w:val="ListBullet"/>
        <w:spacing w:after="40" w:line="259" w:lineRule="auto"/>
      </w:pPr>
      <w:r>
        <w:rPr>
          <w:rFonts w:ascii="Aptos" w:hAnsi="Aptos"/>
        </w:rPr>
        <w:t>Does not model geographic containment</w:t>
      </w:r>
    </w:p>
    <w:p>
      <w:pPr>
        <w:pStyle w:val="ListBullet"/>
        <w:spacing w:after="40" w:line="259" w:lineRule="auto"/>
      </w:pPr>
      <w:r>
        <w:rPr>
          <w:rFonts w:ascii="Aptos" w:hAnsi="Aptos"/>
        </w:rPr>
        <w:t>Does not decide officer permissions by itself</w:t>
      </w:r>
    </w:p>
    <w:p>
      <w:pPr>
        <w:pStyle w:val="ListBullet"/>
        <w:spacing w:after="40" w:line="259" w:lineRule="auto"/>
      </w:pPr>
      <w:r>
        <w:rPr>
          <w:rFonts w:ascii="Aptos" w:hAnsi="Aptos"/>
        </w:rPr>
        <w:t>Does not own citizen identity</w:t>
      </w:r>
    </w:p>
    <w:p>
      <w:pPr>
        <w:pStyle w:val="Heading3"/>
      </w:pPr>
      <w:r>
        <w:t>Authoritative data / state</w:t>
      </w:r>
    </w:p>
    <w:p>
      <w:pPr>
        <w:pStyle w:val="ListBullet"/>
        <w:spacing w:after="40" w:line="259" w:lineRule="auto"/>
      </w:pPr>
      <w:r>
        <w:rPr>
          <w:rFonts w:ascii="Aptos" w:hAnsi="Aptos"/>
        </w:rPr>
        <w:t>tenant</w:t>
      </w:r>
    </w:p>
    <w:p>
      <w:pPr>
        <w:pStyle w:val="ListBullet"/>
        <w:spacing w:after="40" w:line="259" w:lineRule="auto"/>
      </w:pPr>
      <w:r>
        <w:rPr>
          <w:rFonts w:ascii="Aptos" w:hAnsi="Aptos"/>
        </w:rPr>
        <w:t>organisation</w:t>
      </w:r>
    </w:p>
    <w:p>
      <w:pPr>
        <w:pStyle w:val="ListBullet"/>
        <w:spacing w:after="40" w:line="259" w:lineRule="auto"/>
      </w:pPr>
      <w:r>
        <w:rPr>
          <w:rFonts w:ascii="Aptos" w:hAnsi="Aptos"/>
        </w:rPr>
        <w:t>organisation_relation</w:t>
      </w:r>
    </w:p>
    <w:p>
      <w:pPr>
        <w:pStyle w:val="ListBullet"/>
        <w:spacing w:after="40" w:line="259" w:lineRule="auto"/>
      </w:pPr>
      <w:r>
        <w:rPr>
          <w:rFonts w:ascii="Aptos" w:hAnsi="Aptos"/>
        </w:rPr>
        <w:t>office</w:t>
      </w:r>
    </w:p>
    <w:p>
      <w:pPr>
        <w:pStyle w:val="ListBullet"/>
        <w:spacing w:after="40" w:line="259" w:lineRule="auto"/>
      </w:pPr>
      <w:r>
        <w:rPr>
          <w:rFonts w:ascii="Aptos" w:hAnsi="Aptos"/>
        </w:rPr>
        <w:t>tenant_cell_binding</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/tenants/{id}</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/organisations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/organisations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/offices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/admin/tenant-bindings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TenantCreated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OrganisationChanged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OfficeActivated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TenantIsolationClassChanged</w:t>
            </w:r>
          </w:p>
        </w:tc>
      </w:tr>
    </w:tbl>
    <w:p>
      <w:pPr>
        <w:spacing w:after="40"/>
      </w:pPr>
    </w:p>
    <w:p>
      <w:pPr>
        <w:pStyle w:val="Heading3"/>
      </w:pPr>
      <w:r>
        <w:t>Dependencies and integration</w:t>
      </w:r>
    </w:p>
    <w:p>
      <w:pPr>
        <w:pStyle w:val="ListBullet"/>
        <w:spacing w:after="40" w:line="259" w:lineRule="auto"/>
      </w:pPr>
      <w:r>
        <w:rPr>
          <w:rFonts w:ascii="Aptos" w:hAnsi="Aptos"/>
        </w:rPr>
        <w:t>CMP-003 Jurisdiction</w:t>
      </w:r>
    </w:p>
    <w:p>
      <w:pPr>
        <w:pStyle w:val="ListBullet"/>
        <w:spacing w:after="40" w:line="259" w:lineRule="auto"/>
      </w:pPr>
      <w:r>
        <w:rPr>
          <w:rFonts w:ascii="Aptos" w:hAnsi="Aptos"/>
        </w:rPr>
        <w:t>CMP-004 Identity</w:t>
      </w:r>
    </w:p>
    <w:p>
      <w:pPr>
        <w:pStyle w:val="ListBullet"/>
        <w:spacing w:after="40" w:line="259" w:lineRule="auto"/>
      </w:pPr>
      <w:r>
        <w:rPr>
          <w:rFonts w:ascii="Aptos" w:hAnsi="Aptos"/>
        </w:rPr>
        <w:t>CMP-048 Security</w:t>
      </w:r>
    </w:p>
    <w:p>
      <w:pPr>
        <w:pStyle w:val="ListBullet"/>
        <w:spacing w:after="40" w:line="259" w:lineRule="auto"/>
      </w:pPr>
      <w:r>
        <w:rPr>
          <w:rFonts w:ascii="Aptos" w:hAnsi="Aptos"/>
        </w:rPr>
        <w:t>CMP-055 Developer Platform</w:t>
      </w:r>
    </w:p>
    <w:p>
      <w:pPr>
        <w:pStyle w:val="Heading3"/>
      </w:pPr>
      <w:r>
        <w:t>Failure behavior and safeguards</w:t>
      </w:r>
    </w:p>
    <w:p>
      <w:pPr>
        <w:pStyle w:val="ListBullet"/>
        <w:spacing w:after="40" w:line="259" w:lineRule="auto"/>
      </w:pPr>
      <w:r>
        <w:rPr>
          <w:rFonts w:ascii="Aptos" w:hAnsi="Aptos"/>
        </w:rPr>
        <w:t>Hierarchy cycle</w:t>
      </w:r>
    </w:p>
    <w:p>
      <w:pPr>
        <w:pStyle w:val="ListBullet"/>
        <w:spacing w:after="40" w:line="259" w:lineRule="auto"/>
      </w:pPr>
      <w:r>
        <w:rPr>
          <w:rFonts w:ascii="Aptos" w:hAnsi="Aptos"/>
        </w:rPr>
        <w:t>Tenant boundary mismatch</w:t>
      </w:r>
    </w:p>
    <w:p>
      <w:pPr>
        <w:pStyle w:val="ListBullet"/>
        <w:spacing w:after="40" w:line="259" w:lineRule="auto"/>
      </w:pPr>
      <w:r>
        <w:rPr>
          <w:rFonts w:ascii="Aptos" w:hAnsi="Aptos"/>
        </w:rPr>
        <w:t>Cross-tenant office reference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CMP-003  Jurisdiction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Domain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Model versioned geographic and administrative jurisdiction and resolve whether a service, office, role or application is in scope.</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Jurisdiction data can be global/reference or tenant-scoped depending on source; authorization always validates tenant scope.</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Resolution p95 &lt;150 ms for cached hierarchy; bulk reference imports asynchronous.</w:t>
            </w:r>
          </w:p>
        </w:tc>
      </w:tr>
    </w:tbl>
    <w:p>
      <w:pPr>
        <w:spacing w:after="40"/>
      </w:pPr>
    </w:p>
    <w:p>
      <w:pPr>
        <w:pStyle w:val="Heading3"/>
      </w:pPr>
      <w:r>
        <w:t>Responsibilities</w:t>
      </w:r>
    </w:p>
    <w:p>
      <w:pPr>
        <w:pStyle w:val="ListBullet"/>
        <w:spacing w:after="40" w:line="259" w:lineRule="auto"/>
      </w:pPr>
      <w:r>
        <w:rPr>
          <w:rFonts w:ascii="Aptos" w:hAnsi="Aptos"/>
        </w:rPr>
        <w:t>Jurisdiction types and nodes</w:t>
      </w:r>
    </w:p>
    <w:p>
      <w:pPr>
        <w:pStyle w:val="ListBullet"/>
        <w:spacing w:after="40" w:line="259" w:lineRule="auto"/>
      </w:pPr>
      <w:r>
        <w:rPr>
          <w:rFonts w:ascii="Aptos" w:hAnsi="Aptos"/>
        </w:rPr>
        <w:t>Parent/child containment</w:t>
      </w:r>
    </w:p>
    <w:p>
      <w:pPr>
        <w:pStyle w:val="ListBullet"/>
        <w:spacing w:after="40" w:line="259" w:lineRule="auto"/>
      </w:pPr>
      <w:r>
        <w:rPr>
          <w:rFonts w:ascii="Aptos" w:hAnsi="Aptos"/>
        </w:rPr>
        <w:t>Jurisdiction-to-office/service bindings</w:t>
      </w:r>
    </w:p>
    <w:p>
      <w:pPr>
        <w:pStyle w:val="ListBullet"/>
        <w:spacing w:after="40" w:line="259" w:lineRule="auto"/>
      </w:pPr>
      <w:r>
        <w:rPr>
          <w:rFonts w:ascii="Aptos" w:hAnsi="Aptos"/>
        </w:rPr>
        <w:t>Point/address-to-jurisdiction resolution adapters</w:t>
      </w:r>
    </w:p>
    <w:p>
      <w:pPr>
        <w:pStyle w:val="ListBullet"/>
        <w:spacing w:after="40" w:line="259" w:lineRule="auto"/>
      </w:pPr>
      <w:r>
        <w:rPr>
          <w:rFonts w:ascii="Aptos" w:hAnsi="Aptos"/>
        </w:rPr>
        <w:t>Versioned jurisdiction snapshots</w:t>
      </w:r>
    </w:p>
    <w:p>
      <w:pPr>
        <w:pStyle w:val="Heading3"/>
      </w:pPr>
      <w:r>
        <w:t>Explicit non-responsibilities</w:t>
      </w:r>
    </w:p>
    <w:p>
      <w:pPr>
        <w:pStyle w:val="ListBullet"/>
        <w:spacing w:after="40" w:line="259" w:lineRule="auto"/>
      </w:pPr>
      <w:r>
        <w:rPr>
          <w:rFonts w:ascii="Aptos" w:hAnsi="Aptos"/>
        </w:rPr>
        <w:t>Does not own organisation hierarchy</w:t>
      </w:r>
    </w:p>
    <w:p>
      <w:pPr>
        <w:pStyle w:val="ListBullet"/>
        <w:spacing w:after="40" w:line="259" w:lineRule="auto"/>
      </w:pPr>
      <w:r>
        <w:rPr>
          <w:rFonts w:ascii="Aptos" w:hAnsi="Aptos"/>
        </w:rPr>
        <w:t>Does not perform authorization alone</w:t>
      </w:r>
    </w:p>
    <w:p>
      <w:pPr>
        <w:pStyle w:val="ListBullet"/>
        <w:spacing w:after="40" w:line="259" w:lineRule="auto"/>
      </w:pPr>
      <w:r>
        <w:rPr>
          <w:rFonts w:ascii="Aptos" w:hAnsi="Aptos"/>
        </w:rPr>
        <w:t>Does not hard-code state-specific levels</w:t>
      </w:r>
    </w:p>
    <w:p>
      <w:pPr>
        <w:pStyle w:val="Heading3"/>
      </w:pPr>
      <w:r>
        <w:t>Authoritative data / state</w:t>
      </w:r>
    </w:p>
    <w:p>
      <w:pPr>
        <w:pStyle w:val="ListBullet"/>
        <w:spacing w:after="40" w:line="259" w:lineRule="auto"/>
      </w:pPr>
      <w:r>
        <w:rPr>
          <w:rFonts w:ascii="Aptos" w:hAnsi="Aptos"/>
        </w:rPr>
        <w:t>jurisdiction_type</w:t>
      </w:r>
    </w:p>
    <w:p>
      <w:pPr>
        <w:pStyle w:val="ListBullet"/>
        <w:spacing w:after="40" w:line="259" w:lineRule="auto"/>
      </w:pPr>
      <w:r>
        <w:rPr>
          <w:rFonts w:ascii="Aptos" w:hAnsi="Aptos"/>
        </w:rPr>
        <w:t>jurisdiction</w:t>
      </w:r>
    </w:p>
    <w:p>
      <w:pPr>
        <w:pStyle w:val="ListBullet"/>
        <w:spacing w:after="40" w:line="259" w:lineRule="auto"/>
      </w:pPr>
      <w:r>
        <w:rPr>
          <w:rFonts w:ascii="Aptos" w:hAnsi="Aptos"/>
        </w:rPr>
        <w:t>jurisdiction_relation</w:t>
      </w:r>
    </w:p>
    <w:p>
      <w:pPr>
        <w:pStyle w:val="ListBullet"/>
        <w:spacing w:after="40" w:line="259" w:lineRule="auto"/>
      </w:pPr>
      <w:r>
        <w:rPr>
          <w:rFonts w:ascii="Aptos" w:hAnsi="Aptos"/>
        </w:rPr>
        <w:t>jurisdiction_binding</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/jurisdictions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/jurisdictions/{id}/children</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/jurisdiction/resolve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/jurisdiction-types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JurisdictionVersionPublished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JurisdictionBoundaryChanged</w:t>
            </w:r>
          </w:p>
        </w:tc>
      </w:tr>
    </w:tbl>
    <w:p>
      <w:pPr>
        <w:spacing w:after="40"/>
      </w:pPr>
    </w:p>
    <w:p>
      <w:pPr>
        <w:pStyle w:val="Heading3"/>
      </w:pPr>
      <w:r>
        <w:t>Dependencies and integration</w:t>
      </w:r>
    </w:p>
    <w:p>
      <w:pPr>
        <w:pStyle w:val="ListBullet"/>
        <w:spacing w:after="40" w:line="259" w:lineRule="auto"/>
      </w:pPr>
      <w:r>
        <w:rPr>
          <w:rFonts w:ascii="Aptos" w:hAnsi="Aptos"/>
        </w:rPr>
        <w:t>CMP-002 Tenant &amp; Organisation</w:t>
      </w:r>
    </w:p>
    <w:p>
      <w:pPr>
        <w:pStyle w:val="ListBullet"/>
        <w:spacing w:after="40" w:line="259" w:lineRule="auto"/>
      </w:pPr>
      <w:r>
        <w:rPr>
          <w:rFonts w:ascii="Aptos" w:hAnsi="Aptos"/>
        </w:rPr>
        <w:t>CMP-004 Identity</w:t>
      </w:r>
    </w:p>
    <w:p>
      <w:pPr>
        <w:pStyle w:val="ListBullet"/>
        <w:spacing w:after="40" w:line="259" w:lineRule="auto"/>
      </w:pPr>
      <w:r>
        <w:rPr>
          <w:rFonts w:ascii="Aptos" w:hAnsi="Aptos"/>
        </w:rPr>
        <w:t>CMP-008 Rules</w:t>
      </w:r>
    </w:p>
    <w:p>
      <w:pPr>
        <w:pStyle w:val="ListBullet"/>
        <w:spacing w:after="40" w:line="259" w:lineRule="auto"/>
      </w:pPr>
      <w:r>
        <w:rPr>
          <w:rFonts w:ascii="Aptos" w:hAnsi="Aptos"/>
        </w:rPr>
        <w:t>CMP-017 Work Queue</w:t>
      </w:r>
    </w:p>
    <w:p>
      <w:pPr>
        <w:pStyle w:val="Heading3"/>
      </w:pPr>
      <w:r>
        <w:t>Failure behavior and safeguards</w:t>
      </w:r>
    </w:p>
    <w:p>
      <w:pPr>
        <w:pStyle w:val="ListBullet"/>
        <w:spacing w:after="40" w:line="259" w:lineRule="auto"/>
      </w:pPr>
      <w:r>
        <w:rPr>
          <w:rFonts w:ascii="Aptos" w:hAnsi="Aptos"/>
        </w:rPr>
        <w:t>Unknown address</w:t>
      </w:r>
    </w:p>
    <w:p>
      <w:pPr>
        <w:pStyle w:val="ListBullet"/>
        <w:spacing w:after="40" w:line="259" w:lineRule="auto"/>
      </w:pPr>
      <w:r>
        <w:rPr>
          <w:rFonts w:ascii="Aptos" w:hAnsi="Aptos"/>
        </w:rPr>
        <w:t>Boundary version mismatch</w:t>
      </w:r>
    </w:p>
    <w:p>
      <w:pPr>
        <w:pStyle w:val="ListBullet"/>
        <w:spacing w:after="40" w:line="259" w:lineRule="auto"/>
      </w:pPr>
      <w:r>
        <w:rPr>
          <w:rFonts w:ascii="Aptos" w:hAnsi="Aptos"/>
        </w:rPr>
        <w:t>Circular hierarchy</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CMP-004  Identity &amp; Access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Security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Authenticate workforce through Keycloak, citizens through ServiceForm Citizen Identity, resolve trusted tenant context and expose identity assurance.</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Immutable citizen_id. Officer tenant context is derived from signed identity + server-side bindings; never trusted from client headers.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Ordinary API requests validate signed tokens locally; no synchronous Keycloak/DigiLocker call on every request.</w:t>
            </w:r>
          </w:p>
        </w:tc>
      </w:tr>
    </w:tbl>
    <w:p>
      <w:pPr>
        <w:spacing w:after="40"/>
      </w:pPr>
    </w:p>
    <w:p>
      <w:pPr>
        <w:pStyle w:val="Heading3"/>
      </w:pPr>
      <w:r>
        <w:t>Responsibilities</w:t>
      </w:r>
    </w:p>
    <w:p>
      <w:pPr>
        <w:pStyle w:val="ListBullet"/>
        <w:spacing w:after="40" w:line="259" w:lineRule="auto"/>
      </w:pPr>
      <w:r>
        <w:rPr>
          <w:rFonts w:ascii="Aptos" w:hAnsi="Aptos"/>
        </w:rPr>
        <w:t>Officer token validation and claims normalization</w:t>
      </w:r>
    </w:p>
    <w:p>
      <w:pPr>
        <w:pStyle w:val="ListBullet"/>
        <w:spacing w:after="40" w:line="259" w:lineRule="auto"/>
      </w:pPr>
      <w:r>
        <w:rPr>
          <w:rFonts w:ascii="Aptos" w:hAnsi="Aptos"/>
        </w:rPr>
        <w:t>Citizen OTP/session lifecycle</w:t>
      </w:r>
    </w:p>
    <w:p>
      <w:pPr>
        <w:pStyle w:val="ListBullet"/>
        <w:spacing w:after="40" w:line="259" w:lineRule="auto"/>
      </w:pPr>
      <w:r>
        <w:rPr>
          <w:rFonts w:ascii="Aptos" w:hAnsi="Aptos"/>
        </w:rPr>
        <w:t>Linked identity methods and account recovery</w:t>
      </w:r>
    </w:p>
    <w:p>
      <w:pPr>
        <w:pStyle w:val="ListBullet"/>
        <w:spacing w:after="40" w:line="259" w:lineRule="auto"/>
      </w:pPr>
      <w:r>
        <w:rPr>
          <w:rFonts w:ascii="Aptos" w:hAnsi="Aptos"/>
        </w:rPr>
        <w:t>DigiLocker-linked identity assurance</w:t>
      </w:r>
    </w:p>
    <w:p>
      <w:pPr>
        <w:pStyle w:val="ListBullet"/>
        <w:spacing w:after="40" w:line="259" w:lineRule="auto"/>
      </w:pPr>
      <w:r>
        <w:rPr>
          <w:rFonts w:ascii="Aptos" w:hAnsi="Aptos"/>
        </w:rPr>
        <w:t>Tenant/organisation/role context derivation</w:t>
      </w:r>
    </w:p>
    <w:p>
      <w:pPr>
        <w:pStyle w:val="Heading3"/>
      </w:pPr>
      <w:r>
        <w:t>Explicit non-responsibilities</w:t>
      </w:r>
    </w:p>
    <w:p>
      <w:pPr>
        <w:pStyle w:val="ListBullet"/>
        <w:spacing w:after="40" w:line="259" w:lineRule="auto"/>
      </w:pPr>
      <w:r>
        <w:rPr>
          <w:rFonts w:ascii="Aptos" w:hAnsi="Aptos"/>
        </w:rPr>
        <w:t>Does not decide statutory eligibility</w:t>
      </w:r>
    </w:p>
    <w:p>
      <w:pPr>
        <w:pStyle w:val="ListBullet"/>
        <w:spacing w:after="40" w:line="259" w:lineRule="auto"/>
      </w:pPr>
      <w:r>
        <w:rPr>
          <w:rFonts w:ascii="Aptos" w:hAnsi="Aptos"/>
        </w:rPr>
        <w:t>Does not use mobile number as permanent citizen primary key</w:t>
      </w:r>
    </w:p>
    <w:p>
      <w:pPr>
        <w:pStyle w:val="ListBullet"/>
        <w:spacing w:after="40" w:line="259" w:lineRule="auto"/>
      </w:pPr>
      <w:r>
        <w:rPr>
          <w:rFonts w:ascii="Aptos" w:hAnsi="Aptos"/>
        </w:rPr>
        <w:t>Does not replace OPA fine-grained authorization</w:t>
      </w:r>
    </w:p>
    <w:p>
      <w:pPr>
        <w:pStyle w:val="Heading3"/>
      </w:pPr>
      <w:r>
        <w:t>Authoritative data / state</w:t>
      </w:r>
    </w:p>
    <w:p>
      <w:pPr>
        <w:pStyle w:val="ListBullet"/>
        <w:spacing w:after="40" w:line="259" w:lineRule="auto"/>
      </w:pPr>
      <w:r>
        <w:rPr>
          <w:rFonts w:ascii="Aptos" w:hAnsi="Aptos"/>
        </w:rPr>
        <w:t>citizen_identity</w:t>
      </w:r>
    </w:p>
    <w:p>
      <w:pPr>
        <w:pStyle w:val="ListBullet"/>
        <w:spacing w:after="40" w:line="259" w:lineRule="auto"/>
      </w:pPr>
      <w:r>
        <w:rPr>
          <w:rFonts w:ascii="Aptos" w:hAnsi="Aptos"/>
        </w:rPr>
        <w:t>auth_method</w:t>
      </w:r>
    </w:p>
    <w:p>
      <w:pPr>
        <w:pStyle w:val="ListBullet"/>
        <w:spacing w:after="40" w:line="259" w:lineRule="auto"/>
      </w:pPr>
      <w:r>
        <w:rPr>
          <w:rFonts w:ascii="Aptos" w:hAnsi="Aptos"/>
        </w:rPr>
        <w:t>identity_link</w:t>
      </w:r>
    </w:p>
    <w:p>
      <w:pPr>
        <w:pStyle w:val="ListBullet"/>
        <w:spacing w:after="40" w:line="259" w:lineRule="auto"/>
      </w:pPr>
      <w:r>
        <w:rPr>
          <w:rFonts w:ascii="Aptos" w:hAnsi="Aptos"/>
        </w:rPr>
        <w:t>session_metadata</w:t>
      </w:r>
    </w:p>
    <w:p>
      <w:pPr>
        <w:pStyle w:val="ListBullet"/>
        <w:spacing w:after="40" w:line="259" w:lineRule="auto"/>
      </w:pPr>
      <w:r>
        <w:rPr>
          <w:rFonts w:ascii="Aptos" w:hAnsi="Aptos"/>
        </w:rPr>
        <w:t>officer_identity_projection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/citizen/auth/otp/request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/citizen/auth/otp/verify</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/citizen/session/refresh</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/me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/identity/link/digilocker</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CitizenAuthenticated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IdentityMethodLinked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AssuranceLevelChanged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OfficerContextResolved</w:t>
            </w:r>
          </w:p>
        </w:tc>
      </w:tr>
    </w:tbl>
    <w:p>
      <w:pPr>
        <w:spacing w:after="40"/>
      </w:pPr>
    </w:p>
    <w:p>
      <w:pPr>
        <w:pStyle w:val="Heading3"/>
      </w:pPr>
      <w:r>
        <w:t>Dependencies and integration</w:t>
      </w:r>
    </w:p>
    <w:p>
      <w:pPr>
        <w:pStyle w:val="ListBullet"/>
        <w:spacing w:after="40" w:line="259" w:lineRule="auto"/>
      </w:pPr>
      <w:r>
        <w:rPr>
          <w:rFonts w:ascii="Aptos" w:hAnsi="Aptos"/>
        </w:rPr>
        <w:t>Keycloak</w:t>
      </w:r>
    </w:p>
    <w:p>
      <w:pPr>
        <w:pStyle w:val="ListBullet"/>
        <w:spacing w:after="40" w:line="259" w:lineRule="auto"/>
      </w:pPr>
      <w:r>
        <w:rPr>
          <w:rFonts w:ascii="Aptos" w:hAnsi="Aptos"/>
        </w:rPr>
        <w:t>CMP-012 DigiLocker</w:t>
      </w:r>
    </w:p>
    <w:p>
      <w:pPr>
        <w:pStyle w:val="ListBullet"/>
        <w:spacing w:after="40" w:line="259" w:lineRule="auto"/>
      </w:pPr>
      <w:r>
        <w:rPr>
          <w:rFonts w:ascii="Aptos" w:hAnsi="Aptos"/>
        </w:rPr>
        <w:t>OPA via CMP-048</w:t>
      </w:r>
    </w:p>
    <w:p>
      <w:pPr>
        <w:pStyle w:val="ListBullet"/>
        <w:spacing w:after="40" w:line="259" w:lineRule="auto"/>
      </w:pPr>
      <w:r>
        <w:rPr>
          <w:rFonts w:ascii="Aptos" w:hAnsi="Aptos"/>
        </w:rPr>
        <w:t>CMP-005 Citizen Profile</w:t>
      </w:r>
    </w:p>
    <w:p>
      <w:pPr>
        <w:pStyle w:val="Heading3"/>
      </w:pPr>
      <w:r>
        <w:t>Failure behavior and safeguards</w:t>
      </w:r>
    </w:p>
    <w:p>
      <w:pPr>
        <w:pStyle w:val="ListBullet"/>
        <w:spacing w:after="40" w:line="259" w:lineRule="auto"/>
      </w:pPr>
      <w:r>
        <w:rPr>
          <w:rFonts w:ascii="Aptos" w:hAnsi="Aptos"/>
        </w:rPr>
        <w:t>OTP abuse</w:t>
      </w:r>
    </w:p>
    <w:p>
      <w:pPr>
        <w:pStyle w:val="ListBullet"/>
        <w:spacing w:after="40" w:line="259" w:lineRule="auto"/>
      </w:pPr>
      <w:r>
        <w:rPr>
          <w:rFonts w:ascii="Aptos" w:hAnsi="Aptos"/>
        </w:rPr>
        <w:t>Recycled mobile number</w:t>
      </w:r>
    </w:p>
    <w:p>
      <w:pPr>
        <w:pStyle w:val="ListBullet"/>
        <w:spacing w:after="40" w:line="259" w:lineRule="auto"/>
      </w:pPr>
      <w:r>
        <w:rPr>
          <w:rFonts w:ascii="Aptos" w:hAnsi="Aptos"/>
        </w:rPr>
        <w:t>Token tenant mismatch</w:t>
      </w:r>
    </w:p>
    <w:p>
      <w:pPr>
        <w:pStyle w:val="ListBullet"/>
        <w:spacing w:after="40" w:line="259" w:lineRule="auto"/>
      </w:pPr>
      <w:r>
        <w:rPr>
          <w:rFonts w:ascii="Aptos" w:hAnsi="Aptos"/>
        </w:rPr>
        <w:t>Account-link conflict</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CMP-005  Citizen Profile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Maintain citizen profile, reusable verified claims, preferences and tenant-safe access to citizen data.</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Citizen identity may be global, but tenant/service access to claims is purpose- and consent-scoped.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Read-heavy profile endpoints cache safe reference data but not sensitive values across tenant context.</w:t>
            </w:r>
          </w:p>
        </w:tc>
      </w:tr>
    </w:tbl>
    <w:p>
      <w:pPr>
        <w:spacing w:after="40"/>
      </w:pPr>
    </w:p>
    <w:p>
      <w:pPr>
        <w:pStyle w:val="Heading3"/>
      </w:pPr>
      <w:r>
        <w:t>Responsibilities</w:t>
      </w:r>
    </w:p>
    <w:p>
      <w:pPr>
        <w:pStyle w:val="ListBullet"/>
        <w:spacing w:after="40" w:line="259" w:lineRule="auto"/>
      </w:pPr>
      <w:r>
        <w:rPr>
          <w:rFonts w:ascii="Aptos" w:hAnsi="Aptos"/>
        </w:rPr>
        <w:t>Citizen profile fields</w:t>
      </w:r>
    </w:p>
    <w:p>
      <w:pPr>
        <w:pStyle w:val="ListBullet"/>
        <w:spacing w:after="40" w:line="259" w:lineRule="auto"/>
      </w:pPr>
      <w:r>
        <w:rPr>
          <w:rFonts w:ascii="Aptos" w:hAnsi="Aptos"/>
        </w:rPr>
        <w:t>Verified-claim provenance</w:t>
      </w:r>
    </w:p>
    <w:p>
      <w:pPr>
        <w:pStyle w:val="ListBullet"/>
        <w:spacing w:after="40" w:line="259" w:lineRule="auto"/>
      </w:pPr>
      <w:r>
        <w:rPr>
          <w:rFonts w:ascii="Aptos" w:hAnsi="Aptos"/>
        </w:rPr>
        <w:t>Address/family/occupation profile sections</w:t>
      </w:r>
    </w:p>
    <w:p>
      <w:pPr>
        <w:pStyle w:val="ListBullet"/>
        <w:spacing w:after="40" w:line="259" w:lineRule="auto"/>
      </w:pPr>
      <w:r>
        <w:rPr>
          <w:rFonts w:ascii="Aptos" w:hAnsi="Aptos"/>
        </w:rPr>
        <w:t>Reusable claims and preference settings</w:t>
      </w:r>
    </w:p>
    <w:p>
      <w:pPr>
        <w:pStyle w:val="ListBullet"/>
        <w:spacing w:after="40" w:line="259" w:lineRule="auto"/>
      </w:pPr>
      <w:r>
        <w:rPr>
          <w:rFonts w:ascii="Aptos" w:hAnsi="Aptos"/>
        </w:rPr>
        <w:t>Profile-change event publication</w:t>
      </w:r>
    </w:p>
    <w:p>
      <w:pPr>
        <w:pStyle w:val="Heading3"/>
      </w:pPr>
      <w:r>
        <w:t>Explicit non-responsibilities</w:t>
      </w:r>
    </w:p>
    <w:p>
      <w:pPr>
        <w:pStyle w:val="ListBullet"/>
        <w:spacing w:after="40" w:line="259" w:lineRule="auto"/>
      </w:pPr>
      <w:r>
        <w:rPr>
          <w:rFonts w:ascii="Aptos" w:hAnsi="Aptos"/>
        </w:rPr>
        <w:t>Does not authenticate users</w:t>
      </w:r>
    </w:p>
    <w:p>
      <w:pPr>
        <w:pStyle w:val="ListBullet"/>
        <w:spacing w:after="40" w:line="259" w:lineRule="auto"/>
      </w:pPr>
      <w:r>
        <w:rPr>
          <w:rFonts w:ascii="Aptos" w:hAnsi="Aptos"/>
        </w:rPr>
        <w:t>Does not make eligibility decisions</w:t>
      </w:r>
    </w:p>
    <w:p>
      <w:pPr>
        <w:pStyle w:val="ListBullet"/>
        <w:spacing w:after="40" w:line="259" w:lineRule="auto"/>
      </w:pPr>
      <w:r>
        <w:rPr>
          <w:rFonts w:ascii="Aptos" w:hAnsi="Aptos"/>
        </w:rPr>
        <w:t>Does not allow one tenant to inspect another tenant application history</w:t>
      </w:r>
    </w:p>
    <w:p>
      <w:pPr>
        <w:pStyle w:val="Heading3"/>
      </w:pPr>
      <w:r>
        <w:t>Authoritative data / state</w:t>
      </w:r>
    </w:p>
    <w:p>
      <w:pPr>
        <w:pStyle w:val="ListBullet"/>
        <w:spacing w:after="40" w:line="259" w:lineRule="auto"/>
      </w:pPr>
      <w:r>
        <w:rPr>
          <w:rFonts w:ascii="Aptos" w:hAnsi="Aptos"/>
        </w:rPr>
        <w:t>citizen_profile</w:t>
      </w:r>
    </w:p>
    <w:p>
      <w:pPr>
        <w:pStyle w:val="ListBullet"/>
        <w:spacing w:after="40" w:line="259" w:lineRule="auto"/>
      </w:pPr>
      <w:r>
        <w:rPr>
          <w:rFonts w:ascii="Aptos" w:hAnsi="Aptos"/>
        </w:rPr>
        <w:t>verified_claim</w:t>
      </w:r>
    </w:p>
    <w:p>
      <w:pPr>
        <w:pStyle w:val="ListBullet"/>
        <w:spacing w:after="40" w:line="259" w:lineRule="auto"/>
      </w:pPr>
      <w:r>
        <w:rPr>
          <w:rFonts w:ascii="Aptos" w:hAnsi="Aptos"/>
        </w:rPr>
        <w:t>claim_provenance</w:t>
      </w:r>
    </w:p>
    <w:p>
      <w:pPr>
        <w:pStyle w:val="ListBullet"/>
        <w:spacing w:after="40" w:line="259" w:lineRule="auto"/>
      </w:pPr>
      <w:r>
        <w:rPr>
          <w:rFonts w:ascii="Aptos" w:hAnsi="Aptos"/>
        </w:rPr>
        <w:t>citizen_preference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/citizen/profile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PATCH /citizen/profile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/citizen/claims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/citizen/claims/consent</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CitizenProfileChanged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VerifiedClaimAdded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ClaimExpired</w:t>
            </w:r>
          </w:p>
        </w:tc>
      </w:tr>
    </w:tbl>
    <w:p>
      <w:pPr>
        <w:spacing w:after="40"/>
      </w:pPr>
    </w:p>
    <w:p>
      <w:pPr>
        <w:pStyle w:val="Heading3"/>
      </w:pPr>
      <w:r>
        <w:t>Dependencies and integration</w:t>
      </w:r>
    </w:p>
    <w:p>
      <w:pPr>
        <w:pStyle w:val="ListBullet"/>
        <w:spacing w:after="40" w:line="259" w:lineRule="auto"/>
      </w:pPr>
      <w:r>
        <w:rPr>
          <w:rFonts w:ascii="Aptos" w:hAnsi="Aptos"/>
        </w:rPr>
        <w:t>CMP-004 Identity</w:t>
      </w:r>
    </w:p>
    <w:p>
      <w:pPr>
        <w:pStyle w:val="ListBullet"/>
        <w:spacing w:after="40" w:line="259" w:lineRule="auto"/>
      </w:pPr>
      <w:r>
        <w:rPr>
          <w:rFonts w:ascii="Aptos" w:hAnsi="Aptos"/>
        </w:rPr>
        <w:t>CMP-030 Consent</w:t>
      </w:r>
    </w:p>
    <w:p>
      <w:pPr>
        <w:pStyle w:val="ListBullet"/>
        <w:spacing w:after="40" w:line="259" w:lineRule="auto"/>
      </w:pPr>
      <w:r>
        <w:rPr>
          <w:rFonts w:ascii="Aptos" w:hAnsi="Aptos"/>
        </w:rPr>
        <w:t>CMP-012 DigiLocker</w:t>
      </w:r>
    </w:p>
    <w:p>
      <w:pPr>
        <w:pStyle w:val="ListBullet"/>
        <w:spacing w:after="40" w:line="259" w:lineRule="auto"/>
      </w:pPr>
      <w:r>
        <w:rPr>
          <w:rFonts w:ascii="Aptos" w:hAnsi="Aptos"/>
        </w:rPr>
        <w:t>CMP-007 Recommendation</w:t>
      </w:r>
    </w:p>
    <w:p>
      <w:pPr>
        <w:pStyle w:val="Heading3"/>
      </w:pPr>
      <w:r>
        <w:t>Failure behavior and safeguards</w:t>
      </w:r>
    </w:p>
    <w:p>
      <w:pPr>
        <w:pStyle w:val="ListBullet"/>
        <w:spacing w:after="40" w:line="259" w:lineRule="auto"/>
      </w:pPr>
      <w:r>
        <w:rPr>
          <w:rFonts w:ascii="Aptos" w:hAnsi="Aptos"/>
        </w:rPr>
        <w:t>Conflicting claim sources</w:t>
      </w:r>
    </w:p>
    <w:p>
      <w:pPr>
        <w:pStyle w:val="ListBullet"/>
        <w:spacing w:after="40" w:line="259" w:lineRule="auto"/>
      </w:pPr>
      <w:r>
        <w:rPr>
          <w:rFonts w:ascii="Aptos" w:hAnsi="Aptos"/>
        </w:rPr>
        <w:t>Expired claim</w:t>
      </w:r>
    </w:p>
    <w:p>
      <w:pPr>
        <w:pStyle w:val="ListBullet"/>
        <w:spacing w:after="40" w:line="259" w:lineRule="auto"/>
      </w:pPr>
      <w:r>
        <w:rPr>
          <w:rFonts w:ascii="Aptos" w:hAnsi="Aptos"/>
        </w:rPr>
        <w:t>Consent revoked</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CMP-006  Service Discovery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Experience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Help citizens find services through text, category, geography, life-event and profile-aware filters.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Search results are filtered by tenant/publication/jurisdiction visibility server-side.</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p95 &lt;500 ms for common search mix at certified load.</w:t>
            </w:r>
          </w:p>
        </w:tc>
      </w:tr>
    </w:tbl>
    <w:p>
      <w:pPr>
        <w:spacing w:after="40"/>
      </w:pPr>
    </w:p>
    <w:p>
      <w:pPr>
        <w:pStyle w:val="Heading3"/>
      </w:pPr>
      <w:r>
        <w:t>Responsibilities</w:t>
      </w:r>
    </w:p>
    <w:p>
      <w:pPr>
        <w:pStyle w:val="ListBullet"/>
        <w:spacing w:after="40" w:line="259" w:lineRule="auto"/>
      </w:pPr>
      <w:r>
        <w:rPr>
          <w:rFonts w:ascii="Aptos" w:hAnsi="Aptos"/>
        </w:rPr>
        <w:t>Keyword/faceted search</w:t>
      </w:r>
    </w:p>
    <w:p>
      <w:pPr>
        <w:pStyle w:val="ListBullet"/>
        <w:spacing w:after="40" w:line="259" w:lineRule="auto"/>
      </w:pPr>
      <w:r>
        <w:rPr>
          <w:rFonts w:ascii="Aptos" w:hAnsi="Aptos"/>
        </w:rPr>
        <w:t>Service-category browsing</w:t>
      </w:r>
    </w:p>
    <w:p>
      <w:pPr>
        <w:pStyle w:val="ListBullet"/>
        <w:spacing w:after="40" w:line="259" w:lineRule="auto"/>
      </w:pPr>
      <w:r>
        <w:rPr>
          <w:rFonts w:ascii="Aptos" w:hAnsi="Aptos"/>
        </w:rPr>
        <w:t>Jurisdiction-aware availability</w:t>
      </w:r>
    </w:p>
    <w:p>
      <w:pPr>
        <w:pStyle w:val="ListBullet"/>
        <w:spacing w:after="40" w:line="259" w:lineRule="auto"/>
      </w:pPr>
      <w:r>
        <w:rPr>
          <w:rFonts w:ascii="Aptos" w:hAnsi="Aptos"/>
        </w:rPr>
        <w:t>Life-event navigation</w:t>
      </w:r>
    </w:p>
    <w:p>
      <w:pPr>
        <w:pStyle w:val="ListBullet"/>
        <w:spacing w:after="40" w:line="259" w:lineRule="auto"/>
      </w:pPr>
      <w:r>
        <w:rPr>
          <w:rFonts w:ascii="Aptos" w:hAnsi="Aptos"/>
        </w:rPr>
        <w:t>Ranking based on relevance without statutory eligibility claims</w:t>
      </w:r>
    </w:p>
    <w:p>
      <w:pPr>
        <w:pStyle w:val="Heading3"/>
      </w:pPr>
      <w:r>
        <w:t>Explicit non-responsibilities</w:t>
      </w:r>
    </w:p>
    <w:p>
      <w:pPr>
        <w:pStyle w:val="ListBullet"/>
        <w:spacing w:after="40" w:line="259" w:lineRule="auto"/>
      </w:pPr>
      <w:r>
        <w:rPr>
          <w:rFonts w:ascii="Aptos" w:hAnsi="Aptos"/>
        </w:rPr>
        <w:t>Does not decide legal eligibility</w:t>
      </w:r>
    </w:p>
    <w:p>
      <w:pPr>
        <w:pStyle w:val="ListBullet"/>
        <w:spacing w:after="40" w:line="259" w:lineRule="auto"/>
      </w:pPr>
      <w:r>
        <w:rPr>
          <w:rFonts w:ascii="Aptos" w:hAnsi="Aptos"/>
        </w:rPr>
        <w:t>Does not own service metadata</w:t>
      </w:r>
    </w:p>
    <w:p>
      <w:pPr>
        <w:pStyle w:val="ListBullet"/>
        <w:spacing w:after="40" w:line="259" w:lineRule="auto"/>
      </w:pPr>
      <w:r>
        <w:rPr>
          <w:rFonts w:ascii="Aptos" w:hAnsi="Aptos"/>
        </w:rPr>
        <w:t>Does not expose unpublished offerings</w:t>
      </w:r>
    </w:p>
    <w:p>
      <w:pPr>
        <w:pStyle w:val="Heading3"/>
      </w:pPr>
      <w:r>
        <w:t>Authoritative data / state</w:t>
      </w:r>
    </w:p>
    <w:p>
      <w:pPr>
        <w:pStyle w:val="ListBullet"/>
        <w:spacing w:after="40" w:line="259" w:lineRule="auto"/>
      </w:pPr>
      <w:r>
        <w:rPr>
          <w:rFonts w:ascii="Aptos" w:hAnsi="Aptos"/>
        </w:rPr>
        <w:t>Derived search/read model only</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/discover</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/discover/categories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/discover/life-events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DiscoveryQueryObserved</w:t>
            </w:r>
          </w:p>
        </w:tc>
      </w:tr>
    </w:tbl>
    <w:p>
      <w:pPr>
        <w:spacing w:after="40"/>
      </w:pPr>
    </w:p>
    <w:p>
      <w:pPr>
        <w:pStyle w:val="Heading3"/>
      </w:pPr>
      <w:r>
        <w:t>Dependencies and integration</w:t>
      </w:r>
    </w:p>
    <w:p>
      <w:pPr>
        <w:pStyle w:val="ListBullet"/>
        <w:spacing w:after="40" w:line="259" w:lineRule="auto"/>
      </w:pPr>
      <w:r>
        <w:rPr>
          <w:rFonts w:ascii="Aptos" w:hAnsi="Aptos"/>
        </w:rPr>
        <w:t>CMP-001 Catalogue</w:t>
      </w:r>
    </w:p>
    <w:p>
      <w:pPr>
        <w:pStyle w:val="ListBullet"/>
        <w:spacing w:after="40" w:line="259" w:lineRule="auto"/>
      </w:pPr>
      <w:r>
        <w:rPr>
          <w:rFonts w:ascii="Aptos" w:hAnsi="Aptos"/>
        </w:rPr>
        <w:t>CMP-003 Jurisdiction</w:t>
      </w:r>
    </w:p>
    <w:p>
      <w:pPr>
        <w:pStyle w:val="ListBullet"/>
        <w:spacing w:after="40" w:line="259" w:lineRule="auto"/>
      </w:pPr>
      <w:r>
        <w:rPr>
          <w:rFonts w:ascii="Aptos" w:hAnsi="Aptos"/>
        </w:rPr>
        <w:t>CMP-035 Search</w:t>
      </w:r>
    </w:p>
    <w:p>
      <w:pPr>
        <w:pStyle w:val="ListBullet"/>
        <w:spacing w:after="40" w:line="259" w:lineRule="auto"/>
      </w:pPr>
      <w:r>
        <w:rPr>
          <w:rFonts w:ascii="Aptos" w:hAnsi="Aptos"/>
        </w:rPr>
        <w:t>CMP-053 Localization</w:t>
      </w:r>
    </w:p>
    <w:p>
      <w:pPr>
        <w:pStyle w:val="Heading3"/>
      </w:pPr>
      <w:r>
        <w:t>Failure behavior and safeguards</w:t>
      </w:r>
    </w:p>
    <w:p>
      <w:pPr>
        <w:pStyle w:val="ListBullet"/>
        <w:spacing w:after="40" w:line="259" w:lineRule="auto"/>
      </w:pPr>
      <w:r>
        <w:rPr>
          <w:rFonts w:ascii="Aptos" w:hAnsi="Aptos"/>
        </w:rPr>
        <w:t>Search index stale</w:t>
      </w:r>
    </w:p>
    <w:p>
      <w:pPr>
        <w:pStyle w:val="ListBullet"/>
        <w:spacing w:after="40" w:line="259" w:lineRule="auto"/>
      </w:pPr>
      <w:r>
        <w:rPr>
          <w:rFonts w:ascii="Aptos" w:hAnsi="Aptos"/>
        </w:rPr>
        <w:t>No jurisdiction match</w:t>
      </w:r>
    </w:p>
    <w:p>
      <w:pPr>
        <w:pStyle w:val="ListBullet"/>
        <w:spacing w:after="40" w:line="259" w:lineRule="auto"/>
      </w:pPr>
      <w:r>
        <w:rPr>
          <w:rFonts w:ascii="Aptos" w:hAnsi="Aptos"/>
        </w:rPr>
        <w:t>OpenSearch unavailable -&gt; degraded catalogue fallback</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CMP-007  Recommendation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Decision Support</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Suggest potentially relevant services based on citizen profile, claims and life events while remaining explainable and non-statutory.</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Recommendations are tenant/public-service scoped and must identify why a service is suggested.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Async recompute preferred; dashboard read must be low latency.</w:t>
            </w:r>
          </w:p>
        </w:tc>
      </w:tr>
    </w:tbl>
    <w:p>
      <w:pPr>
        <w:spacing w:after="40"/>
      </w:pPr>
    </w:p>
    <w:p>
      <w:pPr>
        <w:pStyle w:val="Heading3"/>
      </w:pPr>
      <w:r>
        <w:t>Responsibilities</w:t>
      </w:r>
    </w:p>
    <w:p>
      <w:pPr>
        <w:pStyle w:val="ListBullet"/>
        <w:spacing w:after="40" w:line="259" w:lineRule="auto"/>
      </w:pPr>
      <w:r>
        <w:rPr>
          <w:rFonts w:ascii="Aptos" w:hAnsi="Aptos"/>
        </w:rPr>
        <w:t>Recommendation generation</w:t>
      </w:r>
    </w:p>
    <w:p>
      <w:pPr>
        <w:pStyle w:val="ListBullet"/>
        <w:spacing w:after="40" w:line="259" w:lineRule="auto"/>
      </w:pPr>
      <w:r>
        <w:rPr>
          <w:rFonts w:ascii="Aptos" w:hAnsi="Aptos"/>
        </w:rPr>
        <w:t>Reason codes/explanations</w:t>
      </w:r>
    </w:p>
    <w:p>
      <w:pPr>
        <w:pStyle w:val="ListBullet"/>
        <w:spacing w:after="40" w:line="259" w:lineRule="auto"/>
      </w:pPr>
      <w:r>
        <w:rPr>
          <w:rFonts w:ascii="Aptos" w:hAnsi="Aptos"/>
        </w:rPr>
        <w:t>Consent-aware feature access</w:t>
      </w:r>
    </w:p>
    <w:p>
      <w:pPr>
        <w:pStyle w:val="ListBullet"/>
        <w:spacing w:after="40" w:line="259" w:lineRule="auto"/>
      </w:pPr>
      <w:r>
        <w:rPr>
          <w:rFonts w:ascii="Aptos" w:hAnsi="Aptos"/>
        </w:rPr>
        <w:t>Recommendation expiry/recompute</w:t>
      </w:r>
    </w:p>
    <w:p>
      <w:pPr>
        <w:pStyle w:val="ListBullet"/>
        <w:spacing w:after="40" w:line="259" w:lineRule="auto"/>
      </w:pPr>
      <w:r>
        <w:rPr>
          <w:rFonts w:ascii="Aptos" w:hAnsi="Aptos"/>
        </w:rPr>
        <w:t>Feedback loop for relevance</w:t>
      </w:r>
    </w:p>
    <w:p>
      <w:pPr>
        <w:pStyle w:val="Heading3"/>
      </w:pPr>
      <w:r>
        <w:t>Explicit non-responsibilities</w:t>
      </w:r>
    </w:p>
    <w:p>
      <w:pPr>
        <w:pStyle w:val="ListBullet"/>
        <w:spacing w:after="40" w:line="259" w:lineRule="auto"/>
      </w:pPr>
      <w:r>
        <w:rPr>
          <w:rFonts w:ascii="Aptos" w:hAnsi="Aptos"/>
        </w:rPr>
        <w:t>Does not determine statutory eligibility</w:t>
      </w:r>
    </w:p>
    <w:p>
      <w:pPr>
        <w:pStyle w:val="ListBullet"/>
        <w:spacing w:after="40" w:line="259" w:lineRule="auto"/>
      </w:pPr>
      <w:r>
        <w:rPr>
          <w:rFonts w:ascii="Aptos" w:hAnsi="Aptos"/>
        </w:rPr>
        <w:t>Does not auto-enrol or apply without citizen action</w:t>
      </w:r>
    </w:p>
    <w:p>
      <w:pPr>
        <w:pStyle w:val="ListBullet"/>
        <w:spacing w:after="40" w:line="259" w:lineRule="auto"/>
      </w:pPr>
      <w:r>
        <w:rPr>
          <w:rFonts w:ascii="Aptos" w:hAnsi="Aptos"/>
        </w:rPr>
        <w:t>Does not infer sensitive attributes beyond allowed purpose</w:t>
      </w:r>
    </w:p>
    <w:p>
      <w:pPr>
        <w:pStyle w:val="Heading3"/>
      </w:pPr>
      <w:r>
        <w:t>Authoritative data / state</w:t>
      </w:r>
    </w:p>
    <w:p>
      <w:pPr>
        <w:pStyle w:val="ListBullet"/>
        <w:spacing w:after="40" w:line="259" w:lineRule="auto"/>
      </w:pPr>
      <w:r>
        <w:rPr>
          <w:rFonts w:ascii="Aptos" w:hAnsi="Aptos"/>
        </w:rPr>
        <w:t>recommendation</w:t>
      </w:r>
    </w:p>
    <w:p>
      <w:pPr>
        <w:pStyle w:val="ListBullet"/>
        <w:spacing w:after="40" w:line="259" w:lineRule="auto"/>
      </w:pPr>
      <w:r>
        <w:rPr>
          <w:rFonts w:ascii="Aptos" w:hAnsi="Aptos"/>
        </w:rPr>
        <w:t>recommendation_reason</w:t>
      </w:r>
    </w:p>
    <w:p>
      <w:pPr>
        <w:pStyle w:val="ListBullet"/>
        <w:spacing w:after="40" w:line="259" w:lineRule="auto"/>
      </w:pPr>
      <w:r>
        <w:rPr>
          <w:rFonts w:ascii="Aptos" w:hAnsi="Aptos"/>
        </w:rPr>
        <w:t>recommendation_feedback</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/citizen/recommendations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/recommendations/refresh</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/recommendations/{id}/feedback</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RecommendationGenerated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RecommendationExpired</w:t>
            </w:r>
          </w:p>
        </w:tc>
      </w:tr>
    </w:tbl>
    <w:p>
      <w:pPr>
        <w:spacing w:after="40"/>
      </w:pPr>
    </w:p>
    <w:p>
      <w:pPr>
        <w:pStyle w:val="Heading3"/>
      </w:pPr>
      <w:r>
        <w:t>Dependencies and integration</w:t>
      </w:r>
    </w:p>
    <w:p>
      <w:pPr>
        <w:pStyle w:val="ListBullet"/>
        <w:spacing w:after="40" w:line="259" w:lineRule="auto"/>
      </w:pPr>
      <w:r>
        <w:rPr>
          <w:rFonts w:ascii="Aptos" w:hAnsi="Aptos"/>
        </w:rPr>
        <w:t>CMP-005 Profile</w:t>
      </w:r>
    </w:p>
    <w:p>
      <w:pPr>
        <w:pStyle w:val="ListBullet"/>
        <w:spacing w:after="40" w:line="259" w:lineRule="auto"/>
      </w:pPr>
      <w:r>
        <w:rPr>
          <w:rFonts w:ascii="Aptos" w:hAnsi="Aptos"/>
        </w:rPr>
        <w:t>CMP-001 Catalogue</w:t>
      </w:r>
    </w:p>
    <w:p>
      <w:pPr>
        <w:pStyle w:val="ListBullet"/>
        <w:spacing w:after="40" w:line="259" w:lineRule="auto"/>
      </w:pPr>
      <w:r>
        <w:rPr>
          <w:rFonts w:ascii="Aptos" w:hAnsi="Aptos"/>
        </w:rPr>
        <w:t>CMP-030 Consent</w:t>
      </w:r>
    </w:p>
    <w:p>
      <w:pPr>
        <w:pStyle w:val="ListBullet"/>
        <w:spacing w:after="40" w:line="259" w:lineRule="auto"/>
      </w:pPr>
      <w:r>
        <w:rPr>
          <w:rFonts w:ascii="Aptos" w:hAnsi="Aptos"/>
        </w:rPr>
        <w:t>CMP-039 AI Gateway optional</w:t>
      </w:r>
    </w:p>
    <w:p>
      <w:pPr>
        <w:pStyle w:val="Heading3"/>
      </w:pPr>
      <w:r>
        <w:t>Failure behavior and safeguards</w:t>
      </w:r>
    </w:p>
    <w:p>
      <w:pPr>
        <w:pStyle w:val="ListBullet"/>
        <w:spacing w:after="40" w:line="259" w:lineRule="auto"/>
      </w:pPr>
      <w:r>
        <w:rPr>
          <w:rFonts w:ascii="Aptos" w:hAnsi="Aptos"/>
        </w:rPr>
        <w:t>Insufficient consent</w:t>
      </w:r>
    </w:p>
    <w:p>
      <w:pPr>
        <w:pStyle w:val="ListBullet"/>
        <w:spacing w:after="40" w:line="259" w:lineRule="auto"/>
      </w:pPr>
      <w:r>
        <w:rPr>
          <w:rFonts w:ascii="Aptos" w:hAnsi="Aptos"/>
        </w:rPr>
        <w:t>Profile stale</w:t>
      </w:r>
    </w:p>
    <w:p>
      <w:pPr>
        <w:pStyle w:val="ListBullet"/>
        <w:spacing w:after="40" w:line="259" w:lineRule="auto"/>
      </w:pPr>
      <w:r>
        <w:rPr>
          <w:rFonts w:ascii="Aptos" w:hAnsi="Aptos"/>
        </w:rPr>
        <w:t>Model unavailable -&gt; deterministic fallback</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CMP-008  Eligibility / Rules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Decision Engine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Execute deterministic, versioned eligibility, evidence, fee and routing rules using GoRules ZEN or equivalent portable rule definitions.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Rules are tenant/service versioned. Published versions immutable and pinned to application.</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Normal in-process/local evaluation p95 target &lt;50 ms; 25K eval/sec certification target.</w:t>
            </w:r>
          </w:p>
        </w:tc>
      </w:tr>
    </w:tbl>
    <w:p>
      <w:pPr>
        <w:spacing w:after="40"/>
      </w:pPr>
    </w:p>
    <w:p>
      <w:pPr>
        <w:pStyle w:val="Heading3"/>
      </w:pPr>
      <w:r>
        <w:t>Responsibilities</w:t>
      </w:r>
    </w:p>
    <w:p>
      <w:pPr>
        <w:pStyle w:val="ListBullet"/>
        <w:spacing w:after="40" w:line="259" w:lineRule="auto"/>
      </w:pPr>
      <w:r>
        <w:rPr>
          <w:rFonts w:ascii="Aptos" w:hAnsi="Aptos"/>
        </w:rPr>
        <w:t>Eligibility evaluation</w:t>
      </w:r>
    </w:p>
    <w:p>
      <w:pPr>
        <w:pStyle w:val="ListBullet"/>
        <w:spacing w:after="40" w:line="259" w:lineRule="auto"/>
      </w:pPr>
      <w:r>
        <w:rPr>
          <w:rFonts w:ascii="Aptos" w:hAnsi="Aptos"/>
        </w:rPr>
        <w:t>Evidence rules</w:t>
      </w:r>
    </w:p>
    <w:p>
      <w:pPr>
        <w:pStyle w:val="ListBullet"/>
        <w:spacing w:after="40" w:line="259" w:lineRule="auto"/>
      </w:pPr>
      <w:r>
        <w:rPr>
          <w:rFonts w:ascii="Aptos" w:hAnsi="Aptos"/>
        </w:rPr>
        <w:t>Fee/routing rules</w:t>
      </w:r>
    </w:p>
    <w:p>
      <w:pPr>
        <w:pStyle w:val="ListBullet"/>
        <w:spacing w:after="40" w:line="259" w:lineRule="auto"/>
      </w:pPr>
      <w:r>
        <w:rPr>
          <w:rFonts w:ascii="Aptos" w:hAnsi="Aptos"/>
        </w:rPr>
        <w:t>Reason-code generation</w:t>
      </w:r>
    </w:p>
    <w:p>
      <w:pPr>
        <w:pStyle w:val="ListBullet"/>
        <w:spacing w:after="40" w:line="259" w:lineRule="auto"/>
      </w:pPr>
      <w:r>
        <w:rPr>
          <w:rFonts w:ascii="Aptos" w:hAnsi="Aptos"/>
        </w:rPr>
        <w:t>Rule simulation and version pinning</w:t>
      </w:r>
    </w:p>
    <w:p>
      <w:pPr>
        <w:pStyle w:val="Heading3"/>
      </w:pPr>
      <w:r>
        <w:t>Explicit non-responsibilities</w:t>
      </w:r>
    </w:p>
    <w:p>
      <w:pPr>
        <w:pStyle w:val="ListBullet"/>
        <w:spacing w:after="40" w:line="259" w:lineRule="auto"/>
      </w:pPr>
      <w:r>
        <w:rPr>
          <w:rFonts w:ascii="Aptos" w:hAnsi="Aptos"/>
        </w:rPr>
        <w:t>Does not authorize officers</w:t>
      </w:r>
    </w:p>
    <w:p>
      <w:pPr>
        <w:pStyle w:val="ListBullet"/>
        <w:spacing w:after="40" w:line="259" w:lineRule="auto"/>
      </w:pPr>
      <w:r>
        <w:rPr>
          <w:rFonts w:ascii="Aptos" w:hAnsi="Aptos"/>
        </w:rPr>
        <w:t>Does not perform workflow orchestration</w:t>
      </w:r>
    </w:p>
    <w:p>
      <w:pPr>
        <w:pStyle w:val="ListBullet"/>
        <w:spacing w:after="40" w:line="259" w:lineRule="auto"/>
      </w:pPr>
      <w:r>
        <w:rPr>
          <w:rFonts w:ascii="Aptos" w:hAnsi="Aptos"/>
        </w:rPr>
        <w:t>AI cannot silently replace deterministic statutory rules</w:t>
      </w:r>
    </w:p>
    <w:p>
      <w:pPr>
        <w:pStyle w:val="Heading3"/>
      </w:pPr>
      <w:r>
        <w:t>Authoritative data / state</w:t>
      </w:r>
    </w:p>
    <w:p>
      <w:pPr>
        <w:pStyle w:val="ListBullet"/>
        <w:spacing w:after="40" w:line="259" w:lineRule="auto"/>
      </w:pPr>
      <w:r>
        <w:rPr>
          <w:rFonts w:ascii="Aptos" w:hAnsi="Aptos"/>
        </w:rPr>
        <w:t>rule_set</w:t>
      </w:r>
    </w:p>
    <w:p>
      <w:pPr>
        <w:pStyle w:val="ListBullet"/>
        <w:spacing w:after="40" w:line="259" w:lineRule="auto"/>
      </w:pPr>
      <w:r>
        <w:rPr>
          <w:rFonts w:ascii="Aptos" w:hAnsi="Aptos"/>
        </w:rPr>
        <w:t>rule_version</w:t>
      </w:r>
    </w:p>
    <w:p>
      <w:pPr>
        <w:pStyle w:val="ListBullet"/>
        <w:spacing w:after="40" w:line="259" w:lineRule="auto"/>
      </w:pPr>
      <w:r>
        <w:rPr>
          <w:rFonts w:ascii="Aptos" w:hAnsi="Aptos"/>
        </w:rPr>
        <w:t>rule_test_case</w:t>
      </w:r>
    </w:p>
    <w:p>
      <w:pPr>
        <w:pStyle w:val="ListBullet"/>
        <w:spacing w:after="40" w:line="259" w:lineRule="auto"/>
      </w:pPr>
      <w:r>
        <w:rPr>
          <w:rFonts w:ascii="Aptos" w:hAnsi="Aptos"/>
        </w:rPr>
        <w:t>rule_reason_code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/rules/evaluate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/rules/simulate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/rulesets/{id}/versions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RuleEvaluationCompleted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RuleSetPublished</w:t>
            </w:r>
          </w:p>
        </w:tc>
      </w:tr>
    </w:tbl>
    <w:p>
      <w:pPr>
        <w:spacing w:after="40"/>
      </w:pPr>
    </w:p>
    <w:p>
      <w:pPr>
        <w:pStyle w:val="Heading3"/>
      </w:pPr>
      <w:r>
        <w:t>Dependencies and integration</w:t>
      </w:r>
    </w:p>
    <w:p>
      <w:pPr>
        <w:pStyle w:val="ListBullet"/>
        <w:spacing w:after="40" w:line="259" w:lineRule="auto"/>
      </w:pPr>
      <w:r>
        <w:rPr>
          <w:rFonts w:ascii="Aptos" w:hAnsi="Aptos"/>
        </w:rPr>
        <w:t>CMP-033 Metadata</w:t>
      </w:r>
    </w:p>
    <w:p>
      <w:pPr>
        <w:pStyle w:val="ListBullet"/>
        <w:spacing w:after="40" w:line="259" w:lineRule="auto"/>
      </w:pPr>
      <w:r>
        <w:rPr>
          <w:rFonts w:ascii="Aptos" w:hAnsi="Aptos"/>
        </w:rPr>
        <w:t>CMP-051 Publishing</w:t>
      </w:r>
    </w:p>
    <w:p>
      <w:pPr>
        <w:pStyle w:val="ListBullet"/>
        <w:spacing w:after="40" w:line="259" w:lineRule="auto"/>
      </w:pPr>
      <w:r>
        <w:rPr>
          <w:rFonts w:ascii="Aptos" w:hAnsi="Aptos"/>
        </w:rPr>
        <w:t>CMP-009 Forms</w:t>
      </w:r>
    </w:p>
    <w:p>
      <w:pPr>
        <w:pStyle w:val="ListBullet"/>
        <w:spacing w:after="40" w:line="259" w:lineRule="auto"/>
      </w:pPr>
      <w:r>
        <w:rPr>
          <w:rFonts w:ascii="Aptos" w:hAnsi="Aptos"/>
        </w:rPr>
        <w:t>CMP-016 Workflow</w:t>
      </w:r>
    </w:p>
    <w:p>
      <w:pPr>
        <w:pStyle w:val="Heading3"/>
      </w:pPr>
      <w:r>
        <w:t>Failure behavior and safeguards</w:t>
      </w:r>
    </w:p>
    <w:p>
      <w:pPr>
        <w:pStyle w:val="ListBullet"/>
        <w:spacing w:after="40" w:line="259" w:lineRule="auto"/>
      </w:pPr>
      <w:r>
        <w:rPr>
          <w:rFonts w:ascii="Aptos" w:hAnsi="Aptos"/>
        </w:rPr>
        <w:t>Missing input fact</w:t>
      </w:r>
    </w:p>
    <w:p>
      <w:pPr>
        <w:pStyle w:val="ListBullet"/>
        <w:spacing w:after="40" w:line="259" w:lineRule="auto"/>
      </w:pPr>
      <w:r>
        <w:rPr>
          <w:rFonts w:ascii="Aptos" w:hAnsi="Aptos"/>
        </w:rPr>
        <w:t>Rule compilation error</w:t>
      </w:r>
    </w:p>
    <w:p>
      <w:pPr>
        <w:pStyle w:val="ListBullet"/>
        <w:spacing w:after="40" w:line="259" w:lineRule="auto"/>
      </w:pPr>
      <w:r>
        <w:rPr>
          <w:rFonts w:ascii="Aptos" w:hAnsi="Aptos"/>
        </w:rPr>
        <w:t>Conflicting rule output</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CMP-009  Dynamic Forms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Runtime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Render and validate metadata-driven forms consistently across web/mobile/official views from canonical schemas.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Form definition is tenant/service-version scoped; rendering must not bypass tenant service binding.</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Interactive field actions should feel local; avoid network round-trip for simple conditions.</w:t>
            </w:r>
          </w:p>
        </w:tc>
      </w:tr>
    </w:tbl>
    <w:p>
      <w:pPr>
        <w:spacing w:after="40"/>
      </w:pPr>
    </w:p>
    <w:p>
      <w:pPr>
        <w:pStyle w:val="Heading3"/>
      </w:pPr>
      <w:r>
        <w:t>Responsibilities</w:t>
      </w:r>
    </w:p>
    <w:p>
      <w:pPr>
        <w:pStyle w:val="ListBullet"/>
        <w:spacing w:after="40" w:line="259" w:lineRule="auto"/>
      </w:pPr>
      <w:r>
        <w:rPr>
          <w:rFonts w:ascii="Aptos" w:hAnsi="Aptos"/>
        </w:rPr>
        <w:t>JSON Schema validation</w:t>
      </w:r>
    </w:p>
    <w:p>
      <w:pPr>
        <w:pStyle w:val="ListBullet"/>
        <w:spacing w:after="40" w:line="259" w:lineRule="auto"/>
      </w:pPr>
      <w:r>
        <w:rPr>
          <w:rFonts w:ascii="Aptos" w:hAnsi="Aptos"/>
        </w:rPr>
        <w:t>UI schema interpretation</w:t>
      </w:r>
    </w:p>
    <w:p>
      <w:pPr>
        <w:pStyle w:val="ListBullet"/>
        <w:spacing w:after="40" w:line="259" w:lineRule="auto"/>
      </w:pPr>
      <w:r>
        <w:rPr>
          <w:rFonts w:ascii="Aptos" w:hAnsi="Aptos"/>
        </w:rPr>
        <w:t>Conditional visibility</w:t>
      </w:r>
    </w:p>
    <w:p>
      <w:pPr>
        <w:pStyle w:val="ListBullet"/>
        <w:spacing w:after="40" w:line="259" w:lineRule="auto"/>
      </w:pPr>
      <w:r>
        <w:rPr>
          <w:rFonts w:ascii="Aptos" w:hAnsi="Aptos"/>
        </w:rPr>
        <w:t>Repeaters/calculated fields</w:t>
      </w:r>
    </w:p>
    <w:p>
      <w:pPr>
        <w:pStyle w:val="ListBullet"/>
        <w:spacing w:after="40" w:line="259" w:lineRule="auto"/>
      </w:pPr>
      <w:r>
        <w:rPr>
          <w:rFonts w:ascii="Aptos" w:hAnsi="Aptos"/>
        </w:rPr>
        <w:t>Draft serialization</w:t>
      </w:r>
    </w:p>
    <w:p>
      <w:pPr>
        <w:pStyle w:val="ListBullet"/>
        <w:spacing w:after="40" w:line="259" w:lineRule="auto"/>
      </w:pPr>
      <w:r>
        <w:rPr>
          <w:rFonts w:ascii="Aptos" w:hAnsi="Aptos"/>
        </w:rPr>
        <w:t>Government custom widgets</w:t>
      </w:r>
    </w:p>
    <w:p>
      <w:pPr>
        <w:pStyle w:val="Heading3"/>
      </w:pPr>
      <w:r>
        <w:t>Explicit non-responsibilities</w:t>
      </w:r>
    </w:p>
    <w:p>
      <w:pPr>
        <w:pStyle w:val="ListBullet"/>
        <w:spacing w:after="40" w:line="259" w:lineRule="auto"/>
      </w:pPr>
      <w:r>
        <w:rPr>
          <w:rFonts w:ascii="Aptos" w:hAnsi="Aptos"/>
        </w:rPr>
        <w:t>Does not embed tenant JavaScript</w:t>
      </w:r>
    </w:p>
    <w:p>
      <w:pPr>
        <w:pStyle w:val="ListBullet"/>
        <w:spacing w:after="40" w:line="259" w:lineRule="auto"/>
      </w:pPr>
      <w:r>
        <w:rPr>
          <w:rFonts w:ascii="Aptos" w:hAnsi="Aptos"/>
        </w:rPr>
        <w:t>Does not own service workflow</w:t>
      </w:r>
    </w:p>
    <w:p>
      <w:pPr>
        <w:pStyle w:val="ListBullet"/>
        <w:spacing w:after="40" w:line="259" w:lineRule="auto"/>
      </w:pPr>
      <w:r>
        <w:rPr>
          <w:rFonts w:ascii="Aptos" w:hAnsi="Aptos"/>
        </w:rPr>
        <w:t>Does not directly decide evidence policy</w:t>
      </w:r>
    </w:p>
    <w:p>
      <w:pPr>
        <w:pStyle w:val="Heading3"/>
      </w:pPr>
      <w:r>
        <w:t>Authoritative data / state</w:t>
      </w:r>
    </w:p>
    <w:p>
      <w:pPr>
        <w:pStyle w:val="ListBullet"/>
        <w:spacing w:after="40" w:line="259" w:lineRule="auto"/>
      </w:pPr>
      <w:r>
        <w:rPr>
          <w:rFonts w:ascii="Aptos" w:hAnsi="Aptos"/>
        </w:rPr>
        <w:t>form_definition</w:t>
      </w:r>
    </w:p>
    <w:p>
      <w:pPr>
        <w:pStyle w:val="ListBullet"/>
        <w:spacing w:after="40" w:line="259" w:lineRule="auto"/>
      </w:pPr>
      <w:r>
        <w:rPr>
          <w:rFonts w:ascii="Aptos" w:hAnsi="Aptos"/>
        </w:rPr>
        <w:t>form_version</w:t>
      </w:r>
    </w:p>
    <w:p>
      <w:pPr>
        <w:pStyle w:val="ListBullet"/>
        <w:spacing w:after="40" w:line="259" w:lineRule="auto"/>
      </w:pPr>
      <w:r>
        <w:rPr>
          <w:rFonts w:ascii="Aptos" w:hAnsi="Aptos"/>
        </w:rPr>
        <w:t>ui_schema</w:t>
      </w:r>
    </w:p>
    <w:p>
      <w:pPr>
        <w:pStyle w:val="ListBullet"/>
        <w:spacing w:after="40" w:line="259" w:lineRule="auto"/>
      </w:pPr>
      <w:r>
        <w:rPr>
          <w:rFonts w:ascii="Aptos" w:hAnsi="Aptos"/>
        </w:rPr>
        <w:t>form_component_definition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/forms/{versionId}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/forms/{versionId}/validate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/forms/{versionId}/calculate</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FormValidated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FormDraftSaved</w:t>
            </w:r>
          </w:p>
        </w:tc>
      </w:tr>
    </w:tbl>
    <w:p>
      <w:pPr>
        <w:spacing w:after="40"/>
      </w:pPr>
    </w:p>
    <w:p>
      <w:pPr>
        <w:pStyle w:val="Heading3"/>
      </w:pPr>
      <w:r>
        <w:t>Dependencies and integration</w:t>
      </w:r>
    </w:p>
    <w:p>
      <w:pPr>
        <w:pStyle w:val="ListBullet"/>
        <w:spacing w:after="40" w:line="259" w:lineRule="auto"/>
      </w:pPr>
      <w:r>
        <w:rPr>
          <w:rFonts w:ascii="Aptos" w:hAnsi="Aptos"/>
        </w:rPr>
        <w:t>CMP-050 Studio</w:t>
      </w:r>
    </w:p>
    <w:p>
      <w:pPr>
        <w:pStyle w:val="ListBullet"/>
        <w:spacing w:after="40" w:line="259" w:lineRule="auto"/>
      </w:pPr>
      <w:r>
        <w:rPr>
          <w:rFonts w:ascii="Aptos" w:hAnsi="Aptos"/>
        </w:rPr>
        <w:t>CMP-008 Rules</w:t>
      </w:r>
    </w:p>
    <w:p>
      <w:pPr>
        <w:pStyle w:val="ListBullet"/>
        <w:spacing w:after="40" w:line="259" w:lineRule="auto"/>
      </w:pPr>
      <w:r>
        <w:rPr>
          <w:rFonts w:ascii="Aptos" w:hAnsi="Aptos"/>
        </w:rPr>
        <w:t>CMP-011 Evidence</w:t>
      </w:r>
    </w:p>
    <w:p>
      <w:pPr>
        <w:pStyle w:val="ListBullet"/>
        <w:spacing w:after="40" w:line="259" w:lineRule="auto"/>
      </w:pPr>
      <w:r>
        <w:rPr>
          <w:rFonts w:ascii="Aptos" w:hAnsi="Aptos"/>
        </w:rPr>
        <w:t>CMP-053 Localization</w:t>
      </w:r>
    </w:p>
    <w:p>
      <w:pPr>
        <w:pStyle w:val="ListBullet"/>
        <w:spacing w:after="40" w:line="259" w:lineRule="auto"/>
      </w:pPr>
      <w:r>
        <w:rPr>
          <w:rFonts w:ascii="Aptos" w:hAnsi="Aptos"/>
        </w:rPr>
        <w:t>CMP-054 Design System</w:t>
      </w:r>
    </w:p>
    <w:p>
      <w:pPr>
        <w:pStyle w:val="Heading3"/>
      </w:pPr>
      <w:r>
        <w:t>Failure behavior and safeguards</w:t>
      </w:r>
    </w:p>
    <w:p>
      <w:pPr>
        <w:pStyle w:val="ListBullet"/>
        <w:spacing w:after="40" w:line="259" w:lineRule="auto"/>
      </w:pPr>
      <w:r>
        <w:rPr>
          <w:rFonts w:ascii="Aptos" w:hAnsi="Aptos"/>
        </w:rPr>
        <w:t>Schema mismatch</w:t>
      </w:r>
    </w:p>
    <w:p>
      <w:pPr>
        <w:pStyle w:val="ListBullet"/>
        <w:spacing w:after="40" w:line="259" w:lineRule="auto"/>
      </w:pPr>
      <w:r>
        <w:rPr>
          <w:rFonts w:ascii="Aptos" w:hAnsi="Aptos"/>
        </w:rPr>
        <w:t>Unsupported renderer</w:t>
      </w:r>
    </w:p>
    <w:p>
      <w:pPr>
        <w:pStyle w:val="ListBullet"/>
        <w:spacing w:after="40" w:line="259" w:lineRule="auto"/>
      </w:pPr>
      <w:r>
        <w:rPr>
          <w:rFonts w:ascii="Aptos" w:hAnsi="Aptos"/>
        </w:rPr>
        <w:t>Conditional cycle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CMP-010  AI Form Assistant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 Capability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Assist citizens and service designers with field explanations, extraction, prefill suggestions and form completion without becoming the authoritative validator.</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Prompt context is purpose-limited and tenant/citizen scoped; sensitive fields minimized.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Streaming response allowed; deterministic form path continues if AI unavailable.</w:t>
            </w:r>
          </w:p>
        </w:tc>
      </w:tr>
    </w:tbl>
    <w:p>
      <w:pPr>
        <w:spacing w:after="40"/>
      </w:pPr>
    </w:p>
    <w:p>
      <w:pPr>
        <w:pStyle w:val="Heading3"/>
      </w:pPr>
      <w:r>
        <w:t>Responsibilities</w:t>
      </w:r>
    </w:p>
    <w:p>
      <w:pPr>
        <w:pStyle w:val="ListBullet"/>
        <w:spacing w:after="40" w:line="259" w:lineRule="auto"/>
      </w:pPr>
      <w:r>
        <w:rPr>
          <w:rFonts w:ascii="Aptos" w:hAnsi="Aptos"/>
        </w:rPr>
        <w:t>Explain questions</w:t>
      </w:r>
    </w:p>
    <w:p>
      <w:pPr>
        <w:pStyle w:val="ListBullet"/>
        <w:spacing w:after="40" w:line="259" w:lineRule="auto"/>
      </w:pPr>
      <w:r>
        <w:rPr>
          <w:rFonts w:ascii="Aptos" w:hAnsi="Aptos"/>
        </w:rPr>
        <w:t>Suggest field values from allowed sources</w:t>
      </w:r>
    </w:p>
    <w:p>
      <w:pPr>
        <w:pStyle w:val="ListBullet"/>
        <w:spacing w:after="40" w:line="259" w:lineRule="auto"/>
      </w:pPr>
      <w:r>
        <w:rPr>
          <w:rFonts w:ascii="Aptos" w:hAnsi="Aptos"/>
        </w:rPr>
        <w:t>Extract structured data from evidence</w:t>
      </w:r>
    </w:p>
    <w:p>
      <w:pPr>
        <w:pStyle w:val="ListBullet"/>
        <w:spacing w:after="40" w:line="259" w:lineRule="auto"/>
      </w:pPr>
      <w:r>
        <w:rPr>
          <w:rFonts w:ascii="Aptos" w:hAnsi="Aptos"/>
        </w:rPr>
        <w:t>Conversational form navigation</w:t>
      </w:r>
    </w:p>
    <w:p>
      <w:pPr>
        <w:pStyle w:val="ListBullet"/>
        <w:spacing w:after="40" w:line="259" w:lineRule="auto"/>
      </w:pPr>
      <w:r>
        <w:rPr>
          <w:rFonts w:ascii="Aptos" w:hAnsi="Aptos"/>
        </w:rPr>
        <w:t>Generate draft field mappings for designers</w:t>
      </w:r>
    </w:p>
    <w:p>
      <w:pPr>
        <w:pStyle w:val="Heading3"/>
      </w:pPr>
      <w:r>
        <w:t>Explicit non-responsibilities</w:t>
      </w:r>
    </w:p>
    <w:p>
      <w:pPr>
        <w:pStyle w:val="ListBullet"/>
        <w:spacing w:after="40" w:line="259" w:lineRule="auto"/>
      </w:pPr>
      <w:r>
        <w:rPr>
          <w:rFonts w:ascii="Aptos" w:hAnsi="Aptos"/>
        </w:rPr>
        <w:t>Does not submit without explicit citizen action</w:t>
      </w:r>
    </w:p>
    <w:p>
      <w:pPr>
        <w:pStyle w:val="ListBullet"/>
        <w:spacing w:after="40" w:line="259" w:lineRule="auto"/>
      </w:pPr>
      <w:r>
        <w:rPr>
          <w:rFonts w:ascii="Aptos" w:hAnsi="Aptos"/>
        </w:rPr>
        <w:t>Does not override deterministic validation</w:t>
      </w:r>
    </w:p>
    <w:p>
      <w:pPr>
        <w:pStyle w:val="ListBullet"/>
        <w:spacing w:after="40" w:line="259" w:lineRule="auto"/>
      </w:pPr>
      <w:r>
        <w:rPr>
          <w:rFonts w:ascii="Aptos" w:hAnsi="Aptos"/>
        </w:rPr>
        <w:t>Does not expose other-tenant data in prompts</w:t>
      </w:r>
    </w:p>
    <w:p>
      <w:pPr>
        <w:pStyle w:val="Heading3"/>
      </w:pPr>
      <w:r>
        <w:t>Authoritative data / state</w:t>
      </w:r>
    </w:p>
    <w:p>
      <w:pPr>
        <w:pStyle w:val="ListBullet"/>
        <w:spacing w:after="40" w:line="259" w:lineRule="auto"/>
      </w:pPr>
      <w:r>
        <w:rPr>
          <w:rFonts w:ascii="Aptos" w:hAnsi="Aptos"/>
        </w:rPr>
        <w:t>Prompt/audit metadata only; no authoritative form state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/ai/forms/assist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/ai/forms/extract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/ai/forms/explain</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AIFormSuggestionGenerated</w:t>
            </w:r>
          </w:p>
        </w:tc>
      </w:tr>
    </w:tbl>
    <w:p>
      <w:pPr>
        <w:spacing w:after="40"/>
      </w:pPr>
    </w:p>
    <w:p>
      <w:pPr>
        <w:pStyle w:val="Heading3"/>
      </w:pPr>
      <w:r>
        <w:t>Dependencies and integration</w:t>
      </w:r>
    </w:p>
    <w:p>
      <w:pPr>
        <w:pStyle w:val="ListBullet"/>
        <w:spacing w:after="40" w:line="259" w:lineRule="auto"/>
      </w:pPr>
      <w:r>
        <w:rPr>
          <w:rFonts w:ascii="Aptos" w:hAnsi="Aptos"/>
        </w:rPr>
        <w:t>CMP-039 AI Gateway</w:t>
      </w:r>
    </w:p>
    <w:p>
      <w:pPr>
        <w:pStyle w:val="ListBullet"/>
        <w:spacing w:after="40" w:line="259" w:lineRule="auto"/>
      </w:pPr>
      <w:r>
        <w:rPr>
          <w:rFonts w:ascii="Aptos" w:hAnsi="Aptos"/>
        </w:rPr>
        <w:t>CMP-009 Forms</w:t>
      </w:r>
    </w:p>
    <w:p>
      <w:pPr>
        <w:pStyle w:val="ListBullet"/>
        <w:spacing w:after="40" w:line="259" w:lineRule="auto"/>
      </w:pPr>
      <w:r>
        <w:rPr>
          <w:rFonts w:ascii="Aptos" w:hAnsi="Aptos"/>
        </w:rPr>
        <w:t>CMP-030 Consent</w:t>
      </w:r>
    </w:p>
    <w:p>
      <w:pPr>
        <w:pStyle w:val="ListBullet"/>
        <w:spacing w:after="40" w:line="259" w:lineRule="auto"/>
      </w:pPr>
      <w:r>
        <w:rPr>
          <w:rFonts w:ascii="Aptos" w:hAnsi="Aptos"/>
        </w:rPr>
        <w:t>CMP-014 OCR</w:t>
      </w:r>
    </w:p>
    <w:p>
      <w:pPr>
        <w:pStyle w:val="Heading3"/>
      </w:pPr>
      <w:r>
        <w:t>Failure behavior and safeguards</w:t>
      </w:r>
    </w:p>
    <w:p>
      <w:pPr>
        <w:pStyle w:val="ListBullet"/>
        <w:spacing w:after="40" w:line="259" w:lineRule="auto"/>
      </w:pPr>
      <w:r>
        <w:rPr>
          <w:rFonts w:ascii="Aptos" w:hAnsi="Aptos"/>
        </w:rPr>
        <w:t>Model timeout</w:t>
      </w:r>
    </w:p>
    <w:p>
      <w:pPr>
        <w:pStyle w:val="ListBullet"/>
        <w:spacing w:after="40" w:line="259" w:lineRule="auto"/>
      </w:pPr>
      <w:r>
        <w:rPr>
          <w:rFonts w:ascii="Aptos" w:hAnsi="Aptos"/>
        </w:rPr>
        <w:t>Unsafe suggestion</w:t>
      </w:r>
    </w:p>
    <w:p>
      <w:pPr>
        <w:pStyle w:val="ListBullet"/>
        <w:spacing w:after="40" w:line="259" w:lineRule="auto"/>
      </w:pPr>
      <w:r>
        <w:rPr>
          <w:rFonts w:ascii="Aptos" w:hAnsi="Aptos"/>
        </w:rPr>
        <w:t>Prompt injection in uploaded evidence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CMP-011  Evidence &amp; Document Requirement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Engine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Determine evidence required for a service based on rules, claims, profile state and tenant policy.</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Evidence rules are tenant service binding versions and immutable once pinned.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Resolution must be deterministic and explainable.</w:t>
            </w:r>
          </w:p>
        </w:tc>
      </w:tr>
    </w:tbl>
    <w:p>
      <w:pPr>
        <w:spacing w:after="40"/>
      </w:pPr>
    </w:p>
    <w:p>
      <w:pPr>
        <w:pStyle w:val="Heading3"/>
      </w:pPr>
      <w:r>
        <w:t>Responsibilities</w:t>
      </w:r>
    </w:p>
    <w:p>
      <w:pPr>
        <w:pStyle w:val="ListBullet"/>
        <w:spacing w:after="40" w:line="259" w:lineRule="auto"/>
      </w:pPr>
      <w:r>
        <w:rPr>
          <w:rFonts w:ascii="Aptos" w:hAnsi="Aptos"/>
        </w:rPr>
        <w:t>Evidence requirement resolution</w:t>
      </w:r>
    </w:p>
    <w:p>
      <w:pPr>
        <w:pStyle w:val="ListBullet"/>
        <w:spacing w:after="40" w:line="259" w:lineRule="auto"/>
      </w:pPr>
      <w:r>
        <w:rPr>
          <w:rFonts w:ascii="Aptos" w:hAnsi="Aptos"/>
        </w:rPr>
        <w:t>Alternative evidence sets</w:t>
      </w:r>
    </w:p>
    <w:p>
      <w:pPr>
        <w:pStyle w:val="ListBullet"/>
        <w:spacing w:after="40" w:line="259" w:lineRule="auto"/>
      </w:pPr>
      <w:r>
        <w:rPr>
          <w:rFonts w:ascii="Aptos" w:hAnsi="Aptos"/>
        </w:rPr>
        <w:t>DigiLocker vs upload options</w:t>
      </w:r>
    </w:p>
    <w:p>
      <w:pPr>
        <w:pStyle w:val="ListBullet"/>
        <w:spacing w:after="40" w:line="259" w:lineRule="auto"/>
      </w:pPr>
      <w:r>
        <w:rPr>
          <w:rFonts w:ascii="Aptos" w:hAnsi="Aptos"/>
        </w:rPr>
        <w:t>Validity/expiry rules</w:t>
      </w:r>
    </w:p>
    <w:p>
      <w:pPr>
        <w:pStyle w:val="ListBullet"/>
        <w:spacing w:after="40" w:line="259" w:lineRule="auto"/>
      </w:pPr>
      <w:r>
        <w:rPr>
          <w:rFonts w:ascii="Aptos" w:hAnsi="Aptos"/>
        </w:rPr>
        <w:t>Evidence completeness status</w:t>
      </w:r>
    </w:p>
    <w:p>
      <w:pPr>
        <w:pStyle w:val="Heading3"/>
      </w:pPr>
      <w:r>
        <w:t>Explicit non-responsibilities</w:t>
      </w:r>
    </w:p>
    <w:p>
      <w:pPr>
        <w:pStyle w:val="ListBullet"/>
        <w:spacing w:after="40" w:line="259" w:lineRule="auto"/>
      </w:pPr>
      <w:r>
        <w:rPr>
          <w:rFonts w:ascii="Aptos" w:hAnsi="Aptos"/>
        </w:rPr>
        <w:t>Does not store binary documents</w:t>
      </w:r>
    </w:p>
    <w:p>
      <w:pPr>
        <w:pStyle w:val="ListBullet"/>
        <w:spacing w:after="40" w:line="259" w:lineRule="auto"/>
      </w:pPr>
      <w:r>
        <w:rPr>
          <w:rFonts w:ascii="Aptos" w:hAnsi="Aptos"/>
        </w:rPr>
        <w:t>Does not perform OCR itself</w:t>
      </w:r>
    </w:p>
    <w:p>
      <w:pPr>
        <w:pStyle w:val="ListBullet"/>
        <w:spacing w:after="40" w:line="259" w:lineRule="auto"/>
      </w:pPr>
      <w:r>
        <w:rPr>
          <w:rFonts w:ascii="Aptos" w:hAnsi="Aptos"/>
        </w:rPr>
        <w:t>Does not make final verification decisions</w:t>
      </w:r>
    </w:p>
    <w:p>
      <w:pPr>
        <w:pStyle w:val="Heading3"/>
      </w:pPr>
      <w:r>
        <w:t>Authoritative data / state</w:t>
      </w:r>
    </w:p>
    <w:p>
      <w:pPr>
        <w:pStyle w:val="ListBullet"/>
        <w:spacing w:after="40" w:line="259" w:lineRule="auto"/>
      </w:pPr>
      <w:r>
        <w:rPr>
          <w:rFonts w:ascii="Aptos" w:hAnsi="Aptos"/>
        </w:rPr>
        <w:t>evidence_policy</w:t>
      </w:r>
    </w:p>
    <w:p>
      <w:pPr>
        <w:pStyle w:val="ListBullet"/>
        <w:spacing w:after="40" w:line="259" w:lineRule="auto"/>
      </w:pPr>
      <w:r>
        <w:rPr>
          <w:rFonts w:ascii="Aptos" w:hAnsi="Aptos"/>
        </w:rPr>
        <w:t>evidence_policy_version</w:t>
      </w:r>
    </w:p>
    <w:p>
      <w:pPr>
        <w:pStyle w:val="ListBullet"/>
        <w:spacing w:after="40" w:line="259" w:lineRule="auto"/>
      </w:pPr>
      <w:r>
        <w:rPr>
          <w:rFonts w:ascii="Aptos" w:hAnsi="Aptos"/>
        </w:rPr>
        <w:t>evidence_requirement</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/evidence/requirements/resolve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/applications/{id}/evidence-status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EvidenceRequirementResolved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EvidenceRequirementChanged</w:t>
            </w:r>
          </w:p>
        </w:tc>
      </w:tr>
    </w:tbl>
    <w:p>
      <w:pPr>
        <w:spacing w:after="40"/>
      </w:pPr>
    </w:p>
    <w:p>
      <w:pPr>
        <w:pStyle w:val="Heading3"/>
      </w:pPr>
      <w:r>
        <w:t>Dependencies and integration</w:t>
      </w:r>
    </w:p>
    <w:p>
      <w:pPr>
        <w:pStyle w:val="ListBullet"/>
        <w:spacing w:after="40" w:line="259" w:lineRule="auto"/>
      </w:pPr>
      <w:r>
        <w:rPr>
          <w:rFonts w:ascii="Aptos" w:hAnsi="Aptos"/>
        </w:rPr>
        <w:t>CMP-008 Rules</w:t>
      </w:r>
    </w:p>
    <w:p>
      <w:pPr>
        <w:pStyle w:val="ListBullet"/>
        <w:spacing w:after="40" w:line="259" w:lineRule="auto"/>
      </w:pPr>
      <w:r>
        <w:rPr>
          <w:rFonts w:ascii="Aptos" w:hAnsi="Aptos"/>
        </w:rPr>
        <w:t>CMP-012 DigiLocker</w:t>
      </w:r>
    </w:p>
    <w:p>
      <w:pPr>
        <w:pStyle w:val="ListBullet"/>
        <w:spacing w:after="40" w:line="259" w:lineRule="auto"/>
      </w:pPr>
      <w:r>
        <w:rPr>
          <w:rFonts w:ascii="Aptos" w:hAnsi="Aptos"/>
        </w:rPr>
        <w:t>CMP-013 Upload</w:t>
      </w:r>
    </w:p>
    <w:p>
      <w:pPr>
        <w:pStyle w:val="ListBullet"/>
        <w:spacing w:after="40" w:line="259" w:lineRule="auto"/>
      </w:pPr>
      <w:r>
        <w:rPr>
          <w:rFonts w:ascii="Aptos" w:hAnsi="Aptos"/>
        </w:rPr>
        <w:t>CMP-018 Verification</w:t>
      </w:r>
    </w:p>
    <w:p>
      <w:pPr>
        <w:pStyle w:val="Heading3"/>
      </w:pPr>
      <w:r>
        <w:t>Failure behavior and safeguards</w:t>
      </w:r>
    </w:p>
    <w:p>
      <w:pPr>
        <w:pStyle w:val="ListBullet"/>
        <w:spacing w:after="40" w:line="259" w:lineRule="auto"/>
      </w:pPr>
      <w:r>
        <w:rPr>
          <w:rFonts w:ascii="Aptos" w:hAnsi="Aptos"/>
        </w:rPr>
        <w:t>Alternative set conflict</w:t>
      </w:r>
    </w:p>
    <w:p>
      <w:pPr>
        <w:pStyle w:val="ListBullet"/>
        <w:spacing w:after="40" w:line="259" w:lineRule="auto"/>
      </w:pPr>
      <w:r>
        <w:rPr>
          <w:rFonts w:ascii="Aptos" w:hAnsi="Aptos"/>
        </w:rPr>
        <w:t>Evidence rule missing</w:t>
      </w:r>
    </w:p>
    <w:p>
      <w:pPr>
        <w:pStyle w:val="ListBullet"/>
        <w:spacing w:after="40" w:line="259" w:lineRule="auto"/>
      </w:pPr>
      <w:r>
        <w:rPr>
          <w:rFonts w:ascii="Aptos" w:hAnsi="Aptos"/>
        </w:rPr>
        <w:t>Policy version unavailable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CMP-012  DigiLocker Connector</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Integration Adapter</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a governed adapter for DigiLocker SSO, document retrieval/verification and credential publication.</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All calls carry tenant/service/citizen purpose context and explicit consent references where required.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Circuit breakers, retries and async publication; provider outage must not corrupt application state.</w:t>
            </w:r>
          </w:p>
        </w:tc>
      </w:tr>
    </w:tbl>
    <w:p>
      <w:pPr>
        <w:spacing w:after="40"/>
      </w:pPr>
    </w:p>
    <w:p>
      <w:pPr>
        <w:pStyle w:val="Heading3"/>
      </w:pPr>
      <w:r>
        <w:t>Responsibilities</w:t>
      </w:r>
    </w:p>
    <w:p>
      <w:pPr>
        <w:pStyle w:val="ListBullet"/>
        <w:spacing w:after="40" w:line="259" w:lineRule="auto"/>
      </w:pPr>
      <w:r>
        <w:rPr>
          <w:rFonts w:ascii="Aptos" w:hAnsi="Aptos"/>
        </w:rPr>
        <w:t>OAuth/OIDC adapter</w:t>
      </w:r>
    </w:p>
    <w:p>
      <w:pPr>
        <w:pStyle w:val="ListBullet"/>
        <w:spacing w:after="40" w:line="259" w:lineRule="auto"/>
      </w:pPr>
      <w:r>
        <w:rPr>
          <w:rFonts w:ascii="Aptos" w:hAnsi="Aptos"/>
        </w:rPr>
        <w:t>Document picker/listing</w:t>
      </w:r>
    </w:p>
    <w:p>
      <w:pPr>
        <w:pStyle w:val="ListBullet"/>
        <w:spacing w:after="40" w:line="259" w:lineRule="auto"/>
      </w:pPr>
      <w:r>
        <w:rPr>
          <w:rFonts w:ascii="Aptos" w:hAnsi="Aptos"/>
        </w:rPr>
        <w:t>Document fetch/metadata verification</w:t>
      </w:r>
    </w:p>
    <w:p>
      <w:pPr>
        <w:pStyle w:val="ListBullet"/>
        <w:spacing w:after="40" w:line="259" w:lineRule="auto"/>
      </w:pPr>
      <w:r>
        <w:rPr>
          <w:rFonts w:ascii="Aptos" w:hAnsi="Aptos"/>
        </w:rPr>
        <w:t>Citizen identity linking</w:t>
      </w:r>
    </w:p>
    <w:p>
      <w:pPr>
        <w:pStyle w:val="ListBullet"/>
        <w:spacing w:after="40" w:line="259" w:lineRule="auto"/>
      </w:pPr>
      <w:r>
        <w:rPr>
          <w:rFonts w:ascii="Aptos" w:hAnsi="Aptos"/>
        </w:rPr>
        <w:t>Issued credential publication</w:t>
      </w:r>
    </w:p>
    <w:p>
      <w:pPr>
        <w:pStyle w:val="Heading3"/>
      </w:pPr>
      <w:r>
        <w:t>Explicit non-responsibilities</w:t>
      </w:r>
    </w:p>
    <w:p>
      <w:pPr>
        <w:pStyle w:val="ListBullet"/>
        <w:spacing w:after="40" w:line="259" w:lineRule="auto"/>
      </w:pPr>
      <w:r>
        <w:rPr>
          <w:rFonts w:ascii="Aptos" w:hAnsi="Aptos"/>
        </w:rPr>
        <w:t>Does not own citizen account</w:t>
      </w:r>
    </w:p>
    <w:p>
      <w:pPr>
        <w:pStyle w:val="ListBullet"/>
        <w:spacing w:after="40" w:line="259" w:lineRule="auto"/>
      </w:pPr>
      <w:r>
        <w:rPr>
          <w:rFonts w:ascii="Aptos" w:hAnsi="Aptos"/>
        </w:rPr>
        <w:t>Does not persist provider secrets in application code</w:t>
      </w:r>
    </w:p>
    <w:p>
      <w:pPr>
        <w:pStyle w:val="ListBullet"/>
        <w:spacing w:after="40" w:line="259" w:lineRule="auto"/>
      </w:pPr>
      <w:r>
        <w:rPr>
          <w:rFonts w:ascii="Aptos" w:hAnsi="Aptos"/>
        </w:rPr>
        <w:t>Does not block core API path when retryable async operations are appropriate</w:t>
      </w:r>
    </w:p>
    <w:p>
      <w:pPr>
        <w:pStyle w:val="Heading3"/>
      </w:pPr>
      <w:r>
        <w:t>Authoritative data / state</w:t>
      </w:r>
    </w:p>
    <w:p>
      <w:pPr>
        <w:pStyle w:val="ListBullet"/>
        <w:spacing w:after="40" w:line="259" w:lineRule="auto"/>
      </w:pPr>
      <w:r>
        <w:rPr>
          <w:rFonts w:ascii="Aptos" w:hAnsi="Aptos"/>
        </w:rPr>
        <w:t>integration_reference</w:t>
      </w:r>
    </w:p>
    <w:p>
      <w:pPr>
        <w:pStyle w:val="ListBullet"/>
        <w:spacing w:after="40" w:line="259" w:lineRule="auto"/>
      </w:pPr>
      <w:r>
        <w:rPr>
          <w:rFonts w:ascii="Aptos" w:hAnsi="Aptos"/>
        </w:rPr>
        <w:t>provider_transaction</w:t>
      </w:r>
    </w:p>
    <w:p>
      <w:pPr>
        <w:pStyle w:val="ListBullet"/>
        <w:spacing w:after="40" w:line="259" w:lineRule="auto"/>
      </w:pPr>
      <w:r>
        <w:rPr>
          <w:rFonts w:ascii="Aptos" w:hAnsi="Aptos"/>
        </w:rPr>
        <w:t>consent_reference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/integrations/digilocker/connect</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/integrations/digilocker/documents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/integrations/digilocker/publish</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DigiLockerLinked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DigiLockerDocumentFetched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CredentialPublishRequested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CredentialPublished</w:t>
            </w:r>
          </w:p>
        </w:tc>
      </w:tr>
    </w:tbl>
    <w:p>
      <w:pPr>
        <w:spacing w:after="40"/>
      </w:pPr>
    </w:p>
    <w:p>
      <w:pPr>
        <w:pStyle w:val="Heading3"/>
      </w:pPr>
      <w:r>
        <w:t>Dependencies and integration</w:t>
      </w:r>
    </w:p>
    <w:p>
      <w:pPr>
        <w:pStyle w:val="ListBullet"/>
        <w:spacing w:after="40" w:line="259" w:lineRule="auto"/>
      </w:pPr>
      <w:r>
        <w:rPr>
          <w:rFonts w:ascii="Aptos" w:hAnsi="Aptos"/>
        </w:rPr>
        <w:t>CMP-004 Identity</w:t>
      </w:r>
    </w:p>
    <w:p>
      <w:pPr>
        <w:pStyle w:val="ListBullet"/>
        <w:spacing w:after="40" w:line="259" w:lineRule="auto"/>
      </w:pPr>
      <w:r>
        <w:rPr>
          <w:rFonts w:ascii="Aptos" w:hAnsi="Aptos"/>
        </w:rPr>
        <w:t>CMP-011 Evidence</w:t>
      </w:r>
    </w:p>
    <w:p>
      <w:pPr>
        <w:pStyle w:val="ListBullet"/>
        <w:spacing w:after="40" w:line="259" w:lineRule="auto"/>
      </w:pPr>
      <w:r>
        <w:rPr>
          <w:rFonts w:ascii="Aptos" w:hAnsi="Aptos"/>
        </w:rPr>
        <w:t>CMP-022 Credential</w:t>
      </w:r>
    </w:p>
    <w:p>
      <w:pPr>
        <w:pStyle w:val="ListBullet"/>
        <w:spacing w:after="40" w:line="259" w:lineRule="auto"/>
      </w:pPr>
      <w:r>
        <w:rPr>
          <w:rFonts w:ascii="Aptos" w:hAnsi="Aptos"/>
        </w:rPr>
        <w:t>CMP-037 Integration Hub</w:t>
      </w:r>
    </w:p>
    <w:p>
      <w:pPr>
        <w:pStyle w:val="Heading3"/>
      </w:pPr>
      <w:r>
        <w:t>Failure behavior and safeguards</w:t>
      </w:r>
    </w:p>
    <w:p>
      <w:pPr>
        <w:pStyle w:val="ListBullet"/>
        <w:spacing w:after="40" w:line="259" w:lineRule="auto"/>
      </w:pPr>
      <w:r>
        <w:rPr>
          <w:rFonts w:ascii="Aptos" w:hAnsi="Aptos"/>
        </w:rPr>
        <w:t>Provider unavailable</w:t>
      </w:r>
    </w:p>
    <w:p>
      <w:pPr>
        <w:pStyle w:val="ListBullet"/>
        <w:spacing w:after="40" w:line="259" w:lineRule="auto"/>
      </w:pPr>
      <w:r>
        <w:rPr>
          <w:rFonts w:ascii="Aptos" w:hAnsi="Aptos"/>
        </w:rPr>
        <w:t>Consent expired</w:t>
      </w:r>
    </w:p>
    <w:p>
      <w:pPr>
        <w:pStyle w:val="ListBullet"/>
        <w:spacing w:after="40" w:line="259" w:lineRule="auto"/>
      </w:pPr>
      <w:r>
        <w:rPr>
          <w:rFonts w:ascii="Aptos" w:hAnsi="Aptos"/>
        </w:rPr>
        <w:t>Token invalid</w:t>
      </w:r>
    </w:p>
    <w:p>
      <w:pPr>
        <w:pStyle w:val="ListBullet"/>
        <w:spacing w:after="40" w:line="259" w:lineRule="auto"/>
      </w:pPr>
      <w:r>
        <w:rPr>
          <w:rFonts w:ascii="Aptos" w:hAnsi="Aptos"/>
        </w:rPr>
        <w:t>Duplicate publish</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CMP-013  Document Upload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Platform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Securely accept citizen/officer uploads directly to object storage using short-lived credentials and quarantine workflow.</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Object ownership includes tenant_id, application_id and classification; access via server-authorized short-lived URLs.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Uploads scale independently from API pods; large files bypass pod data path.</w:t>
            </w:r>
          </w:p>
        </w:tc>
      </w:tr>
    </w:tbl>
    <w:p>
      <w:pPr>
        <w:spacing w:after="40"/>
      </w:pPr>
    </w:p>
    <w:p>
      <w:pPr>
        <w:pStyle w:val="Heading3"/>
      </w:pPr>
      <w:r>
        <w:t>Responsibilities</w:t>
      </w:r>
    </w:p>
    <w:p>
      <w:pPr>
        <w:pStyle w:val="ListBullet"/>
        <w:spacing w:after="40" w:line="259" w:lineRule="auto"/>
      </w:pPr>
      <w:r>
        <w:rPr>
          <w:rFonts w:ascii="Aptos" w:hAnsi="Aptos"/>
        </w:rPr>
        <w:t>Upload session creation</w:t>
      </w:r>
    </w:p>
    <w:p>
      <w:pPr>
        <w:pStyle w:val="ListBullet"/>
        <w:spacing w:after="40" w:line="259" w:lineRule="auto"/>
      </w:pPr>
      <w:r>
        <w:rPr>
          <w:rFonts w:ascii="Aptos" w:hAnsi="Aptos"/>
        </w:rPr>
        <w:t>Size/type policy</w:t>
      </w:r>
    </w:p>
    <w:p>
      <w:pPr>
        <w:pStyle w:val="ListBullet"/>
        <w:spacing w:after="40" w:line="259" w:lineRule="auto"/>
      </w:pPr>
      <w:r>
        <w:rPr>
          <w:rFonts w:ascii="Aptos" w:hAnsi="Aptos"/>
        </w:rPr>
        <w:t>S3 presigned/direct upload</w:t>
      </w:r>
    </w:p>
    <w:p>
      <w:pPr>
        <w:pStyle w:val="ListBullet"/>
        <w:spacing w:after="40" w:line="259" w:lineRule="auto"/>
      </w:pPr>
      <w:r>
        <w:rPr>
          <w:rFonts w:ascii="Aptos" w:hAnsi="Aptos"/>
        </w:rPr>
        <w:t>Checksum validation</w:t>
      </w:r>
    </w:p>
    <w:p>
      <w:pPr>
        <w:pStyle w:val="ListBullet"/>
        <w:spacing w:after="40" w:line="259" w:lineRule="auto"/>
      </w:pPr>
      <w:r>
        <w:rPr>
          <w:rFonts w:ascii="Aptos" w:hAnsi="Aptos"/>
        </w:rPr>
        <w:t>Quarantine/scan state</w:t>
      </w:r>
    </w:p>
    <w:p>
      <w:pPr>
        <w:pStyle w:val="Heading3"/>
      </w:pPr>
      <w:r>
        <w:t>Explicit non-responsibilities</w:t>
      </w:r>
    </w:p>
    <w:p>
      <w:pPr>
        <w:pStyle w:val="ListBullet"/>
        <w:spacing w:after="40" w:line="259" w:lineRule="auto"/>
      </w:pPr>
      <w:r>
        <w:rPr>
          <w:rFonts w:ascii="Aptos" w:hAnsi="Aptos"/>
        </w:rPr>
        <w:t>Does not store file bytes in PostgreSQL</w:t>
      </w:r>
    </w:p>
    <w:p>
      <w:pPr>
        <w:pStyle w:val="ListBullet"/>
        <w:spacing w:after="40" w:line="259" w:lineRule="auto"/>
      </w:pPr>
      <w:r>
        <w:rPr>
          <w:rFonts w:ascii="Aptos" w:hAnsi="Aptos"/>
        </w:rPr>
        <w:t>Does not treat filename as trusted metadata</w:t>
      </w:r>
    </w:p>
    <w:p>
      <w:pPr>
        <w:pStyle w:val="ListBullet"/>
        <w:spacing w:after="40" w:line="259" w:lineRule="auto"/>
      </w:pPr>
      <w:r>
        <w:rPr>
          <w:rFonts w:ascii="Aptos" w:hAnsi="Aptos"/>
        </w:rPr>
        <w:t>Does not declare evidence verified</w:t>
      </w:r>
    </w:p>
    <w:p>
      <w:pPr>
        <w:pStyle w:val="Heading3"/>
      </w:pPr>
      <w:r>
        <w:t>Authoritative data / state</w:t>
      </w:r>
    </w:p>
    <w:p>
      <w:pPr>
        <w:pStyle w:val="ListBullet"/>
        <w:spacing w:after="40" w:line="259" w:lineRule="auto"/>
      </w:pPr>
      <w:r>
        <w:rPr>
          <w:rFonts w:ascii="Aptos" w:hAnsi="Aptos"/>
        </w:rPr>
        <w:t>document_metadata</w:t>
      </w:r>
    </w:p>
    <w:p>
      <w:pPr>
        <w:pStyle w:val="ListBullet"/>
        <w:spacing w:after="40" w:line="259" w:lineRule="auto"/>
      </w:pPr>
      <w:r>
        <w:rPr>
          <w:rFonts w:ascii="Aptos" w:hAnsi="Aptos"/>
        </w:rPr>
        <w:t>upload_session</w:t>
      </w:r>
    </w:p>
    <w:p>
      <w:pPr>
        <w:pStyle w:val="ListBullet"/>
        <w:spacing w:after="40" w:line="259" w:lineRule="auto"/>
      </w:pPr>
      <w:r>
        <w:rPr>
          <w:rFonts w:ascii="Aptos" w:hAnsi="Aptos"/>
        </w:rPr>
        <w:t>document_scan_status</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/documents/upload-sessions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/documents/{id}/complete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/documents/{id}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DocumentUploaded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DocumentScanRequested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DocumentAvailable</w:t>
            </w:r>
          </w:p>
        </w:tc>
      </w:tr>
    </w:tbl>
    <w:p>
      <w:pPr>
        <w:spacing w:after="40"/>
      </w:pPr>
    </w:p>
    <w:p>
      <w:pPr>
        <w:pStyle w:val="Heading3"/>
      </w:pPr>
      <w:r>
        <w:t>Dependencies and integration</w:t>
      </w:r>
    </w:p>
    <w:p>
      <w:pPr>
        <w:pStyle w:val="ListBullet"/>
        <w:spacing w:after="40" w:line="259" w:lineRule="auto"/>
      </w:pPr>
      <w:r>
        <w:rPr>
          <w:rFonts w:ascii="Aptos" w:hAnsi="Aptos"/>
        </w:rPr>
        <w:t>S3/KMS</w:t>
      </w:r>
    </w:p>
    <w:p>
      <w:pPr>
        <w:pStyle w:val="ListBullet"/>
        <w:spacing w:after="40" w:line="259" w:lineRule="auto"/>
      </w:pPr>
      <w:r>
        <w:rPr>
          <w:rFonts w:ascii="Aptos" w:hAnsi="Aptos"/>
        </w:rPr>
        <w:t>CMP-032 Storage</w:t>
      </w:r>
    </w:p>
    <w:p>
      <w:pPr>
        <w:pStyle w:val="ListBullet"/>
        <w:spacing w:after="40" w:line="259" w:lineRule="auto"/>
      </w:pPr>
      <w:r>
        <w:rPr>
          <w:rFonts w:ascii="Aptos" w:hAnsi="Aptos"/>
        </w:rPr>
        <w:t>CMP-014 OCR</w:t>
      </w:r>
    </w:p>
    <w:p>
      <w:pPr>
        <w:pStyle w:val="ListBullet"/>
        <w:spacing w:after="40" w:line="259" w:lineRule="auto"/>
      </w:pPr>
      <w:r>
        <w:rPr>
          <w:rFonts w:ascii="Aptos" w:hAnsi="Aptos"/>
        </w:rPr>
        <w:t>CMP-048 Security</w:t>
      </w:r>
    </w:p>
    <w:p>
      <w:pPr>
        <w:pStyle w:val="Heading3"/>
      </w:pPr>
      <w:r>
        <w:t>Failure behavior and safeguards</w:t>
      </w:r>
    </w:p>
    <w:p>
      <w:pPr>
        <w:pStyle w:val="ListBullet"/>
        <w:spacing w:after="40" w:line="259" w:lineRule="auto"/>
      </w:pPr>
      <w:r>
        <w:rPr>
          <w:rFonts w:ascii="Aptos" w:hAnsi="Aptos"/>
        </w:rPr>
        <w:t>Checksum mismatch</w:t>
      </w:r>
    </w:p>
    <w:p>
      <w:pPr>
        <w:pStyle w:val="ListBullet"/>
        <w:spacing w:after="40" w:line="259" w:lineRule="auto"/>
      </w:pPr>
      <w:r>
        <w:rPr>
          <w:rFonts w:ascii="Aptos" w:hAnsi="Aptos"/>
        </w:rPr>
        <w:t>Malware detected</w:t>
      </w:r>
    </w:p>
    <w:p>
      <w:pPr>
        <w:pStyle w:val="ListBullet"/>
        <w:spacing w:after="40" w:line="259" w:lineRule="auto"/>
      </w:pPr>
      <w:r>
        <w:rPr>
          <w:rFonts w:ascii="Aptos" w:hAnsi="Aptos"/>
        </w:rPr>
        <w:t>Upload abandoned</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CMP-014  Document Intelligence / OCR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AI/Extraction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Extract structured text/fields/classification from uploaded documents as an assistive capability.</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Extraction outputs are tenant/application scoped and treated as untrusted suggestions until accepted/verified.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Async worker model; bounded retries; large documents queued.</w:t>
            </w:r>
          </w:p>
        </w:tc>
      </w:tr>
    </w:tbl>
    <w:p>
      <w:pPr>
        <w:spacing w:after="40"/>
      </w:pPr>
    </w:p>
    <w:p>
      <w:pPr>
        <w:pStyle w:val="Heading3"/>
      </w:pPr>
      <w:r>
        <w:t>Responsibilities</w:t>
      </w:r>
    </w:p>
    <w:p>
      <w:pPr>
        <w:pStyle w:val="ListBullet"/>
        <w:spacing w:after="40" w:line="259" w:lineRule="auto"/>
      </w:pPr>
      <w:r>
        <w:rPr>
          <w:rFonts w:ascii="Aptos" w:hAnsi="Aptos"/>
        </w:rPr>
        <w:t>OCR</w:t>
      </w:r>
    </w:p>
    <w:p>
      <w:pPr>
        <w:pStyle w:val="ListBullet"/>
        <w:spacing w:after="40" w:line="259" w:lineRule="auto"/>
      </w:pPr>
      <w:r>
        <w:rPr>
          <w:rFonts w:ascii="Aptos" w:hAnsi="Aptos"/>
        </w:rPr>
        <w:t>Document classification</w:t>
      </w:r>
    </w:p>
    <w:p>
      <w:pPr>
        <w:pStyle w:val="ListBullet"/>
        <w:spacing w:after="40" w:line="259" w:lineRule="auto"/>
      </w:pPr>
      <w:r>
        <w:rPr>
          <w:rFonts w:ascii="Aptos" w:hAnsi="Aptos"/>
        </w:rPr>
        <w:t>Field extraction</w:t>
      </w:r>
    </w:p>
    <w:p>
      <w:pPr>
        <w:pStyle w:val="ListBullet"/>
        <w:spacing w:after="40" w:line="259" w:lineRule="auto"/>
      </w:pPr>
      <w:r>
        <w:rPr>
          <w:rFonts w:ascii="Aptos" w:hAnsi="Aptos"/>
        </w:rPr>
        <w:t>Confidence scoring</w:t>
      </w:r>
    </w:p>
    <w:p>
      <w:pPr>
        <w:pStyle w:val="ListBullet"/>
        <w:spacing w:after="40" w:line="259" w:lineRule="auto"/>
      </w:pPr>
      <w:r>
        <w:rPr>
          <w:rFonts w:ascii="Aptos" w:hAnsi="Aptos"/>
        </w:rPr>
        <w:t>Human-review flags</w:t>
      </w:r>
    </w:p>
    <w:p>
      <w:pPr>
        <w:pStyle w:val="Heading3"/>
      </w:pPr>
      <w:r>
        <w:t>Explicit non-responsibilities</w:t>
      </w:r>
    </w:p>
    <w:p>
      <w:pPr>
        <w:pStyle w:val="ListBullet"/>
        <w:spacing w:after="40" w:line="259" w:lineRule="auto"/>
      </w:pPr>
      <w:r>
        <w:rPr>
          <w:rFonts w:ascii="Aptos" w:hAnsi="Aptos"/>
        </w:rPr>
        <w:t>Does not determine legal validity alone</w:t>
      </w:r>
    </w:p>
    <w:p>
      <w:pPr>
        <w:pStyle w:val="ListBullet"/>
        <w:spacing w:after="40" w:line="259" w:lineRule="auto"/>
      </w:pPr>
      <w:r>
        <w:rPr>
          <w:rFonts w:ascii="Aptos" w:hAnsi="Aptos"/>
        </w:rPr>
        <w:t>Does not overwrite verified profile claims without provenance</w:t>
      </w:r>
    </w:p>
    <w:p>
      <w:pPr>
        <w:pStyle w:val="ListBullet"/>
        <w:spacing w:after="40" w:line="259" w:lineRule="auto"/>
      </w:pPr>
      <w:r>
        <w:rPr>
          <w:rFonts w:ascii="Aptos" w:hAnsi="Aptos"/>
        </w:rPr>
        <w:t>Does not execute untrusted embedded instructions</w:t>
      </w:r>
    </w:p>
    <w:p>
      <w:pPr>
        <w:pStyle w:val="Heading3"/>
      </w:pPr>
      <w:r>
        <w:t>Authoritative data / state</w:t>
      </w:r>
    </w:p>
    <w:p>
      <w:pPr>
        <w:pStyle w:val="ListBullet"/>
        <w:spacing w:after="40" w:line="259" w:lineRule="auto"/>
      </w:pPr>
      <w:r>
        <w:rPr>
          <w:rFonts w:ascii="Aptos" w:hAnsi="Aptos"/>
        </w:rPr>
        <w:t>document_extraction</w:t>
      </w:r>
    </w:p>
    <w:p>
      <w:pPr>
        <w:pStyle w:val="ListBullet"/>
        <w:spacing w:after="40" w:line="259" w:lineRule="auto"/>
      </w:pPr>
      <w:r>
        <w:rPr>
          <w:rFonts w:ascii="Aptos" w:hAnsi="Aptos"/>
        </w:rPr>
        <w:t>extracted_field</w:t>
      </w:r>
    </w:p>
    <w:p>
      <w:pPr>
        <w:pStyle w:val="ListBullet"/>
        <w:spacing w:after="40" w:line="259" w:lineRule="auto"/>
      </w:pPr>
      <w:r>
        <w:rPr>
          <w:rFonts w:ascii="Aptos" w:hAnsi="Aptos"/>
        </w:rPr>
        <w:t>model_provenance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/documents/{id}/extract</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/documents/{id}/extraction</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DocumentExtractionCompleted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DocumentExtractionNeedsReview</w:t>
            </w:r>
          </w:p>
        </w:tc>
      </w:tr>
    </w:tbl>
    <w:p>
      <w:pPr>
        <w:spacing w:after="40"/>
      </w:pPr>
    </w:p>
    <w:p>
      <w:pPr>
        <w:pStyle w:val="Heading3"/>
      </w:pPr>
      <w:r>
        <w:t>Dependencies and integration</w:t>
      </w:r>
    </w:p>
    <w:p>
      <w:pPr>
        <w:pStyle w:val="ListBullet"/>
        <w:spacing w:after="40" w:line="259" w:lineRule="auto"/>
      </w:pPr>
      <w:r>
        <w:rPr>
          <w:rFonts w:ascii="Aptos" w:hAnsi="Aptos"/>
        </w:rPr>
        <w:t>Textract initially</w:t>
      </w:r>
    </w:p>
    <w:p>
      <w:pPr>
        <w:pStyle w:val="ListBullet"/>
        <w:spacing w:after="40" w:line="259" w:lineRule="auto"/>
      </w:pPr>
      <w:r>
        <w:rPr>
          <w:rFonts w:ascii="Aptos" w:hAnsi="Aptos"/>
        </w:rPr>
        <w:t>CMP-039 AI Gateway</w:t>
      </w:r>
    </w:p>
    <w:p>
      <w:pPr>
        <w:pStyle w:val="ListBullet"/>
        <w:spacing w:after="40" w:line="259" w:lineRule="auto"/>
      </w:pPr>
      <w:r>
        <w:rPr>
          <w:rFonts w:ascii="Aptos" w:hAnsi="Aptos"/>
        </w:rPr>
        <w:t>CMP-013 Upload</w:t>
      </w:r>
    </w:p>
    <w:p>
      <w:pPr>
        <w:pStyle w:val="ListBullet"/>
        <w:spacing w:after="40" w:line="259" w:lineRule="auto"/>
      </w:pPr>
      <w:r>
        <w:rPr>
          <w:rFonts w:ascii="Aptos" w:hAnsi="Aptos"/>
        </w:rPr>
        <w:t>CMP-018 Verification</w:t>
      </w:r>
    </w:p>
    <w:p>
      <w:pPr>
        <w:pStyle w:val="Heading3"/>
      </w:pPr>
      <w:r>
        <w:t>Failure behavior and safeguards</w:t>
      </w:r>
    </w:p>
    <w:p>
      <w:pPr>
        <w:pStyle w:val="ListBullet"/>
        <w:spacing w:after="40" w:line="259" w:lineRule="auto"/>
      </w:pPr>
      <w:r>
        <w:rPr>
          <w:rFonts w:ascii="Aptos" w:hAnsi="Aptos"/>
        </w:rPr>
        <w:t>Low confidence</w:t>
      </w:r>
    </w:p>
    <w:p>
      <w:pPr>
        <w:pStyle w:val="ListBullet"/>
        <w:spacing w:after="40" w:line="259" w:lineRule="auto"/>
      </w:pPr>
      <w:r>
        <w:rPr>
          <w:rFonts w:ascii="Aptos" w:hAnsi="Aptos"/>
        </w:rPr>
        <w:t>Unsupported format</w:t>
      </w:r>
    </w:p>
    <w:p>
      <w:pPr>
        <w:pStyle w:val="ListBullet"/>
        <w:spacing w:after="40" w:line="259" w:lineRule="auto"/>
      </w:pPr>
      <w:r>
        <w:rPr>
          <w:rFonts w:ascii="Aptos" w:hAnsi="Aptos"/>
        </w:rPr>
        <w:t>Prompt injection content</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CMP-015  Application / Case Management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Core Domain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Own the authoritative citizen application/case aggregate, lifecycle state and pinned executable configuration versions.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Every row tenant-scoped with FORCE RLS; application pins TenantServiceBinding and exact form/rule/workflow/evidence/access versions.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Submission transaction short and idempotent; core API p95 server target &lt;1s under certified mix.</w:t>
            </w:r>
          </w:p>
        </w:tc>
      </w:tr>
    </w:tbl>
    <w:p>
      <w:pPr>
        <w:spacing w:after="40"/>
      </w:pPr>
    </w:p>
    <w:p>
      <w:pPr>
        <w:pStyle w:val="Heading3"/>
      </w:pPr>
      <w:r>
        <w:t>Responsibilities</w:t>
      </w:r>
    </w:p>
    <w:p>
      <w:pPr>
        <w:pStyle w:val="ListBullet"/>
        <w:spacing w:after="40" w:line="259" w:lineRule="auto"/>
      </w:pPr>
      <w:r>
        <w:rPr>
          <w:rFonts w:ascii="Aptos" w:hAnsi="Aptos"/>
        </w:rPr>
        <w:t>Draft/application creation</w:t>
      </w:r>
    </w:p>
    <w:p>
      <w:pPr>
        <w:pStyle w:val="ListBullet"/>
        <w:spacing w:after="40" w:line="259" w:lineRule="auto"/>
      </w:pPr>
      <w:r>
        <w:rPr>
          <w:rFonts w:ascii="Aptos" w:hAnsi="Aptos"/>
        </w:rPr>
        <w:t>Submission transaction</w:t>
      </w:r>
    </w:p>
    <w:p>
      <w:pPr>
        <w:pStyle w:val="ListBullet"/>
        <w:spacing w:after="40" w:line="259" w:lineRule="auto"/>
      </w:pPr>
      <w:r>
        <w:rPr>
          <w:rFonts w:ascii="Aptos" w:hAnsi="Aptos"/>
        </w:rPr>
        <w:t>State machine enforcement</w:t>
      </w:r>
    </w:p>
    <w:p>
      <w:pPr>
        <w:pStyle w:val="ListBullet"/>
        <w:spacing w:after="40" w:line="259" w:lineRule="auto"/>
      </w:pPr>
      <w:r>
        <w:rPr>
          <w:rFonts w:ascii="Aptos" w:hAnsi="Aptos"/>
        </w:rPr>
        <w:t>Case metadata</w:t>
      </w:r>
    </w:p>
    <w:p>
      <w:pPr>
        <w:pStyle w:val="ListBullet"/>
        <w:spacing w:after="40" w:line="259" w:lineRule="auto"/>
      </w:pPr>
      <w:r>
        <w:rPr>
          <w:rFonts w:ascii="Aptos" w:hAnsi="Aptos"/>
        </w:rPr>
        <w:t>Version pinning</w:t>
      </w:r>
    </w:p>
    <w:p>
      <w:pPr>
        <w:pStyle w:val="ListBullet"/>
        <w:spacing w:after="40" w:line="259" w:lineRule="auto"/>
      </w:pPr>
      <w:r>
        <w:rPr>
          <w:rFonts w:ascii="Aptos" w:hAnsi="Aptos"/>
        </w:rPr>
        <w:t>Authoritative status history</w:t>
      </w:r>
    </w:p>
    <w:p>
      <w:pPr>
        <w:pStyle w:val="Heading3"/>
      </w:pPr>
      <w:r>
        <w:t>Explicit non-responsibilities</w:t>
      </w:r>
    </w:p>
    <w:p>
      <w:pPr>
        <w:pStyle w:val="ListBullet"/>
        <w:spacing w:after="40" w:line="259" w:lineRule="auto"/>
      </w:pPr>
      <w:r>
        <w:rPr>
          <w:rFonts w:ascii="Aptos" w:hAnsi="Aptos"/>
        </w:rPr>
        <w:t>Does not execute external payment provider state</w:t>
      </w:r>
    </w:p>
    <w:p>
      <w:pPr>
        <w:pStyle w:val="ListBullet"/>
        <w:spacing w:after="40" w:line="259" w:lineRule="auto"/>
      </w:pPr>
      <w:r>
        <w:rPr>
          <w:rFonts w:ascii="Aptos" w:hAnsi="Aptos"/>
        </w:rPr>
        <w:t>Does not authorize officer actions without OPA</w:t>
      </w:r>
    </w:p>
    <w:p>
      <w:pPr>
        <w:pStyle w:val="ListBullet"/>
        <w:spacing w:after="40" w:line="259" w:lineRule="auto"/>
      </w:pPr>
      <w:r>
        <w:rPr>
          <w:rFonts w:ascii="Aptos" w:hAnsi="Aptos"/>
        </w:rPr>
        <w:t>Does not hold external network calls inside DB transaction</w:t>
      </w:r>
    </w:p>
    <w:p>
      <w:pPr>
        <w:pStyle w:val="Heading3"/>
      </w:pPr>
      <w:r>
        <w:t>Authoritative data / state</w:t>
      </w:r>
    </w:p>
    <w:p>
      <w:pPr>
        <w:pStyle w:val="ListBullet"/>
        <w:spacing w:after="40" w:line="259" w:lineRule="auto"/>
      </w:pPr>
      <w:r>
        <w:rPr>
          <w:rFonts w:ascii="Aptos" w:hAnsi="Aptos"/>
        </w:rPr>
        <w:t>application</w:t>
      </w:r>
    </w:p>
    <w:p>
      <w:pPr>
        <w:pStyle w:val="ListBullet"/>
        <w:spacing w:after="40" w:line="259" w:lineRule="auto"/>
      </w:pPr>
      <w:r>
        <w:rPr>
          <w:rFonts w:ascii="Aptos" w:hAnsi="Aptos"/>
        </w:rPr>
        <w:t>application_data</w:t>
      </w:r>
    </w:p>
    <w:p>
      <w:pPr>
        <w:pStyle w:val="ListBullet"/>
        <w:spacing w:after="40" w:line="259" w:lineRule="auto"/>
      </w:pPr>
      <w:r>
        <w:rPr>
          <w:rFonts w:ascii="Aptos" w:hAnsi="Aptos"/>
        </w:rPr>
        <w:t>application_state_history</w:t>
      </w:r>
    </w:p>
    <w:p>
      <w:pPr>
        <w:pStyle w:val="ListBullet"/>
        <w:spacing w:after="40" w:line="259" w:lineRule="auto"/>
      </w:pPr>
      <w:r>
        <w:rPr>
          <w:rFonts w:ascii="Aptos" w:hAnsi="Aptos"/>
        </w:rPr>
        <w:t>case_record</w:t>
      </w:r>
    </w:p>
    <w:p>
      <w:pPr>
        <w:pStyle w:val="ListBullet"/>
        <w:spacing w:after="40" w:line="259" w:lineRule="auto"/>
      </w:pPr>
      <w:r>
        <w:rPr>
          <w:rFonts w:ascii="Aptos" w:hAnsi="Aptos"/>
        </w:rPr>
        <w:t>outbox_event</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/applications/{id}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PATCH /applications/{id}/draft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/applications/{id}/submit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/applications/{id}/commands/{command}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ApplicationCreated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ApplicationSubmitted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ApplicationStateChanged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ApplicationClosed</w:t>
            </w:r>
          </w:p>
        </w:tc>
      </w:tr>
    </w:tbl>
    <w:p>
      <w:pPr>
        <w:spacing w:after="40"/>
      </w:pPr>
    </w:p>
    <w:p>
      <w:pPr>
        <w:pStyle w:val="Heading3"/>
      </w:pPr>
      <w:r>
        <w:t>Dependencies and integration</w:t>
      </w:r>
    </w:p>
    <w:p>
      <w:pPr>
        <w:pStyle w:val="ListBullet"/>
        <w:spacing w:after="40" w:line="259" w:lineRule="auto"/>
      </w:pPr>
      <w:r>
        <w:rPr>
          <w:rFonts w:ascii="Aptos" w:hAnsi="Aptos"/>
        </w:rPr>
        <w:t>CMP-009 Forms</w:t>
      </w:r>
    </w:p>
    <w:p>
      <w:pPr>
        <w:pStyle w:val="ListBullet"/>
        <w:spacing w:after="40" w:line="259" w:lineRule="auto"/>
      </w:pPr>
      <w:r>
        <w:rPr>
          <w:rFonts w:ascii="Aptos" w:hAnsi="Aptos"/>
        </w:rPr>
        <w:t>CMP-008 Rules</w:t>
      </w:r>
    </w:p>
    <w:p>
      <w:pPr>
        <w:pStyle w:val="ListBullet"/>
        <w:spacing w:after="40" w:line="259" w:lineRule="auto"/>
      </w:pPr>
      <w:r>
        <w:rPr>
          <w:rFonts w:ascii="Aptos" w:hAnsi="Aptos"/>
        </w:rPr>
        <w:t>CMP-016 Workflow</w:t>
      </w:r>
    </w:p>
    <w:p>
      <w:pPr>
        <w:pStyle w:val="ListBullet"/>
        <w:spacing w:after="40" w:line="259" w:lineRule="auto"/>
      </w:pPr>
      <w:r>
        <w:rPr>
          <w:rFonts w:ascii="Aptos" w:hAnsi="Aptos"/>
        </w:rPr>
        <w:t>CMP-021 Payment</w:t>
      </w:r>
    </w:p>
    <w:p>
      <w:pPr>
        <w:pStyle w:val="ListBullet"/>
        <w:spacing w:after="40" w:line="259" w:lineRule="auto"/>
      </w:pPr>
      <w:r>
        <w:rPr>
          <w:rFonts w:ascii="Aptos" w:hAnsi="Aptos"/>
        </w:rPr>
        <w:t>CMP-031 Audit</w:t>
      </w:r>
    </w:p>
    <w:p>
      <w:pPr>
        <w:pStyle w:val="Heading3"/>
      </w:pPr>
      <w:r>
        <w:t>Failure behavior and safeguards</w:t>
      </w:r>
    </w:p>
    <w:p>
      <w:pPr>
        <w:pStyle w:val="ListBullet"/>
        <w:spacing w:after="40" w:line="259" w:lineRule="auto"/>
      </w:pPr>
      <w:r>
        <w:rPr>
          <w:rFonts w:ascii="Aptos" w:hAnsi="Aptos"/>
        </w:rPr>
        <w:t>Duplicate submit</w:t>
      </w:r>
    </w:p>
    <w:p>
      <w:pPr>
        <w:pStyle w:val="ListBullet"/>
        <w:spacing w:after="40" w:line="259" w:lineRule="auto"/>
      </w:pPr>
      <w:r>
        <w:rPr>
          <w:rFonts w:ascii="Aptos" w:hAnsi="Aptos"/>
        </w:rPr>
        <w:t>Illegal state transition</w:t>
      </w:r>
    </w:p>
    <w:p>
      <w:pPr>
        <w:pStyle w:val="ListBullet"/>
        <w:spacing w:after="40" w:line="259" w:lineRule="auto"/>
      </w:pPr>
      <w:r>
        <w:rPr>
          <w:rFonts w:ascii="Aptos" w:hAnsi="Aptos"/>
        </w:rPr>
        <w:t>Version unavailable</w:t>
      </w:r>
    </w:p>
    <w:p>
      <w:pPr>
        <w:pStyle w:val="ListBullet"/>
        <w:spacing w:after="40" w:line="259" w:lineRule="auto"/>
      </w:pPr>
      <w:r>
        <w:rPr>
          <w:rFonts w:ascii="Aptos" w:hAnsi="Aptos"/>
        </w:rPr>
        <w:t>Workflow start delayed</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CMP-016  Workflow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Core Orchestration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Execute published ServiceForm Workflow DSL durably on Temporal using generic interpreters/workers.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Workflow instance carries immutable tenant_id, application_id, service binding and workflow version.</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Temporal worker fleets horizontally scalable by task queue; no synchronous dependency from hot API on Temporal completion.</w:t>
            </w:r>
          </w:p>
        </w:tc>
      </w:tr>
    </w:tbl>
    <w:p>
      <w:pPr>
        <w:spacing w:after="40"/>
      </w:pPr>
    </w:p>
    <w:p>
      <w:pPr>
        <w:pStyle w:val="Heading3"/>
      </w:pPr>
      <w:r>
        <w:t>Responsibilities</w:t>
      </w:r>
    </w:p>
    <w:p>
      <w:pPr>
        <w:pStyle w:val="ListBullet"/>
        <w:spacing w:after="40" w:line="259" w:lineRule="auto"/>
      </w:pPr>
      <w:r>
        <w:rPr>
          <w:rFonts w:ascii="Aptos" w:hAnsi="Aptos"/>
        </w:rPr>
        <w:t>Durable sequencing</w:t>
      </w:r>
    </w:p>
    <w:p>
      <w:pPr>
        <w:pStyle w:val="ListBullet"/>
        <w:spacing w:after="40" w:line="259" w:lineRule="auto"/>
      </w:pPr>
      <w:r>
        <w:rPr>
          <w:rFonts w:ascii="Aptos" w:hAnsi="Aptos"/>
        </w:rPr>
        <w:t>Timers/waits/retries</w:t>
      </w:r>
    </w:p>
    <w:p>
      <w:pPr>
        <w:pStyle w:val="ListBullet"/>
        <w:spacing w:after="40" w:line="259" w:lineRule="auto"/>
      </w:pPr>
      <w:r>
        <w:rPr>
          <w:rFonts w:ascii="Aptos" w:hAnsi="Aptos"/>
        </w:rPr>
        <w:t>Branching based on rule results</w:t>
      </w:r>
    </w:p>
    <w:p>
      <w:pPr>
        <w:pStyle w:val="ListBullet"/>
        <w:spacing w:after="40" w:line="259" w:lineRule="auto"/>
      </w:pPr>
      <w:r>
        <w:rPr>
          <w:rFonts w:ascii="Aptos" w:hAnsi="Aptos"/>
        </w:rPr>
        <w:t>Human-task orchestration</w:t>
      </w:r>
    </w:p>
    <w:p>
      <w:pPr>
        <w:pStyle w:val="ListBullet"/>
        <w:spacing w:after="40" w:line="259" w:lineRule="auto"/>
      </w:pPr>
      <w:r>
        <w:rPr>
          <w:rFonts w:ascii="Aptos" w:hAnsi="Aptos"/>
        </w:rPr>
        <w:t>Signals and compensation hooks</w:t>
      </w:r>
    </w:p>
    <w:p>
      <w:pPr>
        <w:pStyle w:val="Heading3"/>
      </w:pPr>
      <w:r>
        <w:t>Explicit non-responsibilities</w:t>
      </w:r>
    </w:p>
    <w:p>
      <w:pPr>
        <w:pStyle w:val="ListBullet"/>
        <w:spacing w:after="40" w:line="259" w:lineRule="auto"/>
      </w:pPr>
      <w:r>
        <w:rPr>
          <w:rFonts w:ascii="Aptos" w:hAnsi="Aptos"/>
        </w:rPr>
        <w:t>Does not contain tenant-specific workflow classes by default</w:t>
      </w:r>
    </w:p>
    <w:p>
      <w:pPr>
        <w:pStyle w:val="ListBullet"/>
        <w:spacing w:after="40" w:line="259" w:lineRule="auto"/>
      </w:pPr>
      <w:r>
        <w:rPr>
          <w:rFonts w:ascii="Aptos" w:hAnsi="Aptos"/>
        </w:rPr>
        <w:t>Does not decide authorization</w:t>
      </w:r>
    </w:p>
    <w:p>
      <w:pPr>
        <w:pStyle w:val="ListBullet"/>
        <w:spacing w:after="40" w:line="259" w:lineRule="auto"/>
      </w:pPr>
      <w:r>
        <w:rPr>
          <w:rFonts w:ascii="Aptos" w:hAnsi="Aptos"/>
        </w:rPr>
        <w:t>Does not own legal case state</w:t>
      </w:r>
    </w:p>
    <w:p>
      <w:pPr>
        <w:pStyle w:val="Heading3"/>
      </w:pPr>
      <w:r>
        <w:t>Authoritative data / state</w:t>
      </w:r>
    </w:p>
    <w:p>
      <w:pPr>
        <w:pStyle w:val="ListBullet"/>
        <w:spacing w:after="40" w:line="259" w:lineRule="auto"/>
      </w:pPr>
      <w:r>
        <w:rPr>
          <w:rFonts w:ascii="Aptos" w:hAnsi="Aptos"/>
        </w:rPr>
        <w:t>workflow_definition</w:t>
      </w:r>
    </w:p>
    <w:p>
      <w:pPr>
        <w:pStyle w:val="ListBullet"/>
        <w:spacing w:after="40" w:line="259" w:lineRule="auto"/>
      </w:pPr>
      <w:r>
        <w:rPr>
          <w:rFonts w:ascii="Aptos" w:hAnsi="Aptos"/>
        </w:rPr>
        <w:t>workflow_version</w:t>
      </w:r>
    </w:p>
    <w:p>
      <w:pPr>
        <w:pStyle w:val="ListBullet"/>
        <w:spacing w:after="40" w:line="259" w:lineRule="auto"/>
      </w:pPr>
      <w:r>
        <w:rPr>
          <w:rFonts w:ascii="Aptos" w:hAnsi="Aptos"/>
        </w:rPr>
        <w:t>workflow_instance_projection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/workflows/start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/workflows/{id}/signal</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/workflows/{id}/status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WorkflowStarted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WorkflowNodeEntered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WorkflowNodeCompleted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WorkflowCompleted</w:t>
            </w:r>
          </w:p>
        </w:tc>
      </w:tr>
    </w:tbl>
    <w:p>
      <w:pPr>
        <w:spacing w:after="40"/>
      </w:pPr>
    </w:p>
    <w:p>
      <w:pPr>
        <w:pStyle w:val="Heading3"/>
      </w:pPr>
      <w:r>
        <w:t>Dependencies and integration</w:t>
      </w:r>
    </w:p>
    <w:p>
      <w:pPr>
        <w:pStyle w:val="ListBullet"/>
        <w:spacing w:after="40" w:line="259" w:lineRule="auto"/>
      </w:pPr>
      <w:r>
        <w:rPr>
          <w:rFonts w:ascii="Aptos" w:hAnsi="Aptos"/>
        </w:rPr>
        <w:t>Temporal</w:t>
      </w:r>
    </w:p>
    <w:p>
      <w:pPr>
        <w:pStyle w:val="ListBullet"/>
        <w:spacing w:after="40" w:line="259" w:lineRule="auto"/>
      </w:pPr>
      <w:r>
        <w:rPr>
          <w:rFonts w:ascii="Aptos" w:hAnsi="Aptos"/>
        </w:rPr>
        <w:t>CMP-017 Work Queue</w:t>
      </w:r>
    </w:p>
    <w:p>
      <w:pPr>
        <w:pStyle w:val="ListBullet"/>
        <w:spacing w:after="40" w:line="259" w:lineRule="auto"/>
      </w:pPr>
      <w:r>
        <w:rPr>
          <w:rFonts w:ascii="Aptos" w:hAnsi="Aptos"/>
        </w:rPr>
        <w:t>CMP-008 Rules</w:t>
      </w:r>
    </w:p>
    <w:p>
      <w:pPr>
        <w:pStyle w:val="ListBullet"/>
        <w:spacing w:after="40" w:line="259" w:lineRule="auto"/>
      </w:pPr>
      <w:r>
        <w:rPr>
          <w:rFonts w:ascii="Aptos" w:hAnsi="Aptos"/>
        </w:rPr>
        <w:t>CMP-029 SLA</w:t>
      </w:r>
    </w:p>
    <w:p>
      <w:pPr>
        <w:pStyle w:val="ListBullet"/>
        <w:spacing w:after="40" w:line="259" w:lineRule="auto"/>
      </w:pPr>
      <w:r>
        <w:rPr>
          <w:rFonts w:ascii="Aptos" w:hAnsi="Aptos"/>
        </w:rPr>
        <w:t>CMP-015 Application</w:t>
      </w:r>
    </w:p>
    <w:p>
      <w:pPr>
        <w:pStyle w:val="Heading3"/>
      </w:pPr>
      <w:r>
        <w:t>Failure behavior and safeguards</w:t>
      </w:r>
    </w:p>
    <w:p>
      <w:pPr>
        <w:pStyle w:val="ListBullet"/>
        <w:spacing w:after="40" w:line="259" w:lineRule="auto"/>
      </w:pPr>
      <w:r>
        <w:rPr>
          <w:rFonts w:ascii="Aptos" w:hAnsi="Aptos"/>
        </w:rPr>
        <w:t>Worker outage</w:t>
      </w:r>
    </w:p>
    <w:p>
      <w:pPr>
        <w:pStyle w:val="ListBullet"/>
        <w:spacing w:after="40" w:line="259" w:lineRule="auto"/>
      </w:pPr>
      <w:r>
        <w:rPr>
          <w:rFonts w:ascii="Aptos" w:hAnsi="Aptos"/>
        </w:rPr>
        <w:t>Temporal unavailable</w:t>
      </w:r>
    </w:p>
    <w:p>
      <w:pPr>
        <w:pStyle w:val="ListBullet"/>
        <w:spacing w:after="40" w:line="259" w:lineRule="auto"/>
      </w:pPr>
      <w:r>
        <w:rPr>
          <w:rFonts w:ascii="Aptos" w:hAnsi="Aptos"/>
        </w:rPr>
        <w:t>Stuck workflow</w:t>
      </w:r>
    </w:p>
    <w:p>
      <w:pPr>
        <w:pStyle w:val="ListBullet"/>
        <w:spacing w:after="40" w:line="259" w:lineRule="auto"/>
      </w:pPr>
      <w:r>
        <w:rPr>
          <w:rFonts w:ascii="Aptos" w:hAnsi="Aptos"/>
        </w:rPr>
        <w:t>Non-idempotent activity</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CMP-017  Work Queue &amp; Task Management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Core Domain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Materialize human work from workflow nodes and expose tenant/role/jurisdiction-scoped queues to officers.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Tasks always tenant-scoped and carry role/office/jurisdiction requirements. OPA validates every privileged action.</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Queue reads optimized with indexes/read models; stale claims prevented with optimistic concurrency.</w:t>
            </w:r>
          </w:p>
        </w:tc>
      </w:tr>
    </w:tbl>
    <w:p>
      <w:pPr>
        <w:spacing w:after="40"/>
      </w:pPr>
    </w:p>
    <w:p>
      <w:pPr>
        <w:pStyle w:val="Heading3"/>
      </w:pPr>
      <w:r>
        <w:t>Responsibilities</w:t>
      </w:r>
    </w:p>
    <w:p>
      <w:pPr>
        <w:pStyle w:val="ListBullet"/>
        <w:spacing w:after="40" w:line="259" w:lineRule="auto"/>
      </w:pPr>
      <w:r>
        <w:rPr>
          <w:rFonts w:ascii="Aptos" w:hAnsi="Aptos"/>
        </w:rPr>
        <w:t>Human-task creation</w:t>
      </w:r>
    </w:p>
    <w:p>
      <w:pPr>
        <w:pStyle w:val="ListBullet"/>
        <w:spacing w:after="40" w:line="259" w:lineRule="auto"/>
      </w:pPr>
      <w:r>
        <w:rPr>
          <w:rFonts w:ascii="Aptos" w:hAnsi="Aptos"/>
        </w:rPr>
        <w:t>Claim/unclaim/reassign</w:t>
      </w:r>
    </w:p>
    <w:p>
      <w:pPr>
        <w:pStyle w:val="ListBullet"/>
        <w:spacing w:after="40" w:line="259" w:lineRule="auto"/>
      </w:pPr>
      <w:r>
        <w:rPr>
          <w:rFonts w:ascii="Aptos" w:hAnsi="Aptos"/>
        </w:rPr>
        <w:t>Queue filtering</w:t>
      </w:r>
    </w:p>
    <w:p>
      <w:pPr>
        <w:pStyle w:val="ListBullet"/>
        <w:spacing w:after="40" w:line="259" w:lineRule="auto"/>
      </w:pPr>
      <w:r>
        <w:rPr>
          <w:rFonts w:ascii="Aptos" w:hAnsi="Aptos"/>
        </w:rPr>
        <w:t>Delegation handling</w:t>
      </w:r>
    </w:p>
    <w:p>
      <w:pPr>
        <w:pStyle w:val="ListBullet"/>
        <w:spacing w:after="40" w:line="259" w:lineRule="auto"/>
      </w:pPr>
      <w:r>
        <w:rPr>
          <w:rFonts w:ascii="Aptos" w:hAnsi="Aptos"/>
        </w:rPr>
        <w:t>Task completion commands</w:t>
      </w:r>
    </w:p>
    <w:p>
      <w:pPr>
        <w:pStyle w:val="Heading3"/>
      </w:pPr>
      <w:r>
        <w:t>Explicit non-responsibilities</w:t>
      </w:r>
    </w:p>
    <w:p>
      <w:pPr>
        <w:pStyle w:val="ListBullet"/>
        <w:spacing w:after="40" w:line="259" w:lineRule="auto"/>
      </w:pPr>
      <w:r>
        <w:rPr>
          <w:rFonts w:ascii="Aptos" w:hAnsi="Aptos"/>
        </w:rPr>
        <w:t>Does not authorize actions by itself</w:t>
      </w:r>
    </w:p>
    <w:p>
      <w:pPr>
        <w:pStyle w:val="ListBullet"/>
        <w:spacing w:after="40" w:line="259" w:lineRule="auto"/>
      </w:pPr>
      <w:r>
        <w:rPr>
          <w:rFonts w:ascii="Aptos" w:hAnsi="Aptos"/>
        </w:rPr>
        <w:t>Does not hard-code named officer assignment</w:t>
      </w:r>
    </w:p>
    <w:p>
      <w:pPr>
        <w:pStyle w:val="ListBullet"/>
        <w:spacing w:after="40" w:line="259" w:lineRule="auto"/>
      </w:pPr>
      <w:r>
        <w:rPr>
          <w:rFonts w:ascii="Aptos" w:hAnsi="Aptos"/>
        </w:rPr>
        <w:t>Does not advance workflow without validated completion</w:t>
      </w:r>
    </w:p>
    <w:p>
      <w:pPr>
        <w:pStyle w:val="Heading3"/>
      </w:pPr>
      <w:r>
        <w:t>Authoritative data / state</w:t>
      </w:r>
    </w:p>
    <w:p>
      <w:pPr>
        <w:pStyle w:val="ListBullet"/>
        <w:spacing w:after="40" w:line="259" w:lineRule="auto"/>
      </w:pPr>
      <w:r>
        <w:rPr>
          <w:rFonts w:ascii="Aptos" w:hAnsi="Aptos"/>
        </w:rPr>
        <w:t>task</w:t>
      </w:r>
    </w:p>
    <w:p>
      <w:pPr>
        <w:pStyle w:val="ListBullet"/>
        <w:spacing w:after="40" w:line="259" w:lineRule="auto"/>
      </w:pPr>
      <w:r>
        <w:rPr>
          <w:rFonts w:ascii="Aptos" w:hAnsi="Aptos"/>
        </w:rPr>
        <w:t>task_assignment</w:t>
      </w:r>
    </w:p>
    <w:p>
      <w:pPr>
        <w:pStyle w:val="ListBullet"/>
        <w:spacing w:after="40" w:line="259" w:lineRule="auto"/>
      </w:pPr>
      <w:r>
        <w:rPr>
          <w:rFonts w:ascii="Aptos" w:hAnsi="Aptos"/>
        </w:rPr>
        <w:t>task_history</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/tasks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/tasks/{id}/claim</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/tasks/{id}/complete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/tasks/{id}/reassign</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TaskCreated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TaskClaimed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TaskCompleted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TaskReassigned</w:t>
            </w:r>
          </w:p>
        </w:tc>
      </w:tr>
    </w:tbl>
    <w:p>
      <w:pPr>
        <w:spacing w:after="40"/>
      </w:pPr>
    </w:p>
    <w:p>
      <w:pPr>
        <w:pStyle w:val="Heading3"/>
      </w:pPr>
      <w:r>
        <w:t>Dependencies and integration</w:t>
      </w:r>
    </w:p>
    <w:p>
      <w:pPr>
        <w:pStyle w:val="ListBullet"/>
        <w:spacing w:after="40" w:line="259" w:lineRule="auto"/>
      </w:pPr>
      <w:r>
        <w:rPr>
          <w:rFonts w:ascii="Aptos" w:hAnsi="Aptos"/>
        </w:rPr>
        <w:t>CMP-016 Workflow</w:t>
      </w:r>
    </w:p>
    <w:p>
      <w:pPr>
        <w:pStyle w:val="ListBullet"/>
        <w:spacing w:after="40" w:line="259" w:lineRule="auto"/>
      </w:pPr>
      <w:r>
        <w:rPr>
          <w:rFonts w:ascii="Aptos" w:hAnsi="Aptos"/>
        </w:rPr>
        <w:t>OPA</w:t>
      </w:r>
    </w:p>
    <w:p>
      <w:pPr>
        <w:pStyle w:val="ListBullet"/>
        <w:spacing w:after="40" w:line="259" w:lineRule="auto"/>
      </w:pPr>
      <w:r>
        <w:rPr>
          <w:rFonts w:ascii="Aptos" w:hAnsi="Aptos"/>
        </w:rPr>
        <w:t>CMP-003 Jurisdiction</w:t>
      </w:r>
    </w:p>
    <w:p>
      <w:pPr>
        <w:pStyle w:val="ListBullet"/>
        <w:spacing w:after="40" w:line="259" w:lineRule="auto"/>
      </w:pPr>
      <w:r>
        <w:rPr>
          <w:rFonts w:ascii="Aptos" w:hAnsi="Aptos"/>
        </w:rPr>
        <w:t>CMP-004 Identity</w:t>
      </w:r>
    </w:p>
    <w:p>
      <w:pPr>
        <w:pStyle w:val="Heading3"/>
      </w:pPr>
      <w:r>
        <w:t>Failure behavior and safeguards</w:t>
      </w:r>
    </w:p>
    <w:p>
      <w:pPr>
        <w:pStyle w:val="ListBullet"/>
        <w:spacing w:after="40" w:line="259" w:lineRule="auto"/>
      </w:pPr>
      <w:r>
        <w:rPr>
          <w:rFonts w:ascii="Aptos" w:hAnsi="Aptos"/>
        </w:rPr>
        <w:t>Concurrent claim</w:t>
      </w:r>
    </w:p>
    <w:p>
      <w:pPr>
        <w:pStyle w:val="ListBullet"/>
        <w:spacing w:after="40" w:line="259" w:lineRule="auto"/>
      </w:pPr>
      <w:r>
        <w:rPr>
          <w:rFonts w:ascii="Aptos" w:hAnsi="Aptos"/>
        </w:rPr>
        <w:t>Officer transferred</w:t>
      </w:r>
    </w:p>
    <w:p>
      <w:pPr>
        <w:pStyle w:val="ListBullet"/>
        <w:spacing w:after="40" w:line="259" w:lineRule="auto"/>
      </w:pPr>
      <w:r>
        <w:rPr>
          <w:rFonts w:ascii="Aptos" w:hAnsi="Aptos"/>
        </w:rPr>
        <w:t>Delegation expired</w:t>
      </w:r>
    </w:p>
    <w:p>
      <w:pPr>
        <w:pStyle w:val="ListBullet"/>
        <w:spacing w:after="40" w:line="259" w:lineRule="auto"/>
      </w:pPr>
      <w:r>
        <w:rPr>
          <w:rFonts w:ascii="Aptos" w:hAnsi="Aptos"/>
        </w:rPr>
        <w:t>Wrong jurisdiction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CMP-018  Inspection / Verification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Manage field/desk verification, inspection observations and evidence verification outcomes.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Tenant/jurisdiction/task authorization enforced before access; field media inherits application ownership.</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Offline/mobile sync may be supported through idempotent commands.</w:t>
            </w:r>
          </w:p>
        </w:tc>
      </w:tr>
    </w:tbl>
    <w:p>
      <w:pPr>
        <w:spacing w:after="40"/>
      </w:pPr>
    </w:p>
    <w:p>
      <w:pPr>
        <w:pStyle w:val="Heading3"/>
      </w:pPr>
      <w:r>
        <w:t>Responsibilities</w:t>
      </w:r>
    </w:p>
    <w:p>
      <w:pPr>
        <w:pStyle w:val="ListBullet"/>
        <w:spacing w:after="40" w:line="259" w:lineRule="auto"/>
      </w:pPr>
      <w:r>
        <w:rPr>
          <w:rFonts w:ascii="Aptos" w:hAnsi="Aptos"/>
        </w:rPr>
        <w:t>Inspection scheduling</w:t>
      </w:r>
    </w:p>
    <w:p>
      <w:pPr>
        <w:pStyle w:val="ListBullet"/>
        <w:spacing w:after="40" w:line="259" w:lineRule="auto"/>
      </w:pPr>
      <w:r>
        <w:rPr>
          <w:rFonts w:ascii="Aptos" w:hAnsi="Aptos"/>
        </w:rPr>
        <w:t>Checklist/observation capture</w:t>
      </w:r>
    </w:p>
    <w:p>
      <w:pPr>
        <w:pStyle w:val="ListBullet"/>
        <w:spacing w:after="40" w:line="259" w:lineRule="auto"/>
      </w:pPr>
      <w:r>
        <w:rPr>
          <w:rFonts w:ascii="Aptos" w:hAnsi="Aptos"/>
        </w:rPr>
        <w:t>Geo/photo references</w:t>
      </w:r>
    </w:p>
    <w:p>
      <w:pPr>
        <w:pStyle w:val="ListBullet"/>
        <w:spacing w:after="40" w:line="259" w:lineRule="auto"/>
      </w:pPr>
      <w:r>
        <w:rPr>
          <w:rFonts w:ascii="Aptos" w:hAnsi="Aptos"/>
        </w:rPr>
        <w:t>Verification outcome</w:t>
      </w:r>
    </w:p>
    <w:p>
      <w:pPr>
        <w:pStyle w:val="ListBullet"/>
        <w:spacing w:after="40" w:line="259" w:lineRule="auto"/>
      </w:pPr>
      <w:r>
        <w:rPr>
          <w:rFonts w:ascii="Aptos" w:hAnsi="Aptos"/>
        </w:rPr>
        <w:t>Verifier signature/provenance</w:t>
      </w:r>
    </w:p>
    <w:p>
      <w:pPr>
        <w:pStyle w:val="Heading3"/>
      </w:pPr>
      <w:r>
        <w:t>Explicit non-responsibilities</w:t>
      </w:r>
    </w:p>
    <w:p>
      <w:pPr>
        <w:pStyle w:val="ListBullet"/>
        <w:spacing w:after="40" w:line="259" w:lineRule="auto"/>
      </w:pPr>
      <w:r>
        <w:rPr>
          <w:rFonts w:ascii="Aptos" w:hAnsi="Aptos"/>
        </w:rPr>
        <w:t>Does not make final approval unless service workflow explicitly defines authorized decision task</w:t>
      </w:r>
    </w:p>
    <w:p>
      <w:pPr>
        <w:pStyle w:val="ListBullet"/>
        <w:spacing w:after="40" w:line="259" w:lineRule="auto"/>
      </w:pPr>
      <w:r>
        <w:rPr>
          <w:rFonts w:ascii="Aptos" w:hAnsi="Aptos"/>
        </w:rPr>
        <w:t>Does not store raw media in DB</w:t>
      </w:r>
    </w:p>
    <w:p>
      <w:pPr>
        <w:pStyle w:val="Heading3"/>
      </w:pPr>
      <w:r>
        <w:t>Authoritative data / state</w:t>
      </w:r>
    </w:p>
    <w:p>
      <w:pPr>
        <w:pStyle w:val="ListBullet"/>
        <w:spacing w:after="40" w:line="259" w:lineRule="auto"/>
      </w:pPr>
      <w:r>
        <w:rPr>
          <w:rFonts w:ascii="Aptos" w:hAnsi="Aptos"/>
        </w:rPr>
        <w:t>inspection</w:t>
      </w:r>
    </w:p>
    <w:p>
      <w:pPr>
        <w:pStyle w:val="ListBullet"/>
        <w:spacing w:after="40" w:line="259" w:lineRule="auto"/>
      </w:pPr>
      <w:r>
        <w:rPr>
          <w:rFonts w:ascii="Aptos" w:hAnsi="Aptos"/>
        </w:rPr>
        <w:t>inspection_item</w:t>
      </w:r>
    </w:p>
    <w:p>
      <w:pPr>
        <w:pStyle w:val="ListBullet"/>
        <w:spacing w:after="40" w:line="259" w:lineRule="auto"/>
      </w:pPr>
      <w:r>
        <w:rPr>
          <w:rFonts w:ascii="Aptos" w:hAnsi="Aptos"/>
        </w:rPr>
        <w:t>verification_record</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/applications/{id}/inspections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/inspections/{id}/complete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/evidence/{id}/verify</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InspectionRequested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InspectionCompleted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EvidenceVerified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EvidenceRejected</w:t>
            </w:r>
          </w:p>
        </w:tc>
      </w:tr>
    </w:tbl>
    <w:p>
      <w:pPr>
        <w:spacing w:after="40"/>
      </w:pPr>
    </w:p>
    <w:p>
      <w:pPr>
        <w:pStyle w:val="Heading3"/>
      </w:pPr>
      <w:r>
        <w:t>Dependencies and integration</w:t>
      </w:r>
    </w:p>
    <w:p>
      <w:pPr>
        <w:pStyle w:val="ListBullet"/>
        <w:spacing w:after="40" w:line="259" w:lineRule="auto"/>
      </w:pPr>
      <w:r>
        <w:rPr>
          <w:rFonts w:ascii="Aptos" w:hAnsi="Aptos"/>
        </w:rPr>
        <w:t>CMP-017 Tasks</w:t>
      </w:r>
    </w:p>
    <w:p>
      <w:pPr>
        <w:pStyle w:val="ListBullet"/>
        <w:spacing w:after="40" w:line="259" w:lineRule="auto"/>
      </w:pPr>
      <w:r>
        <w:rPr>
          <w:rFonts w:ascii="Aptos" w:hAnsi="Aptos"/>
        </w:rPr>
        <w:t>CMP-013 Upload</w:t>
      </w:r>
    </w:p>
    <w:p>
      <w:pPr>
        <w:pStyle w:val="ListBullet"/>
        <w:spacing w:after="40" w:line="259" w:lineRule="auto"/>
      </w:pPr>
      <w:r>
        <w:rPr>
          <w:rFonts w:ascii="Aptos" w:hAnsi="Aptos"/>
        </w:rPr>
        <w:t>CMP-011 Evidence</w:t>
      </w:r>
    </w:p>
    <w:p>
      <w:pPr>
        <w:pStyle w:val="ListBullet"/>
        <w:spacing w:after="40" w:line="259" w:lineRule="auto"/>
      </w:pPr>
      <w:r>
        <w:rPr>
          <w:rFonts w:ascii="Aptos" w:hAnsi="Aptos"/>
        </w:rPr>
        <w:t>CMP-016 Workflow</w:t>
      </w:r>
    </w:p>
    <w:p>
      <w:pPr>
        <w:pStyle w:val="Heading3"/>
      </w:pPr>
      <w:r>
        <w:t>Failure behavior and safeguards</w:t>
      </w:r>
    </w:p>
    <w:p>
      <w:pPr>
        <w:pStyle w:val="ListBullet"/>
        <w:spacing w:after="40" w:line="259" w:lineRule="auto"/>
      </w:pPr>
      <w:r>
        <w:rPr>
          <w:rFonts w:ascii="Aptos" w:hAnsi="Aptos"/>
        </w:rPr>
        <w:t>Location unavailable</w:t>
      </w:r>
    </w:p>
    <w:p>
      <w:pPr>
        <w:pStyle w:val="ListBullet"/>
        <w:spacing w:after="40" w:line="259" w:lineRule="auto"/>
      </w:pPr>
      <w:r>
        <w:rPr>
          <w:rFonts w:ascii="Aptos" w:hAnsi="Aptos"/>
        </w:rPr>
        <w:t>Inspection overdue</w:t>
      </w:r>
    </w:p>
    <w:p>
      <w:pPr>
        <w:pStyle w:val="ListBullet"/>
        <w:spacing w:after="40" w:line="259" w:lineRule="auto"/>
      </w:pPr>
      <w:r>
        <w:rPr>
          <w:rFonts w:ascii="Aptos" w:hAnsi="Aptos"/>
        </w:rPr>
        <w:t>Conflicting verification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CMP-019  Deficiency / Clarification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Manage structured requests for missing/incorrect information and citizen responses while preserving SLA semantics.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scoped; response visibility limited to application parties and authorized officials.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Support multiple deficiency cycles without losing prior evidence.</w:t>
            </w:r>
          </w:p>
        </w:tc>
      </w:tr>
    </w:tbl>
    <w:p>
      <w:pPr>
        <w:spacing w:after="40"/>
      </w:pPr>
    </w:p>
    <w:p>
      <w:pPr>
        <w:pStyle w:val="Heading3"/>
      </w:pPr>
      <w:r>
        <w:t>Responsibilities</w:t>
      </w:r>
    </w:p>
    <w:p>
      <w:pPr>
        <w:pStyle w:val="ListBullet"/>
        <w:spacing w:after="40" w:line="259" w:lineRule="auto"/>
      </w:pPr>
      <w:r>
        <w:rPr>
          <w:rFonts w:ascii="Aptos" w:hAnsi="Aptos"/>
        </w:rPr>
        <w:t>Deficiency notice</w:t>
      </w:r>
    </w:p>
    <w:p>
      <w:pPr>
        <w:pStyle w:val="ListBullet"/>
        <w:spacing w:after="40" w:line="259" w:lineRule="auto"/>
      </w:pPr>
      <w:r>
        <w:rPr>
          <w:rFonts w:ascii="Aptos" w:hAnsi="Aptos"/>
        </w:rPr>
        <w:t>Requested items</w:t>
      </w:r>
    </w:p>
    <w:p>
      <w:pPr>
        <w:pStyle w:val="ListBullet"/>
        <w:spacing w:after="40" w:line="259" w:lineRule="auto"/>
      </w:pPr>
      <w:r>
        <w:rPr>
          <w:rFonts w:ascii="Aptos" w:hAnsi="Aptos"/>
        </w:rPr>
        <w:t>Citizen response</w:t>
      </w:r>
    </w:p>
    <w:p>
      <w:pPr>
        <w:pStyle w:val="ListBullet"/>
        <w:spacing w:after="40" w:line="259" w:lineRule="auto"/>
      </w:pPr>
      <w:r>
        <w:rPr>
          <w:rFonts w:ascii="Aptos" w:hAnsi="Aptos"/>
        </w:rPr>
        <w:t>Resubmission</w:t>
      </w:r>
    </w:p>
    <w:p>
      <w:pPr>
        <w:pStyle w:val="ListBullet"/>
        <w:spacing w:after="40" w:line="259" w:lineRule="auto"/>
      </w:pPr>
      <w:r>
        <w:rPr>
          <w:rFonts w:ascii="Aptos" w:hAnsi="Aptos"/>
        </w:rPr>
        <w:t>Deficiency history</w:t>
      </w:r>
    </w:p>
    <w:p>
      <w:pPr>
        <w:pStyle w:val="Heading3"/>
      </w:pPr>
      <w:r>
        <w:t>Explicit non-responsibilities</w:t>
      </w:r>
    </w:p>
    <w:p>
      <w:pPr>
        <w:pStyle w:val="ListBullet"/>
        <w:spacing w:after="40" w:line="259" w:lineRule="auto"/>
      </w:pPr>
      <w:r>
        <w:rPr>
          <w:rFonts w:ascii="Aptos" w:hAnsi="Aptos"/>
        </w:rPr>
        <w:t>Does not silently alter submitted data</w:t>
      </w:r>
    </w:p>
    <w:p>
      <w:pPr>
        <w:pStyle w:val="ListBullet"/>
        <w:spacing w:after="40" w:line="259" w:lineRule="auto"/>
      </w:pPr>
      <w:r>
        <w:rPr>
          <w:rFonts w:ascii="Aptos" w:hAnsi="Aptos"/>
        </w:rPr>
        <w:t>Does not decide whether SLA pauses without policy</w:t>
      </w:r>
    </w:p>
    <w:p>
      <w:pPr>
        <w:pStyle w:val="Heading3"/>
      </w:pPr>
      <w:r>
        <w:t>Authoritative data / state</w:t>
      </w:r>
    </w:p>
    <w:p>
      <w:pPr>
        <w:pStyle w:val="ListBullet"/>
        <w:spacing w:after="40" w:line="259" w:lineRule="auto"/>
      </w:pPr>
      <w:r>
        <w:rPr>
          <w:rFonts w:ascii="Aptos" w:hAnsi="Aptos"/>
        </w:rPr>
        <w:t>deficiency</w:t>
      </w:r>
    </w:p>
    <w:p>
      <w:pPr>
        <w:pStyle w:val="ListBullet"/>
        <w:spacing w:after="40" w:line="259" w:lineRule="auto"/>
      </w:pPr>
      <w:r>
        <w:rPr>
          <w:rFonts w:ascii="Aptos" w:hAnsi="Aptos"/>
        </w:rPr>
        <w:t>deficiency_item</w:t>
      </w:r>
    </w:p>
    <w:p>
      <w:pPr>
        <w:pStyle w:val="ListBullet"/>
        <w:spacing w:after="40" w:line="259" w:lineRule="auto"/>
      </w:pPr>
      <w:r>
        <w:rPr>
          <w:rFonts w:ascii="Aptos" w:hAnsi="Aptos"/>
        </w:rPr>
        <w:t>deficiency_response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/applications/{id}/deficiencies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/deficiencies/{id}/respond</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/applications/{id}/deficiencies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DeficiencyRaised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DeficiencyResponded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DeficiencyClosed</w:t>
            </w:r>
          </w:p>
        </w:tc>
      </w:tr>
    </w:tbl>
    <w:p>
      <w:pPr>
        <w:spacing w:after="40"/>
      </w:pPr>
    </w:p>
    <w:p>
      <w:pPr>
        <w:pStyle w:val="Heading3"/>
      </w:pPr>
      <w:r>
        <w:t>Dependencies and integration</w:t>
      </w:r>
    </w:p>
    <w:p>
      <w:pPr>
        <w:pStyle w:val="ListBullet"/>
        <w:spacing w:after="40" w:line="259" w:lineRule="auto"/>
      </w:pPr>
      <w:r>
        <w:rPr>
          <w:rFonts w:ascii="Aptos" w:hAnsi="Aptos"/>
        </w:rPr>
        <w:t>CMP-029 SLA</w:t>
      </w:r>
    </w:p>
    <w:p>
      <w:pPr>
        <w:pStyle w:val="ListBullet"/>
        <w:spacing w:after="40" w:line="259" w:lineRule="auto"/>
      </w:pPr>
      <w:r>
        <w:rPr>
          <w:rFonts w:ascii="Aptos" w:hAnsi="Aptos"/>
        </w:rPr>
        <w:t>CMP-016 Workflow</w:t>
      </w:r>
    </w:p>
    <w:p>
      <w:pPr>
        <w:pStyle w:val="ListBullet"/>
        <w:spacing w:after="40" w:line="259" w:lineRule="auto"/>
      </w:pPr>
      <w:r>
        <w:rPr>
          <w:rFonts w:ascii="Aptos" w:hAnsi="Aptos"/>
        </w:rPr>
        <w:t>CMP-025 Notification</w:t>
      </w:r>
    </w:p>
    <w:p>
      <w:pPr>
        <w:pStyle w:val="ListBullet"/>
        <w:spacing w:after="40" w:line="259" w:lineRule="auto"/>
      </w:pPr>
      <w:r>
        <w:rPr>
          <w:rFonts w:ascii="Aptos" w:hAnsi="Aptos"/>
        </w:rPr>
        <w:t>CMP-015 Application</w:t>
      </w:r>
    </w:p>
    <w:p>
      <w:pPr>
        <w:pStyle w:val="Heading3"/>
      </w:pPr>
      <w:r>
        <w:t>Failure behavior and safeguards</w:t>
      </w:r>
    </w:p>
    <w:p>
      <w:pPr>
        <w:pStyle w:val="ListBullet"/>
        <w:spacing w:after="40" w:line="259" w:lineRule="auto"/>
      </w:pPr>
      <w:r>
        <w:rPr>
          <w:rFonts w:ascii="Aptos" w:hAnsi="Aptos"/>
        </w:rPr>
        <w:t>Citizen misses deadline</w:t>
      </w:r>
    </w:p>
    <w:p>
      <w:pPr>
        <w:pStyle w:val="ListBullet"/>
        <w:spacing w:after="40" w:line="259" w:lineRule="auto"/>
      </w:pPr>
      <w:r>
        <w:rPr>
          <w:rFonts w:ascii="Aptos" w:hAnsi="Aptos"/>
        </w:rPr>
        <w:t>Repeated deficiency</w:t>
      </w:r>
    </w:p>
    <w:p>
      <w:pPr>
        <w:pStyle w:val="ListBullet"/>
        <w:spacing w:after="40" w:line="259" w:lineRule="auto"/>
      </w:pPr>
      <w:r>
        <w:rPr>
          <w:rFonts w:ascii="Aptos" w:hAnsi="Aptos"/>
        </w:rPr>
        <w:t>SLA pause policy absent</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CMP-020  Fee &amp; Calculation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Decision Engine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Calculate statutory fee, tax, penalty, waiver and payable amount from versioned fee rules.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Fee policy version pinned to application/service binding and reasoned output retained.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Deterministic and fast; calculation should be reproducible from saved inputs/version.</w:t>
            </w:r>
          </w:p>
        </w:tc>
      </w:tr>
    </w:tbl>
    <w:p>
      <w:pPr>
        <w:spacing w:after="40"/>
      </w:pPr>
    </w:p>
    <w:p>
      <w:pPr>
        <w:pStyle w:val="Heading3"/>
      </w:pPr>
      <w:r>
        <w:t>Responsibilities</w:t>
      </w:r>
    </w:p>
    <w:p>
      <w:pPr>
        <w:pStyle w:val="ListBullet"/>
        <w:spacing w:after="40" w:line="259" w:lineRule="auto"/>
      </w:pPr>
      <w:r>
        <w:rPr>
          <w:rFonts w:ascii="Aptos" w:hAnsi="Aptos"/>
        </w:rPr>
        <w:t>Fee rule evaluation</w:t>
      </w:r>
    </w:p>
    <w:p>
      <w:pPr>
        <w:pStyle w:val="ListBullet"/>
        <w:spacing w:after="40" w:line="259" w:lineRule="auto"/>
      </w:pPr>
      <w:r>
        <w:rPr>
          <w:rFonts w:ascii="Aptos" w:hAnsi="Aptos"/>
        </w:rPr>
        <w:t>Breakdown generation</w:t>
      </w:r>
    </w:p>
    <w:p>
      <w:pPr>
        <w:pStyle w:val="ListBullet"/>
        <w:spacing w:after="40" w:line="259" w:lineRule="auto"/>
      </w:pPr>
      <w:r>
        <w:rPr>
          <w:rFonts w:ascii="Aptos" w:hAnsi="Aptos"/>
        </w:rPr>
        <w:t>Waiver/exemption logic</w:t>
      </w:r>
    </w:p>
    <w:p>
      <w:pPr>
        <w:pStyle w:val="ListBullet"/>
        <w:spacing w:after="40" w:line="259" w:lineRule="auto"/>
      </w:pPr>
      <w:r>
        <w:rPr>
          <w:rFonts w:ascii="Aptos" w:hAnsi="Aptos"/>
        </w:rPr>
        <w:t>Currency/rounding</w:t>
      </w:r>
    </w:p>
    <w:p>
      <w:pPr>
        <w:pStyle w:val="ListBullet"/>
        <w:spacing w:after="40" w:line="259" w:lineRule="auto"/>
      </w:pPr>
      <w:r>
        <w:rPr>
          <w:rFonts w:ascii="Aptos" w:hAnsi="Aptos"/>
        </w:rPr>
        <w:t>Calculation audit</w:t>
      </w:r>
    </w:p>
    <w:p>
      <w:pPr>
        <w:pStyle w:val="Heading3"/>
      </w:pPr>
      <w:r>
        <w:t>Explicit non-responsibilities</w:t>
      </w:r>
    </w:p>
    <w:p>
      <w:pPr>
        <w:pStyle w:val="ListBullet"/>
        <w:spacing w:after="40" w:line="259" w:lineRule="auto"/>
      </w:pPr>
      <w:r>
        <w:rPr>
          <w:rFonts w:ascii="Aptos" w:hAnsi="Aptos"/>
        </w:rPr>
        <w:t>Does not process payment</w:t>
      </w:r>
    </w:p>
    <w:p>
      <w:pPr>
        <w:pStyle w:val="ListBullet"/>
        <w:spacing w:after="40" w:line="259" w:lineRule="auto"/>
      </w:pPr>
      <w:r>
        <w:rPr>
          <w:rFonts w:ascii="Aptos" w:hAnsi="Aptos"/>
        </w:rPr>
        <w:t>Does not modify published fee rules</w:t>
      </w:r>
    </w:p>
    <w:p>
      <w:pPr>
        <w:pStyle w:val="ListBullet"/>
        <w:spacing w:after="40" w:line="259" w:lineRule="auto"/>
      </w:pPr>
      <w:r>
        <w:rPr>
          <w:rFonts w:ascii="Aptos" w:hAnsi="Aptos"/>
        </w:rPr>
        <w:t>Does not infer waiver without rule</w:t>
      </w:r>
    </w:p>
    <w:p>
      <w:pPr>
        <w:pStyle w:val="Heading3"/>
      </w:pPr>
      <w:r>
        <w:t>Authoritative data / state</w:t>
      </w:r>
    </w:p>
    <w:p>
      <w:pPr>
        <w:pStyle w:val="ListBullet"/>
        <w:spacing w:after="40" w:line="259" w:lineRule="auto"/>
      </w:pPr>
      <w:r>
        <w:rPr>
          <w:rFonts w:ascii="Aptos" w:hAnsi="Aptos"/>
        </w:rPr>
        <w:t>fee_policy</w:t>
      </w:r>
    </w:p>
    <w:p>
      <w:pPr>
        <w:pStyle w:val="ListBullet"/>
        <w:spacing w:after="40" w:line="259" w:lineRule="auto"/>
      </w:pPr>
      <w:r>
        <w:rPr>
          <w:rFonts w:ascii="Aptos" w:hAnsi="Aptos"/>
        </w:rPr>
        <w:t>fee_policy_version</w:t>
      </w:r>
    </w:p>
    <w:p>
      <w:pPr>
        <w:pStyle w:val="ListBullet"/>
        <w:spacing w:after="40" w:line="259" w:lineRule="auto"/>
      </w:pPr>
      <w:r>
        <w:rPr>
          <w:rFonts w:ascii="Aptos" w:hAnsi="Aptos"/>
        </w:rPr>
        <w:t>fee_calculation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/fees/calculate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/fees/{calculationId}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FeeCalculated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FeeCalculationFailed</w:t>
            </w:r>
          </w:p>
        </w:tc>
      </w:tr>
    </w:tbl>
    <w:p>
      <w:pPr>
        <w:spacing w:after="40"/>
      </w:pPr>
    </w:p>
    <w:p>
      <w:pPr>
        <w:pStyle w:val="Heading3"/>
      </w:pPr>
      <w:r>
        <w:t>Dependencies and integration</w:t>
      </w:r>
    </w:p>
    <w:p>
      <w:pPr>
        <w:pStyle w:val="ListBullet"/>
        <w:spacing w:after="40" w:line="259" w:lineRule="auto"/>
      </w:pPr>
      <w:r>
        <w:rPr>
          <w:rFonts w:ascii="Aptos" w:hAnsi="Aptos"/>
        </w:rPr>
        <w:t>CMP-008 Rules</w:t>
      </w:r>
    </w:p>
    <w:p>
      <w:pPr>
        <w:pStyle w:val="ListBullet"/>
        <w:spacing w:after="40" w:line="259" w:lineRule="auto"/>
      </w:pPr>
      <w:r>
        <w:rPr>
          <w:rFonts w:ascii="Aptos" w:hAnsi="Aptos"/>
        </w:rPr>
        <w:t>CMP-021 Payment</w:t>
      </w:r>
    </w:p>
    <w:p>
      <w:pPr>
        <w:pStyle w:val="ListBullet"/>
        <w:spacing w:after="40" w:line="259" w:lineRule="auto"/>
      </w:pPr>
      <w:r>
        <w:rPr>
          <w:rFonts w:ascii="Aptos" w:hAnsi="Aptos"/>
        </w:rPr>
        <w:t>CMP-051 Publishing</w:t>
      </w:r>
    </w:p>
    <w:p>
      <w:pPr>
        <w:pStyle w:val="Heading3"/>
      </w:pPr>
      <w:r>
        <w:t>Failure behavior and safeguards</w:t>
      </w:r>
    </w:p>
    <w:p>
      <w:pPr>
        <w:pStyle w:val="ListBullet"/>
        <w:spacing w:after="40" w:line="259" w:lineRule="auto"/>
      </w:pPr>
      <w:r>
        <w:rPr>
          <w:rFonts w:ascii="Aptos" w:hAnsi="Aptos"/>
        </w:rPr>
        <w:t>Missing rate</w:t>
      </w:r>
    </w:p>
    <w:p>
      <w:pPr>
        <w:pStyle w:val="ListBullet"/>
        <w:spacing w:after="40" w:line="259" w:lineRule="auto"/>
      </w:pPr>
      <w:r>
        <w:rPr>
          <w:rFonts w:ascii="Aptos" w:hAnsi="Aptos"/>
        </w:rPr>
        <w:t>Conflicting exemption</w:t>
      </w:r>
    </w:p>
    <w:p>
      <w:pPr>
        <w:pStyle w:val="ListBullet"/>
        <w:spacing w:after="40" w:line="259" w:lineRule="auto"/>
      </w:pPr>
      <w:r>
        <w:rPr>
          <w:rFonts w:ascii="Aptos" w:hAnsi="Aptos"/>
        </w:rPr>
        <w:t>Rounding mismatch</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CMP-021  Payment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Integration Domain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Own payment intent, gateway interaction, callback validation, reconciliation and refund metadata.</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Tenant-scoped payment metadata; secrets isolated; callback signatures validated server-side.</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Payment provider calls isolated by circuit breaker and idempotency; async reconciliation available.</w:t>
            </w:r>
          </w:p>
        </w:tc>
      </w:tr>
    </w:tbl>
    <w:p>
      <w:pPr>
        <w:spacing w:after="40"/>
      </w:pPr>
    </w:p>
    <w:p>
      <w:pPr>
        <w:pStyle w:val="Heading3"/>
      </w:pPr>
      <w:r>
        <w:t>Responsibilities</w:t>
      </w:r>
    </w:p>
    <w:p>
      <w:pPr>
        <w:pStyle w:val="ListBullet"/>
        <w:spacing w:after="40" w:line="259" w:lineRule="auto"/>
      </w:pPr>
      <w:r>
        <w:rPr>
          <w:rFonts w:ascii="Aptos" w:hAnsi="Aptos"/>
        </w:rPr>
        <w:t>Payment intent</w:t>
      </w:r>
    </w:p>
    <w:p>
      <w:pPr>
        <w:pStyle w:val="ListBullet"/>
        <w:spacing w:after="40" w:line="259" w:lineRule="auto"/>
      </w:pPr>
      <w:r>
        <w:rPr>
          <w:rFonts w:ascii="Aptos" w:hAnsi="Aptos"/>
        </w:rPr>
        <w:t>Gateway adapter invocation</w:t>
      </w:r>
    </w:p>
    <w:p>
      <w:pPr>
        <w:pStyle w:val="ListBullet"/>
        <w:spacing w:after="40" w:line="259" w:lineRule="auto"/>
      </w:pPr>
      <w:r>
        <w:rPr>
          <w:rFonts w:ascii="Aptos" w:hAnsi="Aptos"/>
        </w:rPr>
        <w:t>Webhook verification</w:t>
      </w:r>
    </w:p>
    <w:p>
      <w:pPr>
        <w:pStyle w:val="ListBullet"/>
        <w:spacing w:after="40" w:line="259" w:lineRule="auto"/>
      </w:pPr>
      <w:r>
        <w:rPr>
          <w:rFonts w:ascii="Aptos" w:hAnsi="Aptos"/>
        </w:rPr>
        <w:t>Payment state machine</w:t>
      </w:r>
    </w:p>
    <w:p>
      <w:pPr>
        <w:pStyle w:val="ListBullet"/>
        <w:spacing w:after="40" w:line="259" w:lineRule="auto"/>
      </w:pPr>
      <w:r>
        <w:rPr>
          <w:rFonts w:ascii="Aptos" w:hAnsi="Aptos"/>
        </w:rPr>
        <w:t>Reconciliation/refund initiation</w:t>
      </w:r>
    </w:p>
    <w:p>
      <w:pPr>
        <w:pStyle w:val="Heading3"/>
      </w:pPr>
      <w:r>
        <w:t>Explicit non-responsibilities</w:t>
      </w:r>
    </w:p>
    <w:p>
      <w:pPr>
        <w:pStyle w:val="ListBullet"/>
        <w:spacing w:after="40" w:line="259" w:lineRule="auto"/>
      </w:pPr>
      <w:r>
        <w:rPr>
          <w:rFonts w:ascii="Aptos" w:hAnsi="Aptos"/>
        </w:rPr>
        <w:t>Does not own application approval</w:t>
      </w:r>
    </w:p>
    <w:p>
      <w:pPr>
        <w:pStyle w:val="ListBullet"/>
        <w:spacing w:after="40" w:line="259" w:lineRule="auto"/>
      </w:pPr>
      <w:r>
        <w:rPr>
          <w:rFonts w:ascii="Aptos" w:hAnsi="Aptos"/>
        </w:rPr>
        <w:t>Does not trust browser success redirect</w:t>
      </w:r>
    </w:p>
    <w:p>
      <w:pPr>
        <w:pStyle w:val="ListBullet"/>
        <w:spacing w:after="40" w:line="259" w:lineRule="auto"/>
      </w:pPr>
      <w:r>
        <w:rPr>
          <w:rFonts w:ascii="Aptos" w:hAnsi="Aptos"/>
        </w:rPr>
        <w:t>Does not create duplicate payable transaction for same idempotency key</w:t>
      </w:r>
    </w:p>
    <w:p>
      <w:pPr>
        <w:pStyle w:val="Heading3"/>
      </w:pPr>
      <w:r>
        <w:t>Authoritative data / state</w:t>
      </w:r>
    </w:p>
    <w:p>
      <w:pPr>
        <w:pStyle w:val="ListBullet"/>
        <w:spacing w:after="40" w:line="259" w:lineRule="auto"/>
      </w:pPr>
      <w:r>
        <w:rPr>
          <w:rFonts w:ascii="Aptos" w:hAnsi="Aptos"/>
        </w:rPr>
        <w:t>payment</w:t>
      </w:r>
    </w:p>
    <w:p>
      <w:pPr>
        <w:pStyle w:val="ListBullet"/>
        <w:spacing w:after="40" w:line="259" w:lineRule="auto"/>
      </w:pPr>
      <w:r>
        <w:rPr>
          <w:rFonts w:ascii="Aptos" w:hAnsi="Aptos"/>
        </w:rPr>
        <w:t>payment_attempt</w:t>
      </w:r>
    </w:p>
    <w:p>
      <w:pPr>
        <w:pStyle w:val="ListBullet"/>
        <w:spacing w:after="40" w:line="259" w:lineRule="auto"/>
      </w:pPr>
      <w:r>
        <w:rPr>
          <w:rFonts w:ascii="Aptos" w:hAnsi="Aptos"/>
        </w:rPr>
        <w:t>payment_provider_txn</w:t>
      </w:r>
    </w:p>
    <w:p>
      <w:pPr>
        <w:pStyle w:val="ListBullet"/>
        <w:spacing w:after="40" w:line="259" w:lineRule="auto"/>
      </w:pPr>
      <w:r>
        <w:rPr>
          <w:rFonts w:ascii="Aptos" w:hAnsi="Aptos"/>
        </w:rPr>
        <w:t>payment_reconciliation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/payments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/payments/{id}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/payments/{id}/retry</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/webhooks/payments/{provider}</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PaymentInitiated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PaymentSucceeded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PaymentFailed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PaymentRefunded</w:t>
            </w:r>
          </w:p>
        </w:tc>
      </w:tr>
    </w:tbl>
    <w:p>
      <w:pPr>
        <w:spacing w:after="40"/>
      </w:pPr>
    </w:p>
    <w:p>
      <w:pPr>
        <w:pStyle w:val="Heading3"/>
      </w:pPr>
      <w:r>
        <w:t>Dependencies and integration</w:t>
      </w:r>
    </w:p>
    <w:p>
      <w:pPr>
        <w:pStyle w:val="ListBullet"/>
        <w:spacing w:after="40" w:line="259" w:lineRule="auto"/>
      </w:pPr>
      <w:r>
        <w:rPr>
          <w:rFonts w:ascii="Aptos" w:hAnsi="Aptos"/>
        </w:rPr>
        <w:t>CMP-020 Fee</w:t>
      </w:r>
    </w:p>
    <w:p>
      <w:pPr>
        <w:pStyle w:val="ListBullet"/>
        <w:spacing w:after="40" w:line="259" w:lineRule="auto"/>
      </w:pPr>
      <w:r>
        <w:rPr>
          <w:rFonts w:ascii="Aptos" w:hAnsi="Aptos"/>
        </w:rPr>
        <w:t>CMP-037 Integration Hub</w:t>
      </w:r>
    </w:p>
    <w:p>
      <w:pPr>
        <w:pStyle w:val="ListBullet"/>
        <w:spacing w:after="40" w:line="259" w:lineRule="auto"/>
      </w:pPr>
      <w:r>
        <w:rPr>
          <w:rFonts w:ascii="Aptos" w:hAnsi="Aptos"/>
        </w:rPr>
        <w:t>CMP-016 Workflow</w:t>
      </w:r>
    </w:p>
    <w:p>
      <w:pPr>
        <w:pStyle w:val="ListBullet"/>
        <w:spacing w:after="40" w:line="259" w:lineRule="auto"/>
      </w:pPr>
      <w:r>
        <w:rPr>
          <w:rFonts w:ascii="Aptos" w:hAnsi="Aptos"/>
        </w:rPr>
        <w:t>CMP-015 Application</w:t>
      </w:r>
    </w:p>
    <w:p>
      <w:pPr>
        <w:pStyle w:val="Heading3"/>
      </w:pPr>
      <w:r>
        <w:t>Failure behavior and safeguards</w:t>
      </w:r>
    </w:p>
    <w:p>
      <w:pPr>
        <w:pStyle w:val="ListBullet"/>
        <w:spacing w:after="40" w:line="259" w:lineRule="auto"/>
      </w:pPr>
      <w:r>
        <w:rPr>
          <w:rFonts w:ascii="Aptos" w:hAnsi="Aptos"/>
        </w:rPr>
        <w:t>Duplicate callback</w:t>
      </w:r>
    </w:p>
    <w:p>
      <w:pPr>
        <w:pStyle w:val="ListBullet"/>
        <w:spacing w:after="40" w:line="259" w:lineRule="auto"/>
      </w:pPr>
      <w:r>
        <w:rPr>
          <w:rFonts w:ascii="Aptos" w:hAnsi="Aptos"/>
        </w:rPr>
        <w:t>Timeout with unknown provider outcome</w:t>
      </w:r>
    </w:p>
    <w:p>
      <w:pPr>
        <w:pStyle w:val="ListBullet"/>
        <w:spacing w:after="40" w:line="259" w:lineRule="auto"/>
      </w:pPr>
      <w:r>
        <w:rPr>
          <w:rFonts w:ascii="Aptos" w:hAnsi="Aptos"/>
        </w:rPr>
        <w:t>Refund failure</w:t>
      </w:r>
    </w:p>
    <w:p>
      <w:pPr>
        <w:pStyle w:val="ListBullet"/>
        <w:spacing w:after="40" w:line="259" w:lineRule="auto"/>
      </w:pPr>
      <w:r>
        <w:rPr>
          <w:rFonts w:ascii="Aptos" w:hAnsi="Aptos"/>
        </w:rPr>
        <w:t>Amount mismatch</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CMP-022  Certificate / Credential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Generate and sign versioned certificates/licences/credentials from approved case data and tenant templates.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Credential tenant/service/version provenance immutable; signing authority verified with OPA/workflow task context.</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Generation asynchronous if PDF/signing slow; idempotent by credential issuance key.</w:t>
            </w:r>
          </w:p>
        </w:tc>
      </w:tr>
    </w:tbl>
    <w:p>
      <w:pPr>
        <w:spacing w:after="40"/>
      </w:pPr>
    </w:p>
    <w:p>
      <w:pPr>
        <w:pStyle w:val="Heading3"/>
      </w:pPr>
      <w:r>
        <w:t>Responsibilities</w:t>
      </w:r>
    </w:p>
    <w:p>
      <w:pPr>
        <w:pStyle w:val="ListBullet"/>
        <w:spacing w:after="40" w:line="259" w:lineRule="auto"/>
      </w:pPr>
      <w:r>
        <w:rPr>
          <w:rFonts w:ascii="Aptos" w:hAnsi="Aptos"/>
        </w:rPr>
        <w:t>Credential data assembly</w:t>
      </w:r>
    </w:p>
    <w:p>
      <w:pPr>
        <w:pStyle w:val="ListBullet"/>
        <w:spacing w:after="40" w:line="259" w:lineRule="auto"/>
      </w:pPr>
      <w:r>
        <w:rPr>
          <w:rFonts w:ascii="Aptos" w:hAnsi="Aptos"/>
        </w:rPr>
        <w:t>Template rendering</w:t>
      </w:r>
    </w:p>
    <w:p>
      <w:pPr>
        <w:pStyle w:val="ListBullet"/>
        <w:spacing w:after="40" w:line="259" w:lineRule="auto"/>
      </w:pPr>
      <w:r>
        <w:rPr>
          <w:rFonts w:ascii="Aptos" w:hAnsi="Aptos"/>
        </w:rPr>
        <w:t>Signing/eSign integration</w:t>
      </w:r>
    </w:p>
    <w:p>
      <w:pPr>
        <w:pStyle w:val="ListBullet"/>
        <w:spacing w:after="40" w:line="259" w:lineRule="auto"/>
      </w:pPr>
      <w:r>
        <w:rPr>
          <w:rFonts w:ascii="Aptos" w:hAnsi="Aptos"/>
        </w:rPr>
        <w:t>PDF/VC generation</w:t>
      </w:r>
    </w:p>
    <w:p>
      <w:pPr>
        <w:pStyle w:val="ListBullet"/>
        <w:spacing w:after="40" w:line="259" w:lineRule="auto"/>
      </w:pPr>
      <w:r>
        <w:rPr>
          <w:rFonts w:ascii="Aptos" w:hAnsi="Aptos"/>
        </w:rPr>
        <w:t>Issuance event</w:t>
      </w:r>
    </w:p>
    <w:p>
      <w:pPr>
        <w:pStyle w:val="Heading3"/>
      </w:pPr>
      <w:r>
        <w:t>Explicit non-responsibilities</w:t>
      </w:r>
    </w:p>
    <w:p>
      <w:pPr>
        <w:pStyle w:val="ListBullet"/>
        <w:spacing w:after="40" w:line="259" w:lineRule="auto"/>
      </w:pPr>
      <w:r>
        <w:rPr>
          <w:rFonts w:ascii="Aptos" w:hAnsi="Aptos"/>
        </w:rPr>
        <w:t>Does not approve application</w:t>
      </w:r>
    </w:p>
    <w:p>
      <w:pPr>
        <w:pStyle w:val="ListBullet"/>
        <w:spacing w:after="40" w:line="259" w:lineRule="auto"/>
      </w:pPr>
      <w:r>
        <w:rPr>
          <w:rFonts w:ascii="Aptos" w:hAnsi="Aptos"/>
        </w:rPr>
        <w:t>Does not make signatory authorization decision alone</w:t>
      </w:r>
    </w:p>
    <w:p>
      <w:pPr>
        <w:pStyle w:val="ListBullet"/>
        <w:spacing w:after="40" w:line="259" w:lineRule="auto"/>
      </w:pPr>
      <w:r>
        <w:rPr>
          <w:rFonts w:ascii="Aptos" w:hAnsi="Aptos"/>
        </w:rPr>
        <w:t>Does not store binary solely in DB</w:t>
      </w:r>
    </w:p>
    <w:p>
      <w:pPr>
        <w:pStyle w:val="Heading3"/>
      </w:pPr>
      <w:r>
        <w:t>Authoritative data / state</w:t>
      </w:r>
    </w:p>
    <w:p>
      <w:pPr>
        <w:pStyle w:val="ListBullet"/>
        <w:spacing w:after="40" w:line="259" w:lineRule="auto"/>
      </w:pPr>
      <w:r>
        <w:rPr>
          <w:rFonts w:ascii="Aptos" w:hAnsi="Aptos"/>
        </w:rPr>
        <w:t>credential</w:t>
      </w:r>
    </w:p>
    <w:p>
      <w:pPr>
        <w:pStyle w:val="ListBullet"/>
        <w:spacing w:after="40" w:line="259" w:lineRule="auto"/>
      </w:pPr>
      <w:r>
        <w:rPr>
          <w:rFonts w:ascii="Aptos" w:hAnsi="Aptos"/>
        </w:rPr>
        <w:t>credential_version</w:t>
      </w:r>
    </w:p>
    <w:p>
      <w:pPr>
        <w:pStyle w:val="ListBullet"/>
        <w:spacing w:after="40" w:line="259" w:lineRule="auto"/>
      </w:pPr>
      <w:r>
        <w:rPr>
          <w:rFonts w:ascii="Aptos" w:hAnsi="Aptos"/>
        </w:rPr>
        <w:t>credential_template_binding</w:t>
      </w:r>
    </w:p>
    <w:p>
      <w:pPr>
        <w:pStyle w:val="ListBullet"/>
        <w:spacing w:after="40" w:line="259" w:lineRule="auto"/>
      </w:pPr>
      <w:r>
        <w:rPr>
          <w:rFonts w:ascii="Aptos" w:hAnsi="Aptos"/>
        </w:rPr>
        <w:t>signing_record</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/applications/{id}/credentials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/credentials/{id}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/credentials/{id}/sign</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CredentialGenerated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CredentialSigned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CredentialIssued</w:t>
            </w:r>
          </w:p>
        </w:tc>
      </w:tr>
    </w:tbl>
    <w:p>
      <w:pPr>
        <w:spacing w:after="40"/>
      </w:pPr>
    </w:p>
    <w:p>
      <w:pPr>
        <w:pStyle w:val="Heading3"/>
      </w:pPr>
      <w:r>
        <w:t>Dependencies and integration</w:t>
      </w:r>
    </w:p>
    <w:p>
      <w:pPr>
        <w:pStyle w:val="ListBullet"/>
        <w:spacing w:after="40" w:line="259" w:lineRule="auto"/>
      </w:pPr>
      <w:r>
        <w:rPr>
          <w:rFonts w:ascii="Aptos" w:hAnsi="Aptos"/>
        </w:rPr>
        <w:t>CMP-024 Registry</w:t>
      </w:r>
    </w:p>
    <w:p>
      <w:pPr>
        <w:pStyle w:val="ListBullet"/>
        <w:spacing w:after="40" w:line="259" w:lineRule="auto"/>
      </w:pPr>
      <w:r>
        <w:rPr>
          <w:rFonts w:ascii="Aptos" w:hAnsi="Aptos"/>
        </w:rPr>
        <w:t>CMP-023 QR</w:t>
      </w:r>
    </w:p>
    <w:p>
      <w:pPr>
        <w:pStyle w:val="ListBullet"/>
        <w:spacing w:after="40" w:line="259" w:lineRule="auto"/>
      </w:pPr>
      <w:r>
        <w:rPr>
          <w:rFonts w:ascii="Aptos" w:hAnsi="Aptos"/>
        </w:rPr>
        <w:t>CMP-032 Storage</w:t>
      </w:r>
    </w:p>
    <w:p>
      <w:pPr>
        <w:pStyle w:val="ListBullet"/>
        <w:spacing w:after="40" w:line="259" w:lineRule="auto"/>
      </w:pPr>
      <w:r>
        <w:rPr>
          <w:rFonts w:ascii="Aptos" w:hAnsi="Aptos"/>
        </w:rPr>
        <w:t>CMP-037 Integration Hub</w:t>
      </w:r>
    </w:p>
    <w:p>
      <w:pPr>
        <w:pStyle w:val="Heading3"/>
      </w:pPr>
      <w:r>
        <w:t>Failure behavior and safeguards</w:t>
      </w:r>
    </w:p>
    <w:p>
      <w:pPr>
        <w:pStyle w:val="ListBullet"/>
        <w:spacing w:after="40" w:line="259" w:lineRule="auto"/>
      </w:pPr>
      <w:r>
        <w:rPr>
          <w:rFonts w:ascii="Aptos" w:hAnsi="Aptos"/>
        </w:rPr>
        <w:t>Signing provider unavailable</w:t>
      </w:r>
    </w:p>
    <w:p>
      <w:pPr>
        <w:pStyle w:val="ListBullet"/>
        <w:spacing w:after="40" w:line="259" w:lineRule="auto"/>
      </w:pPr>
      <w:r>
        <w:rPr>
          <w:rFonts w:ascii="Aptos" w:hAnsi="Aptos"/>
        </w:rPr>
        <w:t>Template mismatch</w:t>
      </w:r>
    </w:p>
    <w:p>
      <w:pPr>
        <w:pStyle w:val="ListBullet"/>
        <w:spacing w:after="40" w:line="259" w:lineRule="auto"/>
      </w:pPr>
      <w:r>
        <w:rPr>
          <w:rFonts w:ascii="Aptos" w:hAnsi="Aptos"/>
        </w:rPr>
        <w:t>Duplicate issuance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CMP-023  QR Verification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Public Verification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Expose privacy-minimized verification of issued credentials using QR/token references.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Public response is purpose-minimized; tenant/issuer provenance shown without exposing hidden data.</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Highly cacheable read path with revocation freshness controls.</w:t>
            </w:r>
          </w:p>
        </w:tc>
      </w:tr>
    </w:tbl>
    <w:p>
      <w:pPr>
        <w:spacing w:after="40"/>
      </w:pPr>
    </w:p>
    <w:p>
      <w:pPr>
        <w:pStyle w:val="Heading3"/>
      </w:pPr>
      <w:r>
        <w:t>Responsibilities</w:t>
      </w:r>
    </w:p>
    <w:p>
      <w:pPr>
        <w:pStyle w:val="ListBullet"/>
        <w:spacing w:after="40" w:line="259" w:lineRule="auto"/>
      </w:pPr>
      <w:r>
        <w:rPr>
          <w:rFonts w:ascii="Aptos" w:hAnsi="Aptos"/>
        </w:rPr>
        <w:t>QR token generation</w:t>
      </w:r>
    </w:p>
    <w:p>
      <w:pPr>
        <w:pStyle w:val="ListBullet"/>
        <w:spacing w:after="40" w:line="259" w:lineRule="auto"/>
      </w:pPr>
      <w:r>
        <w:rPr>
          <w:rFonts w:ascii="Aptos" w:hAnsi="Aptos"/>
        </w:rPr>
        <w:t>Public verification endpoint</w:t>
      </w:r>
    </w:p>
    <w:p>
      <w:pPr>
        <w:pStyle w:val="ListBullet"/>
        <w:spacing w:after="40" w:line="259" w:lineRule="auto"/>
      </w:pPr>
      <w:r>
        <w:rPr>
          <w:rFonts w:ascii="Aptos" w:hAnsi="Aptos"/>
        </w:rPr>
        <w:t>Status/issuer display</w:t>
      </w:r>
    </w:p>
    <w:p>
      <w:pPr>
        <w:pStyle w:val="ListBullet"/>
        <w:spacing w:after="40" w:line="259" w:lineRule="auto"/>
      </w:pPr>
      <w:r>
        <w:rPr>
          <w:rFonts w:ascii="Aptos" w:hAnsi="Aptos"/>
        </w:rPr>
        <w:t>Revocation/expiry lookup</w:t>
      </w:r>
    </w:p>
    <w:p>
      <w:pPr>
        <w:pStyle w:val="Heading3"/>
      </w:pPr>
      <w:r>
        <w:t>Explicit non-responsibilities</w:t>
      </w:r>
    </w:p>
    <w:p>
      <w:pPr>
        <w:pStyle w:val="ListBullet"/>
        <w:spacing w:after="40" w:line="259" w:lineRule="auto"/>
      </w:pPr>
      <w:r>
        <w:rPr>
          <w:rFonts w:ascii="Aptos" w:hAnsi="Aptos"/>
        </w:rPr>
        <w:t>Does not expose full citizen record</w:t>
      </w:r>
    </w:p>
    <w:p>
      <w:pPr>
        <w:pStyle w:val="ListBullet"/>
        <w:spacing w:after="40" w:line="259" w:lineRule="auto"/>
      </w:pPr>
      <w:r>
        <w:rPr>
          <w:rFonts w:ascii="Aptos" w:hAnsi="Aptos"/>
        </w:rPr>
        <w:t>Does not depend on mutable application data for historical verification</w:t>
      </w:r>
    </w:p>
    <w:p>
      <w:pPr>
        <w:pStyle w:val="Heading3"/>
      </w:pPr>
      <w:r>
        <w:t>Authoritative data / state</w:t>
      </w:r>
    </w:p>
    <w:p>
      <w:pPr>
        <w:pStyle w:val="ListBullet"/>
        <w:spacing w:after="40" w:line="259" w:lineRule="auto"/>
      </w:pPr>
      <w:r>
        <w:rPr>
          <w:rFonts w:ascii="Aptos" w:hAnsi="Aptos"/>
        </w:rPr>
        <w:t>verification_token</w:t>
      </w:r>
    </w:p>
    <w:p>
      <w:pPr>
        <w:pStyle w:val="ListBullet"/>
        <w:spacing w:after="40" w:line="259" w:lineRule="auto"/>
      </w:pPr>
      <w:r>
        <w:rPr>
          <w:rFonts w:ascii="Aptos" w:hAnsi="Aptos"/>
        </w:rPr>
        <w:t>verification_audit</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/verify/{token}</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/verify/batch</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CredentialVerified</w:t>
            </w:r>
          </w:p>
        </w:tc>
      </w:tr>
    </w:tbl>
    <w:p>
      <w:pPr>
        <w:spacing w:after="40"/>
      </w:pPr>
    </w:p>
    <w:p>
      <w:pPr>
        <w:pStyle w:val="Heading3"/>
      </w:pPr>
      <w:r>
        <w:t>Dependencies and integration</w:t>
      </w:r>
    </w:p>
    <w:p>
      <w:pPr>
        <w:pStyle w:val="ListBullet"/>
        <w:spacing w:after="40" w:line="259" w:lineRule="auto"/>
      </w:pPr>
      <w:r>
        <w:rPr>
          <w:rFonts w:ascii="Aptos" w:hAnsi="Aptos"/>
        </w:rPr>
        <w:t>CMP-024 Registry</w:t>
      </w:r>
    </w:p>
    <w:p>
      <w:pPr>
        <w:pStyle w:val="ListBullet"/>
        <w:spacing w:after="40" w:line="259" w:lineRule="auto"/>
      </w:pPr>
      <w:r>
        <w:rPr>
          <w:rFonts w:ascii="Aptos" w:hAnsi="Aptos"/>
        </w:rPr>
        <w:t>CMP-022 Credential</w:t>
      </w:r>
    </w:p>
    <w:p>
      <w:pPr>
        <w:pStyle w:val="ListBullet"/>
        <w:spacing w:after="40" w:line="259" w:lineRule="auto"/>
      </w:pPr>
      <w:r>
        <w:rPr>
          <w:rFonts w:ascii="Aptos" w:hAnsi="Aptos"/>
        </w:rPr>
        <w:t>CMP-030 Privacy</w:t>
      </w:r>
    </w:p>
    <w:p>
      <w:pPr>
        <w:pStyle w:val="Heading3"/>
      </w:pPr>
      <w:r>
        <w:t>Failure behavior and safeguards</w:t>
      </w:r>
    </w:p>
    <w:p>
      <w:pPr>
        <w:pStyle w:val="ListBullet"/>
        <w:spacing w:after="40" w:line="259" w:lineRule="auto"/>
      </w:pPr>
      <w:r>
        <w:rPr>
          <w:rFonts w:ascii="Aptos" w:hAnsi="Aptos"/>
        </w:rPr>
        <w:t>Forged token</w:t>
      </w:r>
    </w:p>
    <w:p>
      <w:pPr>
        <w:pStyle w:val="ListBullet"/>
        <w:spacing w:after="40" w:line="259" w:lineRule="auto"/>
      </w:pPr>
      <w:r>
        <w:rPr>
          <w:rFonts w:ascii="Aptos" w:hAnsi="Aptos"/>
        </w:rPr>
        <w:t>Revoked credential</w:t>
      </w:r>
    </w:p>
    <w:p>
      <w:pPr>
        <w:pStyle w:val="ListBullet"/>
        <w:spacing w:after="40" w:line="259" w:lineRule="auto"/>
      </w:pPr>
      <w:r>
        <w:rPr>
          <w:rFonts w:ascii="Aptos" w:hAnsi="Aptos"/>
        </w:rPr>
        <w:t>Expired credential</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CMP-024  Credential Registry / Revocation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Authoritative Registry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Maintain issued credential status, revocation/suspension/reissue lineage and registry lookup.</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Tenant/issuer ownership enforced; revocation decisions audited and immutable.</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Public status reads must scale independently from write volume.</w:t>
            </w:r>
          </w:p>
        </w:tc>
      </w:tr>
    </w:tbl>
    <w:p>
      <w:pPr>
        <w:spacing w:after="40"/>
      </w:pPr>
    </w:p>
    <w:p>
      <w:pPr>
        <w:pStyle w:val="Heading3"/>
      </w:pPr>
      <w:r>
        <w:t>Responsibilities</w:t>
      </w:r>
    </w:p>
    <w:p>
      <w:pPr>
        <w:pStyle w:val="ListBullet"/>
        <w:spacing w:after="40" w:line="259" w:lineRule="auto"/>
      </w:pPr>
      <w:r>
        <w:rPr>
          <w:rFonts w:ascii="Aptos" w:hAnsi="Aptos"/>
        </w:rPr>
        <w:t>Credential status registry</w:t>
      </w:r>
    </w:p>
    <w:p>
      <w:pPr>
        <w:pStyle w:val="ListBullet"/>
        <w:spacing w:after="40" w:line="259" w:lineRule="auto"/>
      </w:pPr>
      <w:r>
        <w:rPr>
          <w:rFonts w:ascii="Aptos" w:hAnsi="Aptos"/>
        </w:rPr>
        <w:t>Revocation/suspension</w:t>
      </w:r>
    </w:p>
    <w:p>
      <w:pPr>
        <w:pStyle w:val="ListBullet"/>
        <w:spacing w:after="40" w:line="259" w:lineRule="auto"/>
      </w:pPr>
      <w:r>
        <w:rPr>
          <w:rFonts w:ascii="Aptos" w:hAnsi="Aptos"/>
        </w:rPr>
        <w:t>Reissue lineage</w:t>
      </w:r>
    </w:p>
    <w:p>
      <w:pPr>
        <w:pStyle w:val="ListBullet"/>
        <w:spacing w:after="40" w:line="259" w:lineRule="auto"/>
      </w:pPr>
      <w:r>
        <w:rPr>
          <w:rFonts w:ascii="Aptos" w:hAnsi="Aptos"/>
        </w:rPr>
        <w:t>Status history</w:t>
      </w:r>
    </w:p>
    <w:p>
      <w:pPr>
        <w:pStyle w:val="ListBullet"/>
        <w:spacing w:after="40" w:line="259" w:lineRule="auto"/>
      </w:pPr>
      <w:r>
        <w:rPr>
          <w:rFonts w:ascii="Aptos" w:hAnsi="Aptos"/>
        </w:rPr>
        <w:t>Registry query</w:t>
      </w:r>
    </w:p>
    <w:p>
      <w:pPr>
        <w:pStyle w:val="Heading3"/>
      </w:pPr>
      <w:r>
        <w:t>Explicit non-responsibilities</w:t>
      </w:r>
    </w:p>
    <w:p>
      <w:pPr>
        <w:pStyle w:val="ListBullet"/>
        <w:spacing w:after="40" w:line="259" w:lineRule="auto"/>
      </w:pPr>
      <w:r>
        <w:rPr>
          <w:rFonts w:ascii="Aptos" w:hAnsi="Aptos"/>
        </w:rPr>
        <w:t>Does not generate certificate content</w:t>
      </w:r>
    </w:p>
    <w:p>
      <w:pPr>
        <w:pStyle w:val="ListBullet"/>
        <w:spacing w:after="40" w:line="259" w:lineRule="auto"/>
      </w:pPr>
      <w:r>
        <w:rPr>
          <w:rFonts w:ascii="Aptos" w:hAnsi="Aptos"/>
        </w:rPr>
        <w:t>Does not accept revocation without authorized workflow</w:t>
      </w:r>
    </w:p>
    <w:p>
      <w:pPr>
        <w:pStyle w:val="Heading3"/>
      </w:pPr>
      <w:r>
        <w:t>Authoritative data / state</w:t>
      </w:r>
    </w:p>
    <w:p>
      <w:pPr>
        <w:pStyle w:val="ListBullet"/>
        <w:spacing w:after="40" w:line="259" w:lineRule="auto"/>
      </w:pPr>
      <w:r>
        <w:rPr>
          <w:rFonts w:ascii="Aptos" w:hAnsi="Aptos"/>
        </w:rPr>
        <w:t>credential_registry</w:t>
      </w:r>
    </w:p>
    <w:p>
      <w:pPr>
        <w:pStyle w:val="ListBullet"/>
        <w:spacing w:after="40" w:line="259" w:lineRule="auto"/>
      </w:pPr>
      <w:r>
        <w:rPr>
          <w:rFonts w:ascii="Aptos" w:hAnsi="Aptos"/>
        </w:rPr>
        <w:t>credential_status_history</w:t>
      </w:r>
    </w:p>
    <w:p>
      <w:pPr>
        <w:pStyle w:val="ListBullet"/>
        <w:spacing w:after="40" w:line="259" w:lineRule="auto"/>
      </w:pPr>
      <w:r>
        <w:rPr>
          <w:rFonts w:ascii="Aptos" w:hAnsi="Aptos"/>
        </w:rPr>
        <w:t>revocation_reason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/credential-registry/{id}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/credentials/{id}/revoke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/credentials/{id}/suspend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CredentialRegistered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CredentialRevoked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CredentialSuspended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CredentialReissued</w:t>
            </w:r>
          </w:p>
        </w:tc>
      </w:tr>
    </w:tbl>
    <w:p>
      <w:pPr>
        <w:spacing w:after="40"/>
      </w:pPr>
    </w:p>
    <w:p>
      <w:pPr>
        <w:pStyle w:val="Heading3"/>
      </w:pPr>
      <w:r>
        <w:t>Dependencies and integration</w:t>
      </w:r>
    </w:p>
    <w:p>
      <w:pPr>
        <w:pStyle w:val="ListBullet"/>
        <w:spacing w:after="40" w:line="259" w:lineRule="auto"/>
      </w:pPr>
      <w:r>
        <w:rPr>
          <w:rFonts w:ascii="Aptos" w:hAnsi="Aptos"/>
        </w:rPr>
        <w:t>CMP-022 Credential</w:t>
      </w:r>
    </w:p>
    <w:p>
      <w:pPr>
        <w:pStyle w:val="ListBullet"/>
        <w:spacing w:after="40" w:line="259" w:lineRule="auto"/>
      </w:pPr>
      <w:r>
        <w:rPr>
          <w:rFonts w:ascii="Aptos" w:hAnsi="Aptos"/>
        </w:rPr>
        <w:t>CMP-023 QR</w:t>
      </w:r>
    </w:p>
    <w:p>
      <w:pPr>
        <w:pStyle w:val="ListBullet"/>
        <w:spacing w:after="40" w:line="259" w:lineRule="auto"/>
      </w:pPr>
      <w:r>
        <w:rPr>
          <w:rFonts w:ascii="Aptos" w:hAnsi="Aptos"/>
        </w:rPr>
        <w:t>CMP-012 DigiLocker</w:t>
      </w:r>
    </w:p>
    <w:p>
      <w:pPr>
        <w:pStyle w:val="ListBullet"/>
        <w:spacing w:after="40" w:line="259" w:lineRule="auto"/>
      </w:pPr>
      <w:r>
        <w:rPr>
          <w:rFonts w:ascii="Aptos" w:hAnsi="Aptos"/>
        </w:rPr>
        <w:t>OPA</w:t>
      </w:r>
    </w:p>
    <w:p>
      <w:pPr>
        <w:pStyle w:val="Heading3"/>
      </w:pPr>
      <w:r>
        <w:t>Failure behavior and safeguards</w:t>
      </w:r>
    </w:p>
    <w:p>
      <w:pPr>
        <w:pStyle w:val="ListBullet"/>
        <w:spacing w:after="40" w:line="259" w:lineRule="auto"/>
      </w:pPr>
      <w:r>
        <w:rPr>
          <w:rFonts w:ascii="Aptos" w:hAnsi="Aptos"/>
        </w:rPr>
        <w:t>Unauthorized revocation</w:t>
      </w:r>
    </w:p>
    <w:p>
      <w:pPr>
        <w:pStyle w:val="ListBullet"/>
        <w:spacing w:after="40" w:line="259" w:lineRule="auto"/>
      </w:pPr>
      <w:r>
        <w:rPr>
          <w:rFonts w:ascii="Aptos" w:hAnsi="Aptos"/>
        </w:rPr>
        <w:t>Duplicate reissue</w:t>
      </w:r>
    </w:p>
    <w:p>
      <w:pPr>
        <w:pStyle w:val="ListBullet"/>
        <w:spacing w:after="40" w:line="259" w:lineRule="auto"/>
      </w:pPr>
      <w:r>
        <w:rPr>
          <w:rFonts w:ascii="Aptos" w:hAnsi="Aptos"/>
        </w:rPr>
        <w:t>Registry propagation lag</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CMP-025  Notification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Platform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Deliver transactional notifications across SMS/email/push with templates, retries and delivery tracking.</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Tenant/service templates versioned; provider credentials tenant/cell scoped where required.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Fully async; provider failure never blocks application transaction.</w:t>
            </w:r>
          </w:p>
        </w:tc>
      </w:tr>
    </w:tbl>
    <w:p>
      <w:pPr>
        <w:spacing w:after="40"/>
      </w:pPr>
    </w:p>
    <w:p>
      <w:pPr>
        <w:pStyle w:val="Heading3"/>
      </w:pPr>
      <w:r>
        <w:t>Responsibilities</w:t>
      </w:r>
    </w:p>
    <w:p>
      <w:pPr>
        <w:pStyle w:val="ListBullet"/>
        <w:spacing w:after="40" w:line="259" w:lineRule="auto"/>
      </w:pPr>
      <w:r>
        <w:rPr>
          <w:rFonts w:ascii="Aptos" w:hAnsi="Aptos"/>
        </w:rPr>
        <w:t>Template rendering</w:t>
      </w:r>
    </w:p>
    <w:p>
      <w:pPr>
        <w:pStyle w:val="ListBullet"/>
        <w:spacing w:after="40" w:line="259" w:lineRule="auto"/>
      </w:pPr>
      <w:r>
        <w:rPr>
          <w:rFonts w:ascii="Aptos" w:hAnsi="Aptos"/>
        </w:rPr>
        <w:t>Channel routing</w:t>
      </w:r>
    </w:p>
    <w:p>
      <w:pPr>
        <w:pStyle w:val="ListBullet"/>
        <w:spacing w:after="40" w:line="259" w:lineRule="auto"/>
      </w:pPr>
      <w:r>
        <w:rPr>
          <w:rFonts w:ascii="Aptos" w:hAnsi="Aptos"/>
        </w:rPr>
        <w:t>Provider adapter invocation</w:t>
      </w:r>
    </w:p>
    <w:p>
      <w:pPr>
        <w:pStyle w:val="ListBullet"/>
        <w:spacing w:after="40" w:line="259" w:lineRule="auto"/>
      </w:pPr>
      <w:r>
        <w:rPr>
          <w:rFonts w:ascii="Aptos" w:hAnsi="Aptos"/>
        </w:rPr>
        <w:t>Retry/DLQ</w:t>
      </w:r>
    </w:p>
    <w:p>
      <w:pPr>
        <w:pStyle w:val="ListBullet"/>
        <w:spacing w:after="40" w:line="259" w:lineRule="auto"/>
      </w:pPr>
      <w:r>
        <w:rPr>
          <w:rFonts w:ascii="Aptos" w:hAnsi="Aptos"/>
        </w:rPr>
        <w:t>Delivery status</w:t>
      </w:r>
    </w:p>
    <w:p>
      <w:pPr>
        <w:pStyle w:val="Heading3"/>
      </w:pPr>
      <w:r>
        <w:t>Explicit non-responsibilities</w:t>
      </w:r>
    </w:p>
    <w:p>
      <w:pPr>
        <w:pStyle w:val="ListBullet"/>
        <w:spacing w:after="40" w:line="259" w:lineRule="auto"/>
      </w:pPr>
      <w:r>
        <w:rPr>
          <w:rFonts w:ascii="Aptos" w:hAnsi="Aptos"/>
        </w:rPr>
        <w:t>Does not own conversational case messaging</w:t>
      </w:r>
    </w:p>
    <w:p>
      <w:pPr>
        <w:pStyle w:val="ListBullet"/>
        <w:spacing w:after="40" w:line="259" w:lineRule="auto"/>
      </w:pPr>
      <w:r>
        <w:rPr>
          <w:rFonts w:ascii="Aptos" w:hAnsi="Aptos"/>
        </w:rPr>
        <w:t>Does not contain business decisions</w:t>
      </w:r>
    </w:p>
    <w:p>
      <w:pPr>
        <w:pStyle w:val="ListBullet"/>
        <w:spacing w:after="40" w:line="259" w:lineRule="auto"/>
      </w:pPr>
      <w:r>
        <w:rPr>
          <w:rFonts w:ascii="Aptos" w:hAnsi="Aptos"/>
        </w:rPr>
        <w:t>Does not log full PII payloads</w:t>
      </w:r>
    </w:p>
    <w:p>
      <w:pPr>
        <w:pStyle w:val="Heading3"/>
      </w:pPr>
      <w:r>
        <w:t>Authoritative data / state</w:t>
      </w:r>
    </w:p>
    <w:p>
      <w:pPr>
        <w:pStyle w:val="ListBullet"/>
        <w:spacing w:after="40" w:line="259" w:lineRule="auto"/>
      </w:pPr>
      <w:r>
        <w:rPr>
          <w:rFonts w:ascii="Aptos" w:hAnsi="Aptos"/>
        </w:rPr>
        <w:t>notification</w:t>
      </w:r>
    </w:p>
    <w:p>
      <w:pPr>
        <w:pStyle w:val="ListBullet"/>
        <w:spacing w:after="40" w:line="259" w:lineRule="auto"/>
      </w:pPr>
      <w:r>
        <w:rPr>
          <w:rFonts w:ascii="Aptos" w:hAnsi="Aptos"/>
        </w:rPr>
        <w:t>notification_attempt</w:t>
      </w:r>
    </w:p>
    <w:p>
      <w:pPr>
        <w:pStyle w:val="ListBullet"/>
        <w:spacing w:after="40" w:line="259" w:lineRule="auto"/>
      </w:pPr>
      <w:r>
        <w:rPr>
          <w:rFonts w:ascii="Aptos" w:hAnsi="Aptos"/>
        </w:rPr>
        <w:t>notification_template_ref</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/notifications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/notifications/{id}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/notifications/{id}/retry</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NotificationRequested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NotificationSent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NotificationFailed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NotificationDelivered</w:t>
            </w:r>
          </w:p>
        </w:tc>
      </w:tr>
    </w:tbl>
    <w:p>
      <w:pPr>
        <w:spacing w:after="40"/>
      </w:pPr>
    </w:p>
    <w:p>
      <w:pPr>
        <w:pStyle w:val="Heading3"/>
      </w:pPr>
      <w:r>
        <w:t>Dependencies and integration</w:t>
      </w:r>
    </w:p>
    <w:p>
      <w:pPr>
        <w:pStyle w:val="ListBullet"/>
        <w:spacing w:after="40" w:line="259" w:lineRule="auto"/>
      </w:pPr>
      <w:r>
        <w:rPr>
          <w:rFonts w:ascii="Aptos" w:hAnsi="Aptos"/>
        </w:rPr>
        <w:t>CMP-037 Integration Hub</w:t>
      </w:r>
    </w:p>
    <w:p>
      <w:pPr>
        <w:pStyle w:val="ListBullet"/>
        <w:spacing w:after="40" w:line="259" w:lineRule="auto"/>
      </w:pPr>
      <w:r>
        <w:rPr>
          <w:rFonts w:ascii="Aptos" w:hAnsi="Aptos"/>
        </w:rPr>
        <w:t>CMP-053 Localization</w:t>
      </w:r>
    </w:p>
    <w:p>
      <w:pPr>
        <w:pStyle w:val="ListBullet"/>
        <w:spacing w:after="40" w:line="259" w:lineRule="auto"/>
      </w:pPr>
      <w:r>
        <w:rPr>
          <w:rFonts w:ascii="Aptos" w:hAnsi="Aptos"/>
        </w:rPr>
        <w:t>CMP-038 Events</w:t>
      </w:r>
    </w:p>
    <w:p>
      <w:pPr>
        <w:pStyle w:val="Heading3"/>
      </w:pPr>
      <w:r>
        <w:t>Failure behavior and safeguards</w:t>
      </w:r>
    </w:p>
    <w:p>
      <w:pPr>
        <w:pStyle w:val="ListBullet"/>
        <w:spacing w:after="40" w:line="259" w:lineRule="auto"/>
      </w:pPr>
      <w:r>
        <w:rPr>
          <w:rFonts w:ascii="Aptos" w:hAnsi="Aptos"/>
        </w:rPr>
        <w:t>Provider outage</w:t>
      </w:r>
    </w:p>
    <w:p>
      <w:pPr>
        <w:pStyle w:val="ListBullet"/>
        <w:spacing w:after="40" w:line="259" w:lineRule="auto"/>
      </w:pPr>
      <w:r>
        <w:rPr>
          <w:rFonts w:ascii="Aptos" w:hAnsi="Aptos"/>
        </w:rPr>
        <w:t>Invalid destination</w:t>
      </w:r>
    </w:p>
    <w:p>
      <w:pPr>
        <w:pStyle w:val="ListBullet"/>
        <w:spacing w:after="40" w:line="259" w:lineRule="auto"/>
      </w:pPr>
      <w:r>
        <w:rPr>
          <w:rFonts w:ascii="Aptos" w:hAnsi="Aptos"/>
        </w:rPr>
        <w:t>Duplicate send</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CMP-026  Communication / Messaging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Experience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auditable two-way application-related communication threads between citizen and authorized officials.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Participants derived from case and authorization context; no cross-tenant thread access.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Messages asynchronous for external channel fanout; in-app read path low latency.</w:t>
            </w:r>
          </w:p>
        </w:tc>
      </w:tr>
    </w:tbl>
    <w:p>
      <w:pPr>
        <w:spacing w:after="40"/>
      </w:pPr>
    </w:p>
    <w:p>
      <w:pPr>
        <w:pStyle w:val="Heading3"/>
      </w:pPr>
      <w:r>
        <w:t>Responsibilities</w:t>
      </w:r>
    </w:p>
    <w:p>
      <w:pPr>
        <w:pStyle w:val="ListBullet"/>
        <w:spacing w:after="40" w:line="259" w:lineRule="auto"/>
      </w:pPr>
      <w:r>
        <w:rPr>
          <w:rFonts w:ascii="Aptos" w:hAnsi="Aptos"/>
        </w:rPr>
        <w:t>Conversation/thread</w:t>
      </w:r>
    </w:p>
    <w:p>
      <w:pPr>
        <w:pStyle w:val="ListBullet"/>
        <w:spacing w:after="40" w:line="259" w:lineRule="auto"/>
      </w:pPr>
      <w:r>
        <w:rPr>
          <w:rFonts w:ascii="Aptos" w:hAnsi="Aptos"/>
        </w:rPr>
        <w:t>Message send/read</w:t>
      </w:r>
    </w:p>
    <w:p>
      <w:pPr>
        <w:pStyle w:val="ListBullet"/>
        <w:spacing w:after="40" w:line="259" w:lineRule="auto"/>
      </w:pPr>
      <w:r>
        <w:rPr>
          <w:rFonts w:ascii="Aptos" w:hAnsi="Aptos"/>
        </w:rPr>
        <w:t>Attachment references</w:t>
      </w:r>
    </w:p>
    <w:p>
      <w:pPr>
        <w:pStyle w:val="ListBullet"/>
        <w:spacing w:after="40" w:line="259" w:lineRule="auto"/>
      </w:pPr>
      <w:r>
        <w:rPr>
          <w:rFonts w:ascii="Aptos" w:hAnsi="Aptos"/>
        </w:rPr>
        <w:t>Participant controls</w:t>
      </w:r>
    </w:p>
    <w:p>
      <w:pPr>
        <w:pStyle w:val="ListBullet"/>
        <w:spacing w:after="40" w:line="259" w:lineRule="auto"/>
      </w:pPr>
      <w:r>
        <w:rPr>
          <w:rFonts w:ascii="Aptos" w:hAnsi="Aptos"/>
        </w:rPr>
        <w:t>Moderation/audit hooks</w:t>
      </w:r>
    </w:p>
    <w:p>
      <w:pPr>
        <w:pStyle w:val="Heading3"/>
      </w:pPr>
      <w:r>
        <w:t>Explicit non-responsibilities</w:t>
      </w:r>
    </w:p>
    <w:p>
      <w:pPr>
        <w:pStyle w:val="ListBullet"/>
        <w:spacing w:after="40" w:line="259" w:lineRule="auto"/>
      </w:pPr>
      <w:r>
        <w:rPr>
          <w:rFonts w:ascii="Aptos" w:hAnsi="Aptos"/>
        </w:rPr>
        <w:t>Does not replace formal deficiency notices</w:t>
      </w:r>
    </w:p>
    <w:p>
      <w:pPr>
        <w:pStyle w:val="ListBullet"/>
        <w:spacing w:after="40" w:line="259" w:lineRule="auto"/>
      </w:pPr>
      <w:r>
        <w:rPr>
          <w:rFonts w:ascii="Aptos" w:hAnsi="Aptos"/>
        </w:rPr>
        <w:t>Does not expose officer direct contact data unless policy allows</w:t>
      </w:r>
    </w:p>
    <w:p>
      <w:pPr>
        <w:pStyle w:val="Heading3"/>
      </w:pPr>
      <w:r>
        <w:t>Authoritative data / state</w:t>
      </w:r>
    </w:p>
    <w:p>
      <w:pPr>
        <w:pStyle w:val="ListBullet"/>
        <w:spacing w:after="40" w:line="259" w:lineRule="auto"/>
      </w:pPr>
      <w:r>
        <w:rPr>
          <w:rFonts w:ascii="Aptos" w:hAnsi="Aptos"/>
        </w:rPr>
        <w:t>conversation</w:t>
      </w:r>
    </w:p>
    <w:p>
      <w:pPr>
        <w:pStyle w:val="ListBullet"/>
        <w:spacing w:after="40" w:line="259" w:lineRule="auto"/>
      </w:pPr>
      <w:r>
        <w:rPr>
          <w:rFonts w:ascii="Aptos" w:hAnsi="Aptos"/>
        </w:rPr>
        <w:t>message</w:t>
      </w:r>
    </w:p>
    <w:p>
      <w:pPr>
        <w:pStyle w:val="ListBullet"/>
        <w:spacing w:after="40" w:line="259" w:lineRule="auto"/>
      </w:pPr>
      <w:r>
        <w:rPr>
          <w:rFonts w:ascii="Aptos" w:hAnsi="Aptos"/>
        </w:rPr>
        <w:t>message_attachment</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/applications/{id}/messages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/applications/{id}/messages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MessagePosted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MessageRead</w:t>
            </w:r>
          </w:p>
        </w:tc>
      </w:tr>
    </w:tbl>
    <w:p>
      <w:pPr>
        <w:spacing w:after="40"/>
      </w:pPr>
    </w:p>
    <w:p>
      <w:pPr>
        <w:pStyle w:val="Heading3"/>
      </w:pPr>
      <w:r>
        <w:t>Dependencies and integration</w:t>
      </w:r>
    </w:p>
    <w:p>
      <w:pPr>
        <w:pStyle w:val="ListBullet"/>
        <w:spacing w:after="40" w:line="259" w:lineRule="auto"/>
      </w:pPr>
      <w:r>
        <w:rPr>
          <w:rFonts w:ascii="Aptos" w:hAnsi="Aptos"/>
        </w:rPr>
        <w:t>CMP-015 Application</w:t>
      </w:r>
    </w:p>
    <w:p>
      <w:pPr>
        <w:pStyle w:val="ListBullet"/>
        <w:spacing w:after="40" w:line="259" w:lineRule="auto"/>
      </w:pPr>
      <w:r>
        <w:rPr>
          <w:rFonts w:ascii="Aptos" w:hAnsi="Aptos"/>
        </w:rPr>
        <w:t>CMP-004 Identity</w:t>
      </w:r>
    </w:p>
    <w:p>
      <w:pPr>
        <w:pStyle w:val="ListBullet"/>
        <w:spacing w:after="40" w:line="259" w:lineRule="auto"/>
      </w:pPr>
      <w:r>
        <w:rPr>
          <w:rFonts w:ascii="Aptos" w:hAnsi="Aptos"/>
        </w:rPr>
        <w:t>CMP-013 Upload</w:t>
      </w:r>
    </w:p>
    <w:p>
      <w:pPr>
        <w:pStyle w:val="ListBullet"/>
        <w:spacing w:after="40" w:line="259" w:lineRule="auto"/>
      </w:pPr>
      <w:r>
        <w:rPr>
          <w:rFonts w:ascii="Aptos" w:hAnsi="Aptos"/>
        </w:rPr>
        <w:t>CMP-031 Audit</w:t>
      </w:r>
    </w:p>
    <w:p>
      <w:pPr>
        <w:pStyle w:val="Heading3"/>
      </w:pPr>
      <w:r>
        <w:t>Failure behavior and safeguards</w:t>
      </w:r>
    </w:p>
    <w:p>
      <w:pPr>
        <w:pStyle w:val="ListBullet"/>
        <w:spacing w:after="40" w:line="259" w:lineRule="auto"/>
      </w:pPr>
      <w:r>
        <w:rPr>
          <w:rFonts w:ascii="Aptos" w:hAnsi="Aptos"/>
        </w:rPr>
        <w:t>Unauthorized participant</w:t>
      </w:r>
    </w:p>
    <w:p>
      <w:pPr>
        <w:pStyle w:val="ListBullet"/>
        <w:spacing w:after="40" w:line="259" w:lineRule="auto"/>
      </w:pPr>
      <w:r>
        <w:rPr>
          <w:rFonts w:ascii="Aptos" w:hAnsi="Aptos"/>
        </w:rPr>
        <w:t>Attachment blocked</w:t>
      </w:r>
    </w:p>
    <w:p>
      <w:pPr>
        <w:pStyle w:val="ListBullet"/>
        <w:spacing w:after="40" w:line="259" w:lineRule="auto"/>
      </w:pPr>
      <w:r>
        <w:rPr>
          <w:rFonts w:ascii="Aptos" w:hAnsi="Aptos"/>
        </w:rPr>
        <w:t>Message retention policy</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CMP-027  Grievance &amp; Feedback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Capture service-related grievance, complaint and feedback with configurable routing and resolution workflow.</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Tenant/service scoped with optional central oversight based on policy.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Queues and analytics separate from primary application hot path.</w:t>
            </w:r>
          </w:p>
        </w:tc>
      </w:tr>
    </w:tbl>
    <w:p>
      <w:pPr>
        <w:spacing w:after="40"/>
      </w:pPr>
    </w:p>
    <w:p>
      <w:pPr>
        <w:pStyle w:val="Heading3"/>
      </w:pPr>
      <w:r>
        <w:t>Responsibilities</w:t>
      </w:r>
    </w:p>
    <w:p>
      <w:pPr>
        <w:pStyle w:val="ListBullet"/>
        <w:spacing w:after="40" w:line="259" w:lineRule="auto"/>
      </w:pPr>
      <w:r>
        <w:rPr>
          <w:rFonts w:ascii="Aptos" w:hAnsi="Aptos"/>
        </w:rPr>
        <w:t>Grievance submission</w:t>
      </w:r>
    </w:p>
    <w:p>
      <w:pPr>
        <w:pStyle w:val="ListBullet"/>
        <w:spacing w:after="40" w:line="259" w:lineRule="auto"/>
      </w:pPr>
      <w:r>
        <w:rPr>
          <w:rFonts w:ascii="Aptos" w:hAnsi="Aptos"/>
        </w:rPr>
        <w:t>Category/severity</w:t>
      </w:r>
    </w:p>
    <w:p>
      <w:pPr>
        <w:pStyle w:val="ListBullet"/>
        <w:spacing w:after="40" w:line="259" w:lineRule="auto"/>
      </w:pPr>
      <w:r>
        <w:rPr>
          <w:rFonts w:ascii="Aptos" w:hAnsi="Aptos"/>
        </w:rPr>
        <w:t>Routing</w:t>
      </w:r>
    </w:p>
    <w:p>
      <w:pPr>
        <w:pStyle w:val="ListBullet"/>
        <w:spacing w:after="40" w:line="259" w:lineRule="auto"/>
      </w:pPr>
      <w:r>
        <w:rPr>
          <w:rFonts w:ascii="Aptos" w:hAnsi="Aptos"/>
        </w:rPr>
        <w:t>Resolution state</w:t>
      </w:r>
    </w:p>
    <w:p>
      <w:pPr>
        <w:pStyle w:val="ListBullet"/>
        <w:spacing w:after="40" w:line="259" w:lineRule="auto"/>
      </w:pPr>
      <w:r>
        <w:rPr>
          <w:rFonts w:ascii="Aptos" w:hAnsi="Aptos"/>
        </w:rPr>
        <w:t>Feedback/rating</w:t>
      </w:r>
    </w:p>
    <w:p>
      <w:pPr>
        <w:pStyle w:val="Heading3"/>
      </w:pPr>
      <w:r>
        <w:t>Explicit non-responsibilities</w:t>
      </w:r>
    </w:p>
    <w:p>
      <w:pPr>
        <w:pStyle w:val="ListBullet"/>
        <w:spacing w:after="40" w:line="259" w:lineRule="auto"/>
      </w:pPr>
      <w:r>
        <w:rPr>
          <w:rFonts w:ascii="Aptos" w:hAnsi="Aptos"/>
        </w:rPr>
        <w:t>Does not alter underlying application decision automatically</w:t>
      </w:r>
    </w:p>
    <w:p>
      <w:pPr>
        <w:pStyle w:val="ListBullet"/>
        <w:spacing w:after="40" w:line="259" w:lineRule="auto"/>
      </w:pPr>
      <w:r>
        <w:rPr>
          <w:rFonts w:ascii="Aptos" w:hAnsi="Aptos"/>
        </w:rPr>
        <w:t>Does not replace formal statutory appeal where appeal applies</w:t>
      </w:r>
    </w:p>
    <w:p>
      <w:pPr>
        <w:pStyle w:val="Heading3"/>
      </w:pPr>
      <w:r>
        <w:t>Authoritative data / state</w:t>
      </w:r>
    </w:p>
    <w:p>
      <w:pPr>
        <w:pStyle w:val="ListBullet"/>
        <w:spacing w:after="40" w:line="259" w:lineRule="auto"/>
      </w:pPr>
      <w:r>
        <w:rPr>
          <w:rFonts w:ascii="Aptos" w:hAnsi="Aptos"/>
        </w:rPr>
        <w:t>grievance</w:t>
      </w:r>
    </w:p>
    <w:p>
      <w:pPr>
        <w:pStyle w:val="ListBullet"/>
        <w:spacing w:after="40" w:line="259" w:lineRule="auto"/>
      </w:pPr>
      <w:r>
        <w:rPr>
          <w:rFonts w:ascii="Aptos" w:hAnsi="Aptos"/>
        </w:rPr>
        <w:t>grievance_action</w:t>
      </w:r>
    </w:p>
    <w:p>
      <w:pPr>
        <w:pStyle w:val="ListBullet"/>
        <w:spacing w:after="40" w:line="259" w:lineRule="auto"/>
      </w:pPr>
      <w:r>
        <w:rPr>
          <w:rFonts w:ascii="Aptos" w:hAnsi="Aptos"/>
        </w:rPr>
        <w:t>feedback</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/grievances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/grievances/{id}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/grievances/{id}/actions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GrievanceCreated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GrievanceResolved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FeedbackSubmitted</w:t>
            </w:r>
          </w:p>
        </w:tc>
      </w:tr>
    </w:tbl>
    <w:p>
      <w:pPr>
        <w:spacing w:after="40"/>
      </w:pPr>
    </w:p>
    <w:p>
      <w:pPr>
        <w:pStyle w:val="Heading3"/>
      </w:pPr>
      <w:r>
        <w:t>Dependencies and integration</w:t>
      </w:r>
    </w:p>
    <w:p>
      <w:pPr>
        <w:pStyle w:val="ListBullet"/>
        <w:spacing w:after="40" w:line="259" w:lineRule="auto"/>
      </w:pPr>
      <w:r>
        <w:rPr>
          <w:rFonts w:ascii="Aptos" w:hAnsi="Aptos"/>
        </w:rPr>
        <w:t>CMP-016 Workflow</w:t>
      </w:r>
    </w:p>
    <w:p>
      <w:pPr>
        <w:pStyle w:val="ListBullet"/>
        <w:spacing w:after="40" w:line="259" w:lineRule="auto"/>
      </w:pPr>
      <w:r>
        <w:rPr>
          <w:rFonts w:ascii="Aptos" w:hAnsi="Aptos"/>
        </w:rPr>
        <w:t>CMP-017 Tasks</w:t>
      </w:r>
    </w:p>
    <w:p>
      <w:pPr>
        <w:pStyle w:val="ListBullet"/>
        <w:spacing w:after="40" w:line="259" w:lineRule="auto"/>
      </w:pPr>
      <w:r>
        <w:rPr>
          <w:rFonts w:ascii="Aptos" w:hAnsi="Aptos"/>
        </w:rPr>
        <w:t>CMP-025 Notification</w:t>
      </w:r>
    </w:p>
    <w:p>
      <w:pPr>
        <w:pStyle w:val="Heading3"/>
      </w:pPr>
      <w:r>
        <w:t>Failure behavior and safeguards</w:t>
      </w:r>
    </w:p>
    <w:p>
      <w:pPr>
        <w:pStyle w:val="ListBullet"/>
        <w:spacing w:after="40" w:line="259" w:lineRule="auto"/>
      </w:pPr>
      <w:r>
        <w:rPr>
          <w:rFonts w:ascii="Aptos" w:hAnsi="Aptos"/>
        </w:rPr>
        <w:t>Misrouted grievance</w:t>
      </w:r>
    </w:p>
    <w:p>
      <w:pPr>
        <w:pStyle w:val="ListBullet"/>
        <w:spacing w:after="40" w:line="259" w:lineRule="auto"/>
      </w:pPr>
      <w:r>
        <w:rPr>
          <w:rFonts w:ascii="Aptos" w:hAnsi="Aptos"/>
        </w:rPr>
        <w:t>Duplicate complaint</w:t>
      </w:r>
    </w:p>
    <w:p>
      <w:pPr>
        <w:pStyle w:val="ListBullet"/>
        <w:spacing w:after="40" w:line="259" w:lineRule="auto"/>
      </w:pPr>
      <w:r>
        <w:rPr>
          <w:rFonts w:ascii="Aptos" w:hAnsi="Aptos"/>
        </w:rPr>
        <w:t>Sensitive complaint handling</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CMP-028  Appeal / Review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Domain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Manage legally distinct appeal/review cases linked to prior decisions while preserving original application history.</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Appeal authority derived from tenant service configuration and jurisdiction hierarchy.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Separate workflow instance and state model; original case remains immutable.</w:t>
            </w:r>
          </w:p>
        </w:tc>
      </w:tr>
    </w:tbl>
    <w:p>
      <w:pPr>
        <w:spacing w:after="40"/>
      </w:pPr>
    </w:p>
    <w:p>
      <w:pPr>
        <w:pStyle w:val="Heading3"/>
      </w:pPr>
      <w:r>
        <w:t>Responsibilities</w:t>
      </w:r>
    </w:p>
    <w:p>
      <w:pPr>
        <w:pStyle w:val="ListBullet"/>
        <w:spacing w:after="40" w:line="259" w:lineRule="auto"/>
      </w:pPr>
      <w:r>
        <w:rPr>
          <w:rFonts w:ascii="Aptos" w:hAnsi="Aptos"/>
        </w:rPr>
        <w:t>Appeal filing</w:t>
      </w:r>
    </w:p>
    <w:p>
      <w:pPr>
        <w:pStyle w:val="ListBullet"/>
        <w:spacing w:after="40" w:line="259" w:lineRule="auto"/>
      </w:pPr>
      <w:r>
        <w:rPr>
          <w:rFonts w:ascii="Aptos" w:hAnsi="Aptos"/>
        </w:rPr>
        <w:t>Admissibility metadata</w:t>
      </w:r>
    </w:p>
    <w:p>
      <w:pPr>
        <w:pStyle w:val="ListBullet"/>
        <w:spacing w:after="40" w:line="259" w:lineRule="auto"/>
      </w:pPr>
      <w:r>
        <w:rPr>
          <w:rFonts w:ascii="Aptos" w:hAnsi="Aptos"/>
        </w:rPr>
        <w:t>Appeal workflow link</w:t>
      </w:r>
    </w:p>
    <w:p>
      <w:pPr>
        <w:pStyle w:val="ListBullet"/>
        <w:spacing w:after="40" w:line="259" w:lineRule="auto"/>
      </w:pPr>
      <w:r>
        <w:rPr>
          <w:rFonts w:ascii="Aptos" w:hAnsi="Aptos"/>
        </w:rPr>
        <w:t>Decision linkage</w:t>
      </w:r>
    </w:p>
    <w:p>
      <w:pPr>
        <w:pStyle w:val="ListBullet"/>
        <w:spacing w:after="40" w:line="259" w:lineRule="auto"/>
      </w:pPr>
      <w:r>
        <w:rPr>
          <w:rFonts w:ascii="Aptos" w:hAnsi="Aptos"/>
        </w:rPr>
        <w:t>Outcome and remand</w:t>
      </w:r>
    </w:p>
    <w:p>
      <w:pPr>
        <w:pStyle w:val="Heading3"/>
      </w:pPr>
      <w:r>
        <w:t>Explicit non-responsibilities</w:t>
      </w:r>
    </w:p>
    <w:p>
      <w:pPr>
        <w:pStyle w:val="ListBullet"/>
        <w:spacing w:after="40" w:line="259" w:lineRule="auto"/>
      </w:pPr>
      <w:r>
        <w:rPr>
          <w:rFonts w:ascii="Aptos" w:hAnsi="Aptos"/>
        </w:rPr>
        <w:t>Does not overwrite original decision</w:t>
      </w:r>
    </w:p>
    <w:p>
      <w:pPr>
        <w:pStyle w:val="ListBullet"/>
        <w:spacing w:after="40" w:line="259" w:lineRule="auto"/>
      </w:pPr>
      <w:r>
        <w:rPr>
          <w:rFonts w:ascii="Aptos" w:hAnsi="Aptos"/>
        </w:rPr>
        <w:t>Does not infer appellate authority without configured hierarchy</w:t>
      </w:r>
    </w:p>
    <w:p>
      <w:pPr>
        <w:pStyle w:val="Heading3"/>
      </w:pPr>
      <w:r>
        <w:t>Authoritative data / state</w:t>
      </w:r>
    </w:p>
    <w:p>
      <w:pPr>
        <w:pStyle w:val="ListBullet"/>
        <w:spacing w:after="40" w:line="259" w:lineRule="auto"/>
      </w:pPr>
      <w:r>
        <w:rPr>
          <w:rFonts w:ascii="Aptos" w:hAnsi="Aptos"/>
        </w:rPr>
        <w:t>appeal</w:t>
      </w:r>
    </w:p>
    <w:p>
      <w:pPr>
        <w:pStyle w:val="ListBullet"/>
        <w:spacing w:after="40" w:line="259" w:lineRule="auto"/>
      </w:pPr>
      <w:r>
        <w:rPr>
          <w:rFonts w:ascii="Aptos" w:hAnsi="Aptos"/>
        </w:rPr>
        <w:t>appeal_ground</w:t>
      </w:r>
    </w:p>
    <w:p>
      <w:pPr>
        <w:pStyle w:val="ListBullet"/>
        <w:spacing w:after="40" w:line="259" w:lineRule="auto"/>
      </w:pPr>
      <w:r>
        <w:rPr>
          <w:rFonts w:ascii="Aptos" w:hAnsi="Aptos"/>
        </w:rPr>
        <w:t>appeal_decision</w:t>
      </w:r>
    </w:p>
    <w:p>
      <w:pPr>
        <w:pStyle w:val="ListBullet"/>
        <w:spacing w:after="40" w:line="259" w:lineRule="auto"/>
      </w:pPr>
      <w:r>
        <w:rPr>
          <w:rFonts w:ascii="Aptos" w:hAnsi="Aptos"/>
        </w:rPr>
        <w:t>appeal_link</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/applications/{id}/appeals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/appeals/{id}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/appeals/{id}/commands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AppealFiled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AppealAdmitted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AppealDecided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CaseRemanded</w:t>
            </w:r>
          </w:p>
        </w:tc>
      </w:tr>
    </w:tbl>
    <w:p>
      <w:pPr>
        <w:spacing w:after="40"/>
      </w:pPr>
    </w:p>
    <w:p>
      <w:pPr>
        <w:pStyle w:val="Heading3"/>
      </w:pPr>
      <w:r>
        <w:t>Dependencies and integration</w:t>
      </w:r>
    </w:p>
    <w:p>
      <w:pPr>
        <w:pStyle w:val="ListBullet"/>
        <w:spacing w:after="40" w:line="259" w:lineRule="auto"/>
      </w:pPr>
      <w:r>
        <w:rPr>
          <w:rFonts w:ascii="Aptos" w:hAnsi="Aptos"/>
        </w:rPr>
        <w:t>CMP-016 Workflow</w:t>
      </w:r>
    </w:p>
    <w:p>
      <w:pPr>
        <w:pStyle w:val="ListBullet"/>
        <w:spacing w:after="40" w:line="259" w:lineRule="auto"/>
      </w:pPr>
      <w:r>
        <w:rPr>
          <w:rFonts w:ascii="Aptos" w:hAnsi="Aptos"/>
        </w:rPr>
        <w:t>CMP-003 Jurisdiction</w:t>
      </w:r>
    </w:p>
    <w:p>
      <w:pPr>
        <w:pStyle w:val="ListBullet"/>
        <w:spacing w:after="40" w:line="259" w:lineRule="auto"/>
      </w:pPr>
      <w:r>
        <w:rPr>
          <w:rFonts w:ascii="Aptos" w:hAnsi="Aptos"/>
        </w:rPr>
        <w:t>CMP-015 Application</w:t>
      </w:r>
    </w:p>
    <w:p>
      <w:pPr>
        <w:pStyle w:val="ListBullet"/>
        <w:spacing w:after="40" w:line="259" w:lineRule="auto"/>
      </w:pPr>
      <w:r>
        <w:rPr>
          <w:rFonts w:ascii="Aptos" w:hAnsi="Aptos"/>
        </w:rPr>
        <w:t>CMP-031 Audit</w:t>
      </w:r>
    </w:p>
    <w:p>
      <w:pPr>
        <w:pStyle w:val="Heading3"/>
      </w:pPr>
      <w:r>
        <w:t>Failure behavior and safeguards</w:t>
      </w:r>
    </w:p>
    <w:p>
      <w:pPr>
        <w:pStyle w:val="ListBullet"/>
        <w:spacing w:after="40" w:line="259" w:lineRule="auto"/>
      </w:pPr>
      <w:r>
        <w:rPr>
          <w:rFonts w:ascii="Aptos" w:hAnsi="Aptos"/>
        </w:rPr>
        <w:t>Wrong appellate authority</w:t>
      </w:r>
    </w:p>
    <w:p>
      <w:pPr>
        <w:pStyle w:val="ListBullet"/>
        <w:spacing w:after="40" w:line="259" w:lineRule="auto"/>
      </w:pPr>
      <w:r>
        <w:rPr>
          <w:rFonts w:ascii="Aptos" w:hAnsi="Aptos"/>
        </w:rPr>
        <w:t>Late filing</w:t>
      </w:r>
    </w:p>
    <w:p>
      <w:pPr>
        <w:pStyle w:val="ListBullet"/>
        <w:spacing w:after="40" w:line="259" w:lineRule="auto"/>
      </w:pPr>
      <w:r>
        <w:rPr>
          <w:rFonts w:ascii="Aptos" w:hAnsi="Aptos"/>
        </w:rPr>
        <w:t>Remand loop</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CMP-029  SLA &amp; Escalation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Control</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Calculate service/stage deadlines, pause/resume clocks, holidays, escalation and breach events.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Tenant/service policy versions and local working calendars are explicit.</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Timer volume handled asynchronously; calculations reproducible.</w:t>
            </w:r>
          </w:p>
        </w:tc>
      </w:tr>
    </w:tbl>
    <w:p>
      <w:pPr>
        <w:spacing w:after="40"/>
      </w:pPr>
    </w:p>
    <w:p>
      <w:pPr>
        <w:pStyle w:val="Heading3"/>
      </w:pPr>
      <w:r>
        <w:t>Responsibilities</w:t>
      </w:r>
    </w:p>
    <w:p>
      <w:pPr>
        <w:pStyle w:val="ListBullet"/>
        <w:spacing w:after="40" w:line="259" w:lineRule="auto"/>
      </w:pPr>
      <w:r>
        <w:rPr>
          <w:rFonts w:ascii="Aptos" w:hAnsi="Aptos"/>
        </w:rPr>
        <w:t>SLA clock</w:t>
      </w:r>
    </w:p>
    <w:p>
      <w:pPr>
        <w:pStyle w:val="ListBullet"/>
        <w:spacing w:after="40" w:line="259" w:lineRule="auto"/>
      </w:pPr>
      <w:r>
        <w:rPr>
          <w:rFonts w:ascii="Aptos" w:hAnsi="Aptos"/>
        </w:rPr>
        <w:t>Working calendar</w:t>
      </w:r>
    </w:p>
    <w:p>
      <w:pPr>
        <w:pStyle w:val="ListBullet"/>
        <w:spacing w:after="40" w:line="259" w:lineRule="auto"/>
      </w:pPr>
      <w:r>
        <w:rPr>
          <w:rFonts w:ascii="Aptos" w:hAnsi="Aptos"/>
        </w:rPr>
        <w:t>Pause/resume policy</w:t>
      </w:r>
    </w:p>
    <w:p>
      <w:pPr>
        <w:pStyle w:val="ListBullet"/>
        <w:spacing w:after="40" w:line="259" w:lineRule="auto"/>
      </w:pPr>
      <w:r>
        <w:rPr>
          <w:rFonts w:ascii="Aptos" w:hAnsi="Aptos"/>
        </w:rPr>
        <w:t>Escalation schedule</w:t>
      </w:r>
    </w:p>
    <w:p>
      <w:pPr>
        <w:pStyle w:val="ListBullet"/>
        <w:spacing w:after="40" w:line="259" w:lineRule="auto"/>
      </w:pPr>
      <w:r>
        <w:rPr>
          <w:rFonts w:ascii="Aptos" w:hAnsi="Aptos"/>
        </w:rPr>
        <w:t>Breach calculation</w:t>
      </w:r>
    </w:p>
    <w:p>
      <w:pPr>
        <w:pStyle w:val="Heading3"/>
      </w:pPr>
      <w:r>
        <w:t>Explicit non-responsibilities</w:t>
      </w:r>
    </w:p>
    <w:p>
      <w:pPr>
        <w:pStyle w:val="ListBullet"/>
        <w:spacing w:after="40" w:line="259" w:lineRule="auto"/>
      </w:pPr>
      <w:r>
        <w:rPr>
          <w:rFonts w:ascii="Aptos" w:hAnsi="Aptos"/>
        </w:rPr>
        <w:t>Does not own task assignment</w:t>
      </w:r>
    </w:p>
    <w:p>
      <w:pPr>
        <w:pStyle w:val="ListBullet"/>
        <w:spacing w:after="40" w:line="259" w:lineRule="auto"/>
      </w:pPr>
      <w:r>
        <w:rPr>
          <w:rFonts w:ascii="Aptos" w:hAnsi="Aptos"/>
        </w:rPr>
        <w:t>Does not guess statutory clock behavior</w:t>
      </w:r>
    </w:p>
    <w:p>
      <w:pPr>
        <w:pStyle w:val="ListBullet"/>
        <w:spacing w:after="40" w:line="259" w:lineRule="auto"/>
      </w:pPr>
      <w:r>
        <w:rPr>
          <w:rFonts w:ascii="Aptos" w:hAnsi="Aptos"/>
        </w:rPr>
        <w:t>Does not mutate workflow directly without configured signal/event</w:t>
      </w:r>
    </w:p>
    <w:p>
      <w:pPr>
        <w:pStyle w:val="Heading3"/>
      </w:pPr>
      <w:r>
        <w:t>Authoritative data / state</w:t>
      </w:r>
    </w:p>
    <w:p>
      <w:pPr>
        <w:pStyle w:val="ListBullet"/>
        <w:spacing w:after="40" w:line="259" w:lineRule="auto"/>
      </w:pPr>
      <w:r>
        <w:rPr>
          <w:rFonts w:ascii="Aptos" w:hAnsi="Aptos"/>
        </w:rPr>
        <w:t>sla_policy</w:t>
      </w:r>
    </w:p>
    <w:p>
      <w:pPr>
        <w:pStyle w:val="ListBullet"/>
        <w:spacing w:after="40" w:line="259" w:lineRule="auto"/>
      </w:pPr>
      <w:r>
        <w:rPr>
          <w:rFonts w:ascii="Aptos" w:hAnsi="Aptos"/>
        </w:rPr>
        <w:t>sla_clock</w:t>
      </w:r>
    </w:p>
    <w:p>
      <w:pPr>
        <w:pStyle w:val="ListBullet"/>
        <w:spacing w:after="40" w:line="259" w:lineRule="auto"/>
      </w:pPr>
      <w:r>
        <w:rPr>
          <w:rFonts w:ascii="Aptos" w:hAnsi="Aptos"/>
        </w:rPr>
        <w:t>calendar</w:t>
      </w:r>
    </w:p>
    <w:p>
      <w:pPr>
        <w:pStyle w:val="ListBullet"/>
        <w:spacing w:after="40" w:line="259" w:lineRule="auto"/>
      </w:pPr>
      <w:r>
        <w:rPr>
          <w:rFonts w:ascii="Aptos" w:hAnsi="Aptos"/>
        </w:rPr>
        <w:t>escalation_rule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/sla/calculate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/applications/{id}/sla</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/sla/{id}/pause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/sla/{id}/resume</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SLABreachApproaching</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SLABreached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EscalationTriggered</w:t>
            </w:r>
          </w:p>
        </w:tc>
      </w:tr>
    </w:tbl>
    <w:p>
      <w:pPr>
        <w:spacing w:after="40"/>
      </w:pPr>
    </w:p>
    <w:p>
      <w:pPr>
        <w:pStyle w:val="Heading3"/>
      </w:pPr>
      <w:r>
        <w:t>Dependencies and integration</w:t>
      </w:r>
    </w:p>
    <w:p>
      <w:pPr>
        <w:pStyle w:val="ListBullet"/>
        <w:spacing w:after="40" w:line="259" w:lineRule="auto"/>
      </w:pPr>
      <w:r>
        <w:rPr>
          <w:rFonts w:ascii="Aptos" w:hAnsi="Aptos"/>
        </w:rPr>
        <w:t>CMP-016 Workflow</w:t>
      </w:r>
    </w:p>
    <w:p>
      <w:pPr>
        <w:pStyle w:val="ListBullet"/>
        <w:spacing w:after="40" w:line="259" w:lineRule="auto"/>
      </w:pPr>
      <w:r>
        <w:rPr>
          <w:rFonts w:ascii="Aptos" w:hAnsi="Aptos"/>
        </w:rPr>
        <w:t>CMP-019 Deficiency</w:t>
      </w:r>
    </w:p>
    <w:p>
      <w:pPr>
        <w:pStyle w:val="ListBullet"/>
        <w:spacing w:after="40" w:line="259" w:lineRule="auto"/>
      </w:pPr>
      <w:r>
        <w:rPr>
          <w:rFonts w:ascii="Aptos" w:hAnsi="Aptos"/>
        </w:rPr>
        <w:t>CMP-017 Tasks</w:t>
      </w:r>
    </w:p>
    <w:p>
      <w:pPr>
        <w:pStyle w:val="ListBullet"/>
        <w:spacing w:after="40" w:line="259" w:lineRule="auto"/>
      </w:pPr>
      <w:r>
        <w:rPr>
          <w:rFonts w:ascii="Aptos" w:hAnsi="Aptos"/>
        </w:rPr>
        <w:t>CMP-025 Notification</w:t>
      </w:r>
    </w:p>
    <w:p>
      <w:pPr>
        <w:pStyle w:val="Heading3"/>
      </w:pPr>
      <w:r>
        <w:t>Failure behavior and safeguards</w:t>
      </w:r>
    </w:p>
    <w:p>
      <w:pPr>
        <w:pStyle w:val="ListBullet"/>
        <w:spacing w:after="40" w:line="259" w:lineRule="auto"/>
      </w:pPr>
      <w:r>
        <w:rPr>
          <w:rFonts w:ascii="Aptos" w:hAnsi="Aptos"/>
        </w:rPr>
        <w:t>Missing holiday calendar</w:t>
      </w:r>
    </w:p>
    <w:p>
      <w:pPr>
        <w:pStyle w:val="ListBullet"/>
        <w:spacing w:after="40" w:line="259" w:lineRule="auto"/>
      </w:pPr>
      <w:r>
        <w:rPr>
          <w:rFonts w:ascii="Aptos" w:hAnsi="Aptos"/>
        </w:rPr>
        <w:t>Repeated pause</w:t>
      </w:r>
    </w:p>
    <w:p>
      <w:pPr>
        <w:pStyle w:val="ListBullet"/>
        <w:spacing w:after="40" w:line="259" w:lineRule="auto"/>
      </w:pPr>
      <w:r>
        <w:rPr>
          <w:rFonts w:ascii="Aptos" w:hAnsi="Aptos"/>
        </w:rPr>
        <w:t>Clock drift</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CMP-030  Consent &amp; Privacy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Cross-Cutting Governance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Manage purpose, consent, data-sharing authorization, privacy notices and subject-right workflow metadata.</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Consent and purpose references accompany access to citizen-private claims and AI contexts.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Checks must be low latency and auditable; deny when purpose/consent required but missing.</w:t>
            </w:r>
          </w:p>
        </w:tc>
      </w:tr>
    </w:tbl>
    <w:p>
      <w:pPr>
        <w:spacing w:after="40"/>
      </w:pPr>
    </w:p>
    <w:p>
      <w:pPr>
        <w:pStyle w:val="Heading3"/>
      </w:pPr>
      <w:r>
        <w:t>Responsibilities</w:t>
      </w:r>
    </w:p>
    <w:p>
      <w:pPr>
        <w:pStyle w:val="ListBullet"/>
        <w:spacing w:after="40" w:line="259" w:lineRule="auto"/>
      </w:pPr>
      <w:r>
        <w:rPr>
          <w:rFonts w:ascii="Aptos" w:hAnsi="Aptos"/>
        </w:rPr>
        <w:t>Consent capture</w:t>
      </w:r>
    </w:p>
    <w:p>
      <w:pPr>
        <w:pStyle w:val="ListBullet"/>
        <w:spacing w:after="40" w:line="259" w:lineRule="auto"/>
      </w:pPr>
      <w:r>
        <w:rPr>
          <w:rFonts w:ascii="Aptos" w:hAnsi="Aptos"/>
        </w:rPr>
        <w:t>Purpose binding</w:t>
      </w:r>
    </w:p>
    <w:p>
      <w:pPr>
        <w:pStyle w:val="ListBullet"/>
        <w:spacing w:after="40" w:line="259" w:lineRule="auto"/>
      </w:pPr>
      <w:r>
        <w:rPr>
          <w:rFonts w:ascii="Aptos" w:hAnsi="Aptos"/>
        </w:rPr>
        <w:t>Consent withdrawal</w:t>
      </w:r>
    </w:p>
    <w:p>
      <w:pPr>
        <w:pStyle w:val="ListBullet"/>
        <w:spacing w:after="40" w:line="259" w:lineRule="auto"/>
      </w:pPr>
      <w:r>
        <w:rPr>
          <w:rFonts w:ascii="Aptos" w:hAnsi="Aptos"/>
        </w:rPr>
        <w:t>Privacy notice/version</w:t>
      </w:r>
    </w:p>
    <w:p>
      <w:pPr>
        <w:pStyle w:val="ListBullet"/>
        <w:spacing w:after="40" w:line="259" w:lineRule="auto"/>
      </w:pPr>
      <w:r>
        <w:rPr>
          <w:rFonts w:ascii="Aptos" w:hAnsi="Aptos"/>
        </w:rPr>
        <w:t>Data-access purpose checks</w:t>
      </w:r>
    </w:p>
    <w:p>
      <w:pPr>
        <w:pStyle w:val="Heading3"/>
      </w:pPr>
      <w:r>
        <w:t>Explicit non-responsibilities</w:t>
      </w:r>
    </w:p>
    <w:p>
      <w:pPr>
        <w:pStyle w:val="ListBullet"/>
        <w:spacing w:after="40" w:line="259" w:lineRule="auto"/>
      </w:pPr>
      <w:r>
        <w:rPr>
          <w:rFonts w:ascii="Aptos" w:hAnsi="Aptos"/>
        </w:rPr>
        <w:t>Does not delete data outside retention/legal rules by itself</w:t>
      </w:r>
    </w:p>
    <w:p>
      <w:pPr>
        <w:pStyle w:val="ListBullet"/>
        <w:spacing w:after="40" w:line="259" w:lineRule="auto"/>
      </w:pPr>
      <w:r>
        <w:rPr>
          <w:rFonts w:ascii="Aptos" w:hAnsi="Aptos"/>
        </w:rPr>
        <w:t>Does not act as identity provider</w:t>
      </w:r>
    </w:p>
    <w:p>
      <w:pPr>
        <w:pStyle w:val="Heading3"/>
      </w:pPr>
      <w:r>
        <w:t>Authoritative data / state</w:t>
      </w:r>
    </w:p>
    <w:p>
      <w:pPr>
        <w:pStyle w:val="ListBullet"/>
        <w:spacing w:after="40" w:line="259" w:lineRule="auto"/>
      </w:pPr>
      <w:r>
        <w:rPr>
          <w:rFonts w:ascii="Aptos" w:hAnsi="Aptos"/>
        </w:rPr>
        <w:t>consent</w:t>
      </w:r>
    </w:p>
    <w:p>
      <w:pPr>
        <w:pStyle w:val="ListBullet"/>
        <w:spacing w:after="40" w:line="259" w:lineRule="auto"/>
      </w:pPr>
      <w:r>
        <w:rPr>
          <w:rFonts w:ascii="Aptos" w:hAnsi="Aptos"/>
        </w:rPr>
        <w:t>purpose</w:t>
      </w:r>
    </w:p>
    <w:p>
      <w:pPr>
        <w:pStyle w:val="ListBullet"/>
        <w:spacing w:after="40" w:line="259" w:lineRule="auto"/>
      </w:pPr>
      <w:r>
        <w:rPr>
          <w:rFonts w:ascii="Aptos" w:hAnsi="Aptos"/>
        </w:rPr>
        <w:t>privacy_notice</w:t>
      </w:r>
    </w:p>
    <w:p>
      <w:pPr>
        <w:pStyle w:val="ListBullet"/>
        <w:spacing w:after="40" w:line="259" w:lineRule="auto"/>
      </w:pPr>
      <w:r>
        <w:rPr>
          <w:rFonts w:ascii="Aptos" w:hAnsi="Aptos"/>
        </w:rPr>
        <w:t>consent_event</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/consents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/consents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/consents/{id}/withdraw</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/privacy/access-check</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ConsentGranted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ConsentWithdrawn</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PrivacyNoticeUpdated</w:t>
            </w:r>
          </w:p>
        </w:tc>
      </w:tr>
    </w:tbl>
    <w:p>
      <w:pPr>
        <w:spacing w:after="40"/>
      </w:pPr>
    </w:p>
    <w:p>
      <w:pPr>
        <w:pStyle w:val="Heading3"/>
      </w:pPr>
      <w:r>
        <w:t>Dependencies and integration</w:t>
      </w:r>
    </w:p>
    <w:p>
      <w:pPr>
        <w:pStyle w:val="ListBullet"/>
        <w:spacing w:after="40" w:line="259" w:lineRule="auto"/>
      </w:pPr>
      <w:r>
        <w:rPr>
          <w:rFonts w:ascii="Aptos" w:hAnsi="Aptos"/>
        </w:rPr>
        <w:t>CMP-004 Identity</w:t>
      </w:r>
    </w:p>
    <w:p>
      <w:pPr>
        <w:pStyle w:val="ListBullet"/>
        <w:spacing w:after="40" w:line="259" w:lineRule="auto"/>
      </w:pPr>
      <w:r>
        <w:rPr>
          <w:rFonts w:ascii="Aptos" w:hAnsi="Aptos"/>
        </w:rPr>
        <w:t>CMP-005 Profile</w:t>
      </w:r>
    </w:p>
    <w:p>
      <w:pPr>
        <w:pStyle w:val="ListBullet"/>
        <w:spacing w:after="40" w:line="259" w:lineRule="auto"/>
      </w:pPr>
      <w:r>
        <w:rPr>
          <w:rFonts w:ascii="Aptos" w:hAnsi="Aptos"/>
        </w:rPr>
        <w:t>CMP-049 Retention</w:t>
      </w:r>
    </w:p>
    <w:p>
      <w:pPr>
        <w:pStyle w:val="ListBullet"/>
        <w:spacing w:after="40" w:line="259" w:lineRule="auto"/>
      </w:pPr>
      <w:r>
        <w:rPr>
          <w:rFonts w:ascii="Aptos" w:hAnsi="Aptos"/>
        </w:rPr>
        <w:t>CMP-031 Audit</w:t>
      </w:r>
    </w:p>
    <w:p>
      <w:pPr>
        <w:pStyle w:val="Heading3"/>
      </w:pPr>
      <w:r>
        <w:t>Failure behavior and safeguards</w:t>
      </w:r>
    </w:p>
    <w:p>
      <w:pPr>
        <w:pStyle w:val="ListBullet"/>
        <w:spacing w:after="40" w:line="259" w:lineRule="auto"/>
      </w:pPr>
      <w:r>
        <w:rPr>
          <w:rFonts w:ascii="Aptos" w:hAnsi="Aptos"/>
        </w:rPr>
        <w:t>Consent version mismatch</w:t>
      </w:r>
    </w:p>
    <w:p>
      <w:pPr>
        <w:pStyle w:val="ListBullet"/>
        <w:spacing w:after="40" w:line="259" w:lineRule="auto"/>
      </w:pPr>
      <w:r>
        <w:rPr>
          <w:rFonts w:ascii="Aptos" w:hAnsi="Aptos"/>
        </w:rPr>
        <w:t>Withdrawal during process</w:t>
      </w:r>
    </w:p>
    <w:p>
      <w:pPr>
        <w:pStyle w:val="ListBullet"/>
        <w:spacing w:after="40" w:line="259" w:lineRule="auto"/>
      </w:pPr>
      <w:r>
        <w:rPr>
          <w:rFonts w:ascii="Aptos" w:hAnsi="Aptos"/>
        </w:rPr>
        <w:t>Purpose not allowed</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CMP-031  Audit &amp; Evidence Ledger</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Cross-Cutting Governance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Record tamper-evident, queryable audit metadata for material actions, decisions and system events.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Every record includes tenant/cell/actor/trace classification; privileged cross-tenant access audited separately.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Append-oriented, partitionable, archiveable; write path efficient via outbox/event consumers where appropriate.</w:t>
            </w:r>
          </w:p>
        </w:tc>
      </w:tr>
    </w:tbl>
    <w:p>
      <w:pPr>
        <w:spacing w:after="40"/>
      </w:pPr>
    </w:p>
    <w:p>
      <w:pPr>
        <w:pStyle w:val="Heading3"/>
      </w:pPr>
      <w:r>
        <w:t>Responsibilities</w:t>
      </w:r>
    </w:p>
    <w:p>
      <w:pPr>
        <w:pStyle w:val="ListBullet"/>
        <w:spacing w:after="40" w:line="259" w:lineRule="auto"/>
      </w:pPr>
      <w:r>
        <w:rPr>
          <w:rFonts w:ascii="Aptos" w:hAnsi="Aptos"/>
        </w:rPr>
        <w:t>Actor/action/resource audit</w:t>
      </w:r>
    </w:p>
    <w:p>
      <w:pPr>
        <w:pStyle w:val="ListBullet"/>
        <w:spacing w:after="40" w:line="259" w:lineRule="auto"/>
      </w:pPr>
      <w:r>
        <w:rPr>
          <w:rFonts w:ascii="Aptos" w:hAnsi="Aptos"/>
        </w:rPr>
        <w:t>Before/after references where appropriate</w:t>
      </w:r>
    </w:p>
    <w:p>
      <w:pPr>
        <w:pStyle w:val="ListBullet"/>
        <w:spacing w:after="40" w:line="259" w:lineRule="auto"/>
      </w:pPr>
      <w:r>
        <w:rPr>
          <w:rFonts w:ascii="Aptos" w:hAnsi="Aptos"/>
        </w:rPr>
        <w:t>Decision reason/provenance</w:t>
      </w:r>
    </w:p>
    <w:p>
      <w:pPr>
        <w:pStyle w:val="ListBullet"/>
        <w:spacing w:after="40" w:line="259" w:lineRule="auto"/>
      </w:pPr>
      <w:r>
        <w:rPr>
          <w:rFonts w:ascii="Aptos" w:hAnsi="Aptos"/>
        </w:rPr>
        <w:t>Trace/correlation linkage</w:t>
      </w:r>
    </w:p>
    <w:p>
      <w:pPr>
        <w:pStyle w:val="ListBullet"/>
        <w:spacing w:after="40" w:line="259" w:lineRule="auto"/>
      </w:pPr>
      <w:r>
        <w:rPr>
          <w:rFonts w:ascii="Aptos" w:hAnsi="Aptos"/>
        </w:rPr>
        <w:t>Export for investigation</w:t>
      </w:r>
    </w:p>
    <w:p>
      <w:pPr>
        <w:pStyle w:val="Heading3"/>
      </w:pPr>
      <w:r>
        <w:t>Explicit non-responsibilities</w:t>
      </w:r>
    </w:p>
    <w:p>
      <w:pPr>
        <w:pStyle w:val="ListBullet"/>
        <w:spacing w:after="40" w:line="259" w:lineRule="auto"/>
      </w:pPr>
      <w:r>
        <w:rPr>
          <w:rFonts w:ascii="Aptos" w:hAnsi="Aptos"/>
        </w:rPr>
        <w:t>Does not become a raw PII log</w:t>
      </w:r>
    </w:p>
    <w:p>
      <w:pPr>
        <w:pStyle w:val="ListBullet"/>
        <w:spacing w:after="40" w:line="259" w:lineRule="auto"/>
      </w:pPr>
      <w:r>
        <w:rPr>
          <w:rFonts w:ascii="Aptos" w:hAnsi="Aptos"/>
        </w:rPr>
        <w:t>Does not replace application state history</w:t>
      </w:r>
    </w:p>
    <w:p>
      <w:pPr>
        <w:pStyle w:val="ListBullet"/>
        <w:spacing w:after="40" w:line="259" w:lineRule="auto"/>
      </w:pPr>
      <w:r>
        <w:rPr>
          <w:rFonts w:ascii="Aptos" w:hAnsi="Aptos"/>
        </w:rPr>
        <w:t>Does not accept silent mutation of prior audit entries</w:t>
      </w:r>
    </w:p>
    <w:p>
      <w:pPr>
        <w:pStyle w:val="Heading3"/>
      </w:pPr>
      <w:r>
        <w:t>Authoritative data / state</w:t>
      </w:r>
    </w:p>
    <w:p>
      <w:pPr>
        <w:pStyle w:val="ListBullet"/>
        <w:spacing w:after="40" w:line="259" w:lineRule="auto"/>
      </w:pPr>
      <w:r>
        <w:rPr>
          <w:rFonts w:ascii="Aptos" w:hAnsi="Aptos"/>
        </w:rPr>
        <w:t>audit_event</w:t>
      </w:r>
    </w:p>
    <w:p>
      <w:pPr>
        <w:pStyle w:val="ListBullet"/>
        <w:spacing w:after="40" w:line="259" w:lineRule="auto"/>
      </w:pPr>
      <w:r>
        <w:rPr>
          <w:rFonts w:ascii="Aptos" w:hAnsi="Aptos"/>
        </w:rPr>
        <w:t>audit_export_job</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/audit</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/audit/{resourceType}/{id}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/internal/audit-events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AuditRecorded</w:t>
            </w:r>
          </w:p>
        </w:tc>
      </w:tr>
    </w:tbl>
    <w:p>
      <w:pPr>
        <w:spacing w:after="40"/>
      </w:pPr>
    </w:p>
    <w:p>
      <w:pPr>
        <w:pStyle w:val="Heading3"/>
      </w:pPr>
      <w:r>
        <w:t>Dependencies and integration</w:t>
      </w:r>
    </w:p>
    <w:p>
      <w:pPr>
        <w:pStyle w:val="ListBullet"/>
        <w:spacing w:after="40" w:line="259" w:lineRule="auto"/>
      </w:pPr>
      <w:r>
        <w:rPr>
          <w:rFonts w:ascii="Aptos" w:hAnsi="Aptos"/>
        </w:rPr>
        <w:t>All components</w:t>
      </w:r>
    </w:p>
    <w:p>
      <w:pPr>
        <w:pStyle w:val="ListBullet"/>
        <w:spacing w:after="40" w:line="259" w:lineRule="auto"/>
      </w:pPr>
      <w:r>
        <w:rPr>
          <w:rFonts w:ascii="Aptos" w:hAnsi="Aptos"/>
        </w:rPr>
        <w:t>CMP-049 Retention</w:t>
      </w:r>
    </w:p>
    <w:p>
      <w:pPr>
        <w:pStyle w:val="ListBullet"/>
        <w:spacing w:after="40" w:line="259" w:lineRule="auto"/>
      </w:pPr>
      <w:r>
        <w:rPr>
          <w:rFonts w:ascii="Aptos" w:hAnsi="Aptos"/>
        </w:rPr>
        <w:t>CMP-045 Analytics</w:t>
      </w:r>
    </w:p>
    <w:p>
      <w:pPr>
        <w:pStyle w:val="Heading3"/>
      </w:pPr>
      <w:r>
        <w:t>Failure behavior and safeguards</w:t>
      </w:r>
    </w:p>
    <w:p>
      <w:pPr>
        <w:pStyle w:val="ListBullet"/>
        <w:spacing w:after="40" w:line="259" w:lineRule="auto"/>
      </w:pPr>
      <w:r>
        <w:rPr>
          <w:rFonts w:ascii="Aptos" w:hAnsi="Aptos"/>
        </w:rPr>
        <w:t>Audit sink unavailable</w:t>
      </w:r>
    </w:p>
    <w:p>
      <w:pPr>
        <w:pStyle w:val="ListBullet"/>
        <w:spacing w:after="40" w:line="259" w:lineRule="auto"/>
      </w:pPr>
      <w:r>
        <w:rPr>
          <w:rFonts w:ascii="Aptos" w:hAnsi="Aptos"/>
        </w:rPr>
        <w:t>PII leakage in audit</w:t>
      </w:r>
    </w:p>
    <w:p>
      <w:pPr>
        <w:pStyle w:val="ListBullet"/>
        <w:spacing w:after="40" w:line="259" w:lineRule="auto"/>
      </w:pPr>
      <w:r>
        <w:rPr>
          <w:rFonts w:ascii="Aptos" w:hAnsi="Aptos"/>
        </w:rPr>
        <w:t>Clock inconsistency</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CMP-032  Storage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Platform Abstraction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governed object storage operations, metadata, encryption, lifecycle and secure access over S3.</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Tenant/cell/application ownership embedded in metadata and server-authorized access.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Direct-to-S3 paths; lifecycle transitions automate cost reduction.</w:t>
            </w:r>
          </w:p>
        </w:tc>
      </w:tr>
    </w:tbl>
    <w:p>
      <w:pPr>
        <w:spacing w:after="40"/>
      </w:pPr>
    </w:p>
    <w:p>
      <w:pPr>
        <w:pStyle w:val="Heading3"/>
      </w:pPr>
      <w:r>
        <w:t>Responsibilities</w:t>
      </w:r>
    </w:p>
    <w:p>
      <w:pPr>
        <w:pStyle w:val="ListBullet"/>
        <w:spacing w:after="40" w:line="259" w:lineRule="auto"/>
      </w:pPr>
      <w:r>
        <w:rPr>
          <w:rFonts w:ascii="Aptos" w:hAnsi="Aptos"/>
        </w:rPr>
        <w:t>Object key generation</w:t>
      </w:r>
    </w:p>
    <w:p>
      <w:pPr>
        <w:pStyle w:val="ListBullet"/>
        <w:spacing w:after="40" w:line="259" w:lineRule="auto"/>
      </w:pPr>
      <w:r>
        <w:rPr>
          <w:rFonts w:ascii="Aptos" w:hAnsi="Aptos"/>
        </w:rPr>
        <w:t>Encryption policy</w:t>
      </w:r>
    </w:p>
    <w:p>
      <w:pPr>
        <w:pStyle w:val="ListBullet"/>
        <w:spacing w:after="40" w:line="259" w:lineRule="auto"/>
      </w:pPr>
      <w:r>
        <w:rPr>
          <w:rFonts w:ascii="Aptos" w:hAnsi="Aptos"/>
        </w:rPr>
        <w:t>Presigned access</w:t>
      </w:r>
    </w:p>
    <w:p>
      <w:pPr>
        <w:pStyle w:val="ListBullet"/>
        <w:spacing w:after="40" w:line="259" w:lineRule="auto"/>
      </w:pPr>
      <w:r>
        <w:rPr>
          <w:rFonts w:ascii="Aptos" w:hAnsi="Aptos"/>
        </w:rPr>
        <w:t>Lifecycle class assignment</w:t>
      </w:r>
    </w:p>
    <w:p>
      <w:pPr>
        <w:pStyle w:val="ListBullet"/>
        <w:spacing w:after="40" w:line="259" w:lineRule="auto"/>
      </w:pPr>
      <w:r>
        <w:rPr>
          <w:rFonts w:ascii="Aptos" w:hAnsi="Aptos"/>
        </w:rPr>
        <w:t>Object metadata and checksum</w:t>
      </w:r>
    </w:p>
    <w:p>
      <w:pPr>
        <w:pStyle w:val="Heading3"/>
      </w:pPr>
      <w:r>
        <w:t>Explicit non-responsibilities</w:t>
      </w:r>
    </w:p>
    <w:p>
      <w:pPr>
        <w:pStyle w:val="ListBullet"/>
        <w:spacing w:after="40" w:line="259" w:lineRule="auto"/>
      </w:pPr>
      <w:r>
        <w:rPr>
          <w:rFonts w:ascii="Aptos" w:hAnsi="Aptos"/>
        </w:rPr>
        <w:t>Does not implement evidence business rules</w:t>
      </w:r>
    </w:p>
    <w:p>
      <w:pPr>
        <w:pStyle w:val="ListBullet"/>
        <w:spacing w:after="40" w:line="259" w:lineRule="auto"/>
      </w:pPr>
      <w:r>
        <w:rPr>
          <w:rFonts w:ascii="Aptos" w:hAnsi="Aptos"/>
        </w:rPr>
        <w:t>Does not let applications use local pod filesystem as durable storage</w:t>
      </w:r>
    </w:p>
    <w:p>
      <w:pPr>
        <w:pStyle w:val="Heading3"/>
      </w:pPr>
      <w:r>
        <w:t>Authoritative data / state</w:t>
      </w:r>
    </w:p>
    <w:p>
      <w:pPr>
        <w:pStyle w:val="ListBullet"/>
        <w:spacing w:after="40" w:line="259" w:lineRule="auto"/>
      </w:pPr>
      <w:r>
        <w:rPr>
          <w:rFonts w:ascii="Aptos" w:hAnsi="Aptos"/>
        </w:rPr>
        <w:t>object_metadata</w:t>
      </w:r>
    </w:p>
    <w:p>
      <w:pPr>
        <w:pStyle w:val="ListBullet"/>
        <w:spacing w:after="40" w:line="259" w:lineRule="auto"/>
      </w:pPr>
      <w:r>
        <w:rPr>
          <w:rFonts w:ascii="Aptos" w:hAnsi="Aptos"/>
        </w:rPr>
        <w:t>storage_policy</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/storage/objects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/storage/objects/{id}/access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/storage/objects/{id}/archive</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ObjectStored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ObjectArchived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ObjectDeleted</w:t>
            </w:r>
          </w:p>
        </w:tc>
      </w:tr>
    </w:tbl>
    <w:p>
      <w:pPr>
        <w:spacing w:after="40"/>
      </w:pPr>
    </w:p>
    <w:p>
      <w:pPr>
        <w:pStyle w:val="Heading3"/>
      </w:pPr>
      <w:r>
        <w:t>Dependencies and integration</w:t>
      </w:r>
    </w:p>
    <w:p>
      <w:pPr>
        <w:pStyle w:val="ListBullet"/>
        <w:spacing w:after="40" w:line="259" w:lineRule="auto"/>
      </w:pPr>
      <w:r>
        <w:rPr>
          <w:rFonts w:ascii="Aptos" w:hAnsi="Aptos"/>
        </w:rPr>
        <w:t>S3</w:t>
      </w:r>
    </w:p>
    <w:p>
      <w:pPr>
        <w:pStyle w:val="ListBullet"/>
        <w:spacing w:after="40" w:line="259" w:lineRule="auto"/>
      </w:pPr>
      <w:r>
        <w:rPr>
          <w:rFonts w:ascii="Aptos" w:hAnsi="Aptos"/>
        </w:rPr>
        <w:t>KMS</w:t>
      </w:r>
    </w:p>
    <w:p>
      <w:pPr>
        <w:pStyle w:val="ListBullet"/>
        <w:spacing w:after="40" w:line="259" w:lineRule="auto"/>
      </w:pPr>
      <w:r>
        <w:rPr>
          <w:rFonts w:ascii="Aptos" w:hAnsi="Aptos"/>
        </w:rPr>
        <w:t>CMP-049 Retention</w:t>
      </w:r>
    </w:p>
    <w:p>
      <w:pPr>
        <w:pStyle w:val="ListBullet"/>
        <w:spacing w:after="40" w:line="259" w:lineRule="auto"/>
      </w:pPr>
      <w:r>
        <w:rPr>
          <w:rFonts w:ascii="Aptos" w:hAnsi="Aptos"/>
        </w:rPr>
        <w:t>CMP-013 Upload</w:t>
      </w:r>
    </w:p>
    <w:p>
      <w:pPr>
        <w:pStyle w:val="Heading3"/>
      </w:pPr>
      <w:r>
        <w:t>Failure behavior and safeguards</w:t>
      </w:r>
    </w:p>
    <w:p>
      <w:pPr>
        <w:pStyle w:val="ListBullet"/>
        <w:spacing w:after="40" w:line="259" w:lineRule="auto"/>
      </w:pPr>
      <w:r>
        <w:rPr>
          <w:rFonts w:ascii="Aptos" w:hAnsi="Aptos"/>
        </w:rPr>
        <w:t>KMS failure</w:t>
      </w:r>
    </w:p>
    <w:p>
      <w:pPr>
        <w:pStyle w:val="ListBullet"/>
        <w:spacing w:after="40" w:line="259" w:lineRule="auto"/>
      </w:pPr>
      <w:r>
        <w:rPr>
          <w:rFonts w:ascii="Aptos" w:hAnsi="Aptos"/>
        </w:rPr>
        <w:t>Object missing</w:t>
      </w:r>
    </w:p>
    <w:p>
      <w:pPr>
        <w:pStyle w:val="ListBullet"/>
        <w:spacing w:after="40" w:line="259" w:lineRule="auto"/>
      </w:pPr>
      <w:r>
        <w:rPr>
          <w:rFonts w:ascii="Aptos" w:hAnsi="Aptos"/>
        </w:rPr>
        <w:t>Retention lock conflict</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CMP-033  Metadata / Configuration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Control Plane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Store draft and published configuration metadata for forms, rules, workflow, evidence, fees, SLAs and tenant overlays.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Drafts tenant-scoped; canonical templates global; overlay composition always explicit.</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Config reads heavily cached; writes strongly consistent.</w:t>
            </w:r>
          </w:p>
        </w:tc>
      </w:tr>
    </w:tbl>
    <w:p>
      <w:pPr>
        <w:spacing w:after="40"/>
      </w:pPr>
    </w:p>
    <w:p>
      <w:pPr>
        <w:pStyle w:val="Heading3"/>
      </w:pPr>
      <w:r>
        <w:t>Responsibilities</w:t>
      </w:r>
    </w:p>
    <w:p>
      <w:pPr>
        <w:pStyle w:val="ListBullet"/>
        <w:spacing w:after="40" w:line="259" w:lineRule="auto"/>
      </w:pPr>
      <w:r>
        <w:rPr>
          <w:rFonts w:ascii="Aptos" w:hAnsi="Aptos"/>
        </w:rPr>
        <w:t>Draft metadata</w:t>
      </w:r>
    </w:p>
    <w:p>
      <w:pPr>
        <w:pStyle w:val="ListBullet"/>
        <w:spacing w:after="40" w:line="259" w:lineRule="auto"/>
      </w:pPr>
      <w:r>
        <w:rPr>
          <w:rFonts w:ascii="Aptos" w:hAnsi="Aptos"/>
        </w:rPr>
        <w:t>Schema validation</w:t>
      </w:r>
    </w:p>
    <w:p>
      <w:pPr>
        <w:pStyle w:val="ListBullet"/>
        <w:spacing w:after="40" w:line="259" w:lineRule="auto"/>
      </w:pPr>
      <w:r>
        <w:rPr>
          <w:rFonts w:ascii="Aptos" w:hAnsi="Aptos"/>
        </w:rPr>
        <w:t>Config composition</w:t>
      </w:r>
    </w:p>
    <w:p>
      <w:pPr>
        <w:pStyle w:val="ListBullet"/>
        <w:spacing w:after="40" w:line="259" w:lineRule="auto"/>
      </w:pPr>
      <w:r>
        <w:rPr>
          <w:rFonts w:ascii="Aptos" w:hAnsi="Aptos"/>
        </w:rPr>
        <w:t>Tenant overlay resolution</w:t>
      </w:r>
    </w:p>
    <w:p>
      <w:pPr>
        <w:pStyle w:val="ListBullet"/>
        <w:spacing w:after="40" w:line="259" w:lineRule="auto"/>
      </w:pPr>
      <w:r>
        <w:rPr>
          <w:rFonts w:ascii="Aptos" w:hAnsi="Aptos"/>
        </w:rPr>
        <w:t>Config retrieval</w:t>
      </w:r>
    </w:p>
    <w:p>
      <w:pPr>
        <w:pStyle w:val="Heading3"/>
      </w:pPr>
      <w:r>
        <w:t>Explicit non-responsibilities</w:t>
      </w:r>
    </w:p>
    <w:p>
      <w:pPr>
        <w:pStyle w:val="ListBullet"/>
        <w:spacing w:after="40" w:line="259" w:lineRule="auto"/>
      </w:pPr>
      <w:r>
        <w:rPr>
          <w:rFonts w:ascii="Aptos" w:hAnsi="Aptos"/>
        </w:rPr>
        <w:t>Does not publish without maker-checker</w:t>
      </w:r>
    </w:p>
    <w:p>
      <w:pPr>
        <w:pStyle w:val="ListBullet"/>
        <w:spacing w:after="40" w:line="259" w:lineRule="auto"/>
      </w:pPr>
      <w:r>
        <w:rPr>
          <w:rFonts w:ascii="Aptos" w:hAnsi="Aptos"/>
        </w:rPr>
        <w:t>Does not allow published version mutation</w:t>
      </w:r>
    </w:p>
    <w:p>
      <w:pPr>
        <w:pStyle w:val="ListBullet"/>
        <w:spacing w:after="40" w:line="259" w:lineRule="auto"/>
      </w:pPr>
      <w:r>
        <w:rPr>
          <w:rFonts w:ascii="Aptos" w:hAnsi="Aptos"/>
        </w:rPr>
        <w:t>Does not execute workflow/rules itself</w:t>
      </w:r>
    </w:p>
    <w:p>
      <w:pPr>
        <w:pStyle w:val="Heading3"/>
      </w:pPr>
      <w:r>
        <w:t>Authoritative data / state</w:t>
      </w:r>
    </w:p>
    <w:p>
      <w:pPr>
        <w:pStyle w:val="ListBullet"/>
        <w:spacing w:after="40" w:line="259" w:lineRule="auto"/>
      </w:pPr>
      <w:r>
        <w:rPr>
          <w:rFonts w:ascii="Aptos" w:hAnsi="Aptos"/>
        </w:rPr>
        <w:t>configuration_artifact</w:t>
      </w:r>
    </w:p>
    <w:p>
      <w:pPr>
        <w:pStyle w:val="ListBullet"/>
        <w:spacing w:after="40" w:line="259" w:lineRule="auto"/>
      </w:pPr>
      <w:r>
        <w:rPr>
          <w:rFonts w:ascii="Aptos" w:hAnsi="Aptos"/>
        </w:rPr>
        <w:t>configuration_draft</w:t>
      </w:r>
    </w:p>
    <w:p>
      <w:pPr>
        <w:pStyle w:val="ListBullet"/>
        <w:spacing w:after="40" w:line="259" w:lineRule="auto"/>
      </w:pPr>
      <w:r>
        <w:rPr>
          <w:rFonts w:ascii="Aptos" w:hAnsi="Aptos"/>
        </w:rPr>
        <w:t>tenant_overlay</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/config/{type}/{id}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/config/{type}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/config/{type}/{id}/validate</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ConfigurationDrafted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ConfigurationValidated</w:t>
            </w:r>
          </w:p>
        </w:tc>
      </w:tr>
    </w:tbl>
    <w:p>
      <w:pPr>
        <w:spacing w:after="40"/>
      </w:pPr>
    </w:p>
    <w:p>
      <w:pPr>
        <w:pStyle w:val="Heading3"/>
      </w:pPr>
      <w:r>
        <w:t>Dependencies and integration</w:t>
      </w:r>
    </w:p>
    <w:p>
      <w:pPr>
        <w:pStyle w:val="ListBullet"/>
        <w:spacing w:after="40" w:line="259" w:lineRule="auto"/>
      </w:pPr>
      <w:r>
        <w:rPr>
          <w:rFonts w:ascii="Aptos" w:hAnsi="Aptos"/>
        </w:rPr>
        <w:t>CMP-050 Studio</w:t>
      </w:r>
    </w:p>
    <w:p>
      <w:pPr>
        <w:pStyle w:val="ListBullet"/>
        <w:spacing w:after="40" w:line="259" w:lineRule="auto"/>
      </w:pPr>
      <w:r>
        <w:rPr>
          <w:rFonts w:ascii="Aptos" w:hAnsi="Aptos"/>
        </w:rPr>
        <w:t>CMP-051 Publishing</w:t>
      </w:r>
    </w:p>
    <w:p>
      <w:pPr>
        <w:pStyle w:val="ListBullet"/>
        <w:spacing w:after="40" w:line="259" w:lineRule="auto"/>
      </w:pPr>
      <w:r>
        <w:rPr>
          <w:rFonts w:ascii="Aptos" w:hAnsi="Aptos"/>
        </w:rPr>
        <w:t>CMP-052 Version Registry</w:t>
      </w:r>
    </w:p>
    <w:p>
      <w:pPr>
        <w:pStyle w:val="Heading3"/>
      </w:pPr>
      <w:r>
        <w:t>Failure behavior and safeguards</w:t>
      </w:r>
    </w:p>
    <w:p>
      <w:pPr>
        <w:pStyle w:val="ListBullet"/>
        <w:spacing w:after="40" w:line="259" w:lineRule="auto"/>
      </w:pPr>
      <w:r>
        <w:rPr>
          <w:rFonts w:ascii="Aptos" w:hAnsi="Aptos"/>
        </w:rPr>
        <w:t>Invalid schema</w:t>
      </w:r>
    </w:p>
    <w:p>
      <w:pPr>
        <w:pStyle w:val="ListBullet"/>
        <w:spacing w:after="40" w:line="259" w:lineRule="auto"/>
      </w:pPr>
      <w:r>
        <w:rPr>
          <w:rFonts w:ascii="Aptos" w:hAnsi="Aptos"/>
        </w:rPr>
        <w:t>Overlay conflict</w:t>
      </w:r>
    </w:p>
    <w:p>
      <w:pPr>
        <w:pStyle w:val="ListBullet"/>
        <w:spacing w:after="40" w:line="259" w:lineRule="auto"/>
      </w:pPr>
      <w:r>
        <w:rPr>
          <w:rFonts w:ascii="Aptos" w:hAnsi="Aptos"/>
        </w:rPr>
        <w:t>Reference to unpublished dependency</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CMP-034  Master Data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Reference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governed reference values and code sets such as geography codes, occupations, categories and bank/office reference data.</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Classify each dataset as global or tenant-scoped; tenant overrides governed explicitly.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High-read cacheable service; import asynchronous.</w:t>
            </w:r>
          </w:p>
        </w:tc>
      </w:tr>
    </w:tbl>
    <w:p>
      <w:pPr>
        <w:spacing w:after="40"/>
      </w:pPr>
    </w:p>
    <w:p>
      <w:pPr>
        <w:pStyle w:val="Heading3"/>
      </w:pPr>
      <w:r>
        <w:t>Responsibilities</w:t>
      </w:r>
    </w:p>
    <w:p>
      <w:pPr>
        <w:pStyle w:val="ListBullet"/>
        <w:spacing w:after="40" w:line="259" w:lineRule="auto"/>
      </w:pPr>
      <w:r>
        <w:rPr>
          <w:rFonts w:ascii="Aptos" w:hAnsi="Aptos"/>
        </w:rPr>
        <w:t>Code sets</w:t>
      </w:r>
    </w:p>
    <w:p>
      <w:pPr>
        <w:pStyle w:val="ListBullet"/>
        <w:spacing w:after="40" w:line="259" w:lineRule="auto"/>
      </w:pPr>
      <w:r>
        <w:rPr>
          <w:rFonts w:ascii="Aptos" w:hAnsi="Aptos"/>
        </w:rPr>
        <w:t>Version/effective dates</w:t>
      </w:r>
    </w:p>
    <w:p>
      <w:pPr>
        <w:pStyle w:val="ListBullet"/>
        <w:spacing w:after="40" w:line="259" w:lineRule="auto"/>
      </w:pPr>
      <w:r>
        <w:rPr>
          <w:rFonts w:ascii="Aptos" w:hAnsi="Aptos"/>
        </w:rPr>
        <w:t>Bulk import</w:t>
      </w:r>
    </w:p>
    <w:p>
      <w:pPr>
        <w:pStyle w:val="ListBullet"/>
        <w:spacing w:after="40" w:line="259" w:lineRule="auto"/>
      </w:pPr>
      <w:r>
        <w:rPr>
          <w:rFonts w:ascii="Aptos" w:hAnsi="Aptos"/>
        </w:rPr>
        <w:t>Translation labels</w:t>
      </w:r>
    </w:p>
    <w:p>
      <w:pPr>
        <w:pStyle w:val="ListBullet"/>
        <w:spacing w:after="40" w:line="259" w:lineRule="auto"/>
      </w:pPr>
      <w:r>
        <w:rPr>
          <w:rFonts w:ascii="Aptos" w:hAnsi="Aptos"/>
        </w:rPr>
        <w:t>Data-source provenance</w:t>
      </w:r>
    </w:p>
    <w:p>
      <w:pPr>
        <w:pStyle w:val="Heading3"/>
      </w:pPr>
      <w:r>
        <w:t>Explicit non-responsibilities</w:t>
      </w:r>
    </w:p>
    <w:p>
      <w:pPr>
        <w:pStyle w:val="ListBullet"/>
        <w:spacing w:after="40" w:line="259" w:lineRule="auto"/>
      </w:pPr>
      <w:r>
        <w:rPr>
          <w:rFonts w:ascii="Aptos" w:hAnsi="Aptos"/>
        </w:rPr>
        <w:t>Does not embed mutable master data in source code</w:t>
      </w:r>
    </w:p>
    <w:p>
      <w:pPr>
        <w:pStyle w:val="ListBullet"/>
        <w:spacing w:after="40" w:line="259" w:lineRule="auto"/>
      </w:pPr>
      <w:r>
        <w:rPr>
          <w:rFonts w:ascii="Aptos" w:hAnsi="Aptos"/>
        </w:rPr>
        <w:t>Does not own tenant service configuration</w:t>
      </w:r>
    </w:p>
    <w:p>
      <w:pPr>
        <w:pStyle w:val="Heading3"/>
      </w:pPr>
      <w:r>
        <w:t>Authoritative data / state</w:t>
      </w:r>
    </w:p>
    <w:p>
      <w:pPr>
        <w:pStyle w:val="ListBullet"/>
        <w:spacing w:after="40" w:line="259" w:lineRule="auto"/>
      </w:pPr>
      <w:r>
        <w:rPr>
          <w:rFonts w:ascii="Aptos" w:hAnsi="Aptos"/>
        </w:rPr>
        <w:t>master_data_set</w:t>
      </w:r>
    </w:p>
    <w:p>
      <w:pPr>
        <w:pStyle w:val="ListBullet"/>
        <w:spacing w:after="40" w:line="259" w:lineRule="auto"/>
      </w:pPr>
      <w:r>
        <w:rPr>
          <w:rFonts w:ascii="Aptos" w:hAnsi="Aptos"/>
        </w:rPr>
        <w:t>master_data_item</w:t>
      </w:r>
    </w:p>
    <w:p>
      <w:pPr>
        <w:pStyle w:val="ListBullet"/>
        <w:spacing w:after="40" w:line="259" w:lineRule="auto"/>
      </w:pPr>
      <w:r>
        <w:rPr>
          <w:rFonts w:ascii="Aptos" w:hAnsi="Aptos"/>
        </w:rPr>
        <w:t>master_data_version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/master-data/{set}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/admin/master-data/import</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MasterDataVersionPublished</w:t>
            </w:r>
          </w:p>
        </w:tc>
      </w:tr>
    </w:tbl>
    <w:p>
      <w:pPr>
        <w:spacing w:after="40"/>
      </w:pPr>
    </w:p>
    <w:p>
      <w:pPr>
        <w:pStyle w:val="Heading3"/>
      </w:pPr>
      <w:r>
        <w:t>Dependencies and integration</w:t>
      </w:r>
    </w:p>
    <w:p>
      <w:pPr>
        <w:pStyle w:val="ListBullet"/>
        <w:spacing w:after="40" w:line="259" w:lineRule="auto"/>
      </w:pPr>
      <w:r>
        <w:rPr>
          <w:rFonts w:ascii="Aptos" w:hAnsi="Aptos"/>
        </w:rPr>
        <w:t>CMP-053 Localization</w:t>
      </w:r>
    </w:p>
    <w:p>
      <w:pPr>
        <w:pStyle w:val="ListBullet"/>
        <w:spacing w:after="40" w:line="259" w:lineRule="auto"/>
      </w:pPr>
      <w:r>
        <w:rPr>
          <w:rFonts w:ascii="Aptos" w:hAnsi="Aptos"/>
        </w:rPr>
        <w:t>CMP-003 Jurisdiction</w:t>
      </w:r>
    </w:p>
    <w:p>
      <w:pPr>
        <w:pStyle w:val="ListBullet"/>
        <w:spacing w:after="40" w:line="259" w:lineRule="auto"/>
      </w:pPr>
      <w:r>
        <w:rPr>
          <w:rFonts w:ascii="Aptos" w:hAnsi="Aptos"/>
        </w:rPr>
        <w:t>CMP-009 Forms</w:t>
      </w:r>
    </w:p>
    <w:p>
      <w:pPr>
        <w:pStyle w:val="Heading3"/>
      </w:pPr>
      <w:r>
        <w:t>Failure behavior and safeguards</w:t>
      </w:r>
    </w:p>
    <w:p>
      <w:pPr>
        <w:pStyle w:val="ListBullet"/>
        <w:spacing w:after="40" w:line="259" w:lineRule="auto"/>
      </w:pPr>
      <w:r>
        <w:rPr>
          <w:rFonts w:ascii="Aptos" w:hAnsi="Aptos"/>
        </w:rPr>
        <w:t>Code collision</w:t>
      </w:r>
    </w:p>
    <w:p>
      <w:pPr>
        <w:pStyle w:val="ListBullet"/>
        <w:spacing w:after="40" w:line="259" w:lineRule="auto"/>
      </w:pPr>
      <w:r>
        <w:rPr>
          <w:rFonts w:ascii="Aptos" w:hAnsi="Aptos"/>
        </w:rPr>
        <w:t>Invalid effective dates</w:t>
      </w:r>
    </w:p>
    <w:p>
      <w:pPr>
        <w:pStyle w:val="ListBullet"/>
        <w:spacing w:after="40" w:line="259" w:lineRule="auto"/>
      </w:pPr>
      <w:r>
        <w:rPr>
          <w:rFonts w:ascii="Aptos" w:hAnsi="Aptos"/>
        </w:rPr>
        <w:t>Stale cache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CMP-035  Search &amp; Indexing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Platform Service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Maintain rebuildable OpenSearch indices for service discovery, application/officer search and operational retrieval.</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Every tenant record indexed with tenant_id and visibility; server injects filters from trusted context.</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Search p95 target &lt;500 ms at representative load; index can be rebuilt from authoritative sources/events.</w:t>
            </w:r>
          </w:p>
        </w:tc>
      </w:tr>
    </w:tbl>
    <w:p>
      <w:pPr>
        <w:spacing w:after="40"/>
      </w:pPr>
    </w:p>
    <w:p>
      <w:pPr>
        <w:pStyle w:val="Heading3"/>
      </w:pPr>
      <w:r>
        <w:t>Responsibilities</w:t>
      </w:r>
    </w:p>
    <w:p>
      <w:pPr>
        <w:pStyle w:val="ListBullet"/>
        <w:spacing w:after="40" w:line="259" w:lineRule="auto"/>
      </w:pPr>
      <w:r>
        <w:rPr>
          <w:rFonts w:ascii="Aptos" w:hAnsi="Aptos"/>
        </w:rPr>
        <w:t>Index pipelines</w:t>
      </w:r>
    </w:p>
    <w:p>
      <w:pPr>
        <w:pStyle w:val="ListBullet"/>
        <w:spacing w:after="40" w:line="259" w:lineRule="auto"/>
      </w:pPr>
      <w:r>
        <w:rPr>
          <w:rFonts w:ascii="Aptos" w:hAnsi="Aptos"/>
        </w:rPr>
        <w:t>Tenant-safe query filters</w:t>
      </w:r>
    </w:p>
    <w:p>
      <w:pPr>
        <w:pStyle w:val="ListBullet"/>
        <w:spacing w:after="40" w:line="259" w:lineRule="auto"/>
      </w:pPr>
      <w:r>
        <w:rPr>
          <w:rFonts w:ascii="Aptos" w:hAnsi="Aptos"/>
        </w:rPr>
        <w:t>Full-text/facet search</w:t>
      </w:r>
    </w:p>
    <w:p>
      <w:pPr>
        <w:pStyle w:val="ListBullet"/>
        <w:spacing w:after="40" w:line="259" w:lineRule="auto"/>
      </w:pPr>
      <w:r>
        <w:rPr>
          <w:rFonts w:ascii="Aptos" w:hAnsi="Aptos"/>
        </w:rPr>
        <w:t>Reindex/rebuild</w:t>
      </w:r>
    </w:p>
    <w:p>
      <w:pPr>
        <w:pStyle w:val="ListBullet"/>
        <w:spacing w:after="40" w:line="259" w:lineRule="auto"/>
      </w:pPr>
      <w:r>
        <w:rPr>
          <w:rFonts w:ascii="Aptos" w:hAnsi="Aptos"/>
        </w:rPr>
        <w:t>Index version management</w:t>
      </w:r>
    </w:p>
    <w:p>
      <w:pPr>
        <w:pStyle w:val="Heading3"/>
      </w:pPr>
      <w:r>
        <w:t>Explicit non-responsibilities</w:t>
      </w:r>
    </w:p>
    <w:p>
      <w:pPr>
        <w:pStyle w:val="ListBullet"/>
        <w:spacing w:after="40" w:line="259" w:lineRule="auto"/>
      </w:pPr>
      <w:r>
        <w:rPr>
          <w:rFonts w:ascii="Aptos" w:hAnsi="Aptos"/>
        </w:rPr>
        <w:t>Does not become system of record</w:t>
      </w:r>
    </w:p>
    <w:p>
      <w:pPr>
        <w:pStyle w:val="ListBullet"/>
        <w:spacing w:after="40" w:line="259" w:lineRule="auto"/>
      </w:pPr>
      <w:r>
        <w:rPr>
          <w:rFonts w:ascii="Aptos" w:hAnsi="Aptos"/>
        </w:rPr>
        <w:t>Does not authorize based only on client filters</w:t>
      </w:r>
    </w:p>
    <w:p>
      <w:pPr>
        <w:pStyle w:val="ListBullet"/>
        <w:spacing w:after="40" w:line="259" w:lineRule="auto"/>
      </w:pPr>
      <w:r>
        <w:rPr>
          <w:rFonts w:ascii="Aptos" w:hAnsi="Aptos"/>
        </w:rPr>
        <w:t>Does not store long-term logs unnecessarily</w:t>
      </w:r>
    </w:p>
    <w:p>
      <w:pPr>
        <w:pStyle w:val="Heading3"/>
      </w:pPr>
      <w:r>
        <w:t>Authoritative data / state</w:t>
      </w:r>
    </w:p>
    <w:p>
      <w:pPr>
        <w:pStyle w:val="ListBullet"/>
        <w:spacing w:after="40" w:line="259" w:lineRule="auto"/>
      </w:pPr>
      <w:r>
        <w:rPr>
          <w:rFonts w:ascii="Aptos" w:hAnsi="Aptos"/>
        </w:rPr>
        <w:t>Derived index only</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/search</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/internal/index/rebuild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SearchDocumentIndexed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SearchIndexRebuilt</w:t>
            </w:r>
          </w:p>
        </w:tc>
      </w:tr>
    </w:tbl>
    <w:p>
      <w:pPr>
        <w:spacing w:after="40"/>
      </w:pPr>
    </w:p>
    <w:p>
      <w:pPr>
        <w:pStyle w:val="Heading3"/>
      </w:pPr>
      <w:r>
        <w:t>Dependencies and integration</w:t>
      </w:r>
    </w:p>
    <w:p>
      <w:pPr>
        <w:pStyle w:val="ListBullet"/>
        <w:spacing w:after="40" w:line="259" w:lineRule="auto"/>
      </w:pPr>
      <w:r>
        <w:rPr>
          <w:rFonts w:ascii="Aptos" w:hAnsi="Aptos"/>
        </w:rPr>
        <w:t>OpenSearch</w:t>
      </w:r>
    </w:p>
    <w:p>
      <w:pPr>
        <w:pStyle w:val="ListBullet"/>
        <w:spacing w:after="40" w:line="259" w:lineRule="auto"/>
      </w:pPr>
      <w:r>
        <w:rPr>
          <w:rFonts w:ascii="Aptos" w:hAnsi="Aptos"/>
        </w:rPr>
        <w:t>CMP-038 Events</w:t>
      </w:r>
    </w:p>
    <w:p>
      <w:pPr>
        <w:pStyle w:val="ListBullet"/>
        <w:spacing w:after="40" w:line="259" w:lineRule="auto"/>
      </w:pPr>
      <w:r>
        <w:rPr>
          <w:rFonts w:ascii="Aptos" w:hAnsi="Aptos"/>
        </w:rPr>
        <w:t>CMP-001 Catalogue</w:t>
      </w:r>
    </w:p>
    <w:p>
      <w:pPr>
        <w:pStyle w:val="ListBullet"/>
        <w:spacing w:after="40" w:line="259" w:lineRule="auto"/>
      </w:pPr>
      <w:r>
        <w:rPr>
          <w:rFonts w:ascii="Aptos" w:hAnsi="Aptos"/>
        </w:rPr>
        <w:t>CMP-015 Application</w:t>
      </w:r>
    </w:p>
    <w:p>
      <w:pPr>
        <w:pStyle w:val="Heading3"/>
      </w:pPr>
      <w:r>
        <w:t>Failure behavior and safeguards</w:t>
      </w:r>
    </w:p>
    <w:p>
      <w:pPr>
        <w:pStyle w:val="ListBullet"/>
        <w:spacing w:after="40" w:line="259" w:lineRule="auto"/>
      </w:pPr>
      <w:r>
        <w:rPr>
          <w:rFonts w:ascii="Aptos" w:hAnsi="Aptos"/>
        </w:rPr>
        <w:t>Index lag</w:t>
      </w:r>
    </w:p>
    <w:p>
      <w:pPr>
        <w:pStyle w:val="ListBullet"/>
        <w:spacing w:after="40" w:line="259" w:lineRule="auto"/>
      </w:pPr>
      <w:r>
        <w:rPr>
          <w:rFonts w:ascii="Aptos" w:hAnsi="Aptos"/>
        </w:rPr>
        <w:t>Index corruption</w:t>
      </w:r>
    </w:p>
    <w:p>
      <w:pPr>
        <w:pStyle w:val="ListBullet"/>
        <w:spacing w:after="40" w:line="259" w:lineRule="auto"/>
      </w:pPr>
      <w:r>
        <w:rPr>
          <w:rFonts w:ascii="Aptos" w:hAnsi="Aptos"/>
        </w:rPr>
        <w:t>OpenSearch unavailable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CMP-036  API Gateway</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Edge Platform</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Expose public/partner APIs with authentication hooks, routing, throttling, quotas and observability while keeping business logic in services.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is derived downstream from trusted identity; gateway-provided tenant headers are not authoritative.</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Must sustain external target 10K RPS/20K burst with controlled throttling.</w:t>
            </w:r>
          </w:p>
        </w:tc>
      </w:tr>
    </w:tbl>
    <w:p>
      <w:pPr>
        <w:spacing w:after="40"/>
      </w:pPr>
    </w:p>
    <w:p>
      <w:pPr>
        <w:pStyle w:val="Heading3"/>
      </w:pPr>
      <w:r>
        <w:t>Responsibilities</w:t>
      </w:r>
    </w:p>
    <w:p>
      <w:pPr>
        <w:pStyle w:val="ListBullet"/>
        <w:spacing w:after="40" w:line="259" w:lineRule="auto"/>
      </w:pPr>
      <w:r>
        <w:rPr>
          <w:rFonts w:ascii="Aptos" w:hAnsi="Aptos"/>
        </w:rPr>
        <w:t>Ingress routing</w:t>
      </w:r>
    </w:p>
    <w:p>
      <w:pPr>
        <w:pStyle w:val="ListBullet"/>
        <w:spacing w:after="40" w:line="259" w:lineRule="auto"/>
      </w:pPr>
      <w:r>
        <w:rPr>
          <w:rFonts w:ascii="Aptos" w:hAnsi="Aptos"/>
        </w:rPr>
        <w:t>Rate limits</w:t>
      </w:r>
    </w:p>
    <w:p>
      <w:pPr>
        <w:pStyle w:val="ListBullet"/>
        <w:spacing w:after="40" w:line="259" w:lineRule="auto"/>
      </w:pPr>
      <w:r>
        <w:rPr>
          <w:rFonts w:ascii="Aptos" w:hAnsi="Aptos"/>
        </w:rPr>
        <w:t>Partner keys/usage plans where applicable</w:t>
      </w:r>
    </w:p>
    <w:p>
      <w:pPr>
        <w:pStyle w:val="ListBullet"/>
        <w:spacing w:after="40" w:line="259" w:lineRule="auto"/>
      </w:pPr>
      <w:r>
        <w:rPr>
          <w:rFonts w:ascii="Aptos" w:hAnsi="Aptos"/>
        </w:rPr>
        <w:t>Request IDs</w:t>
      </w:r>
    </w:p>
    <w:p>
      <w:pPr>
        <w:pStyle w:val="ListBullet"/>
        <w:spacing w:after="40" w:line="259" w:lineRule="auto"/>
      </w:pPr>
      <w:r>
        <w:rPr>
          <w:rFonts w:ascii="Aptos" w:hAnsi="Aptos"/>
        </w:rPr>
        <w:t>WAF integration</w:t>
      </w:r>
    </w:p>
    <w:p>
      <w:pPr>
        <w:pStyle w:val="Heading3"/>
      </w:pPr>
      <w:r>
        <w:t>Explicit non-responsibilities</w:t>
      </w:r>
    </w:p>
    <w:p>
      <w:pPr>
        <w:pStyle w:val="ListBullet"/>
        <w:spacing w:after="40" w:line="259" w:lineRule="auto"/>
      </w:pPr>
      <w:r>
        <w:rPr>
          <w:rFonts w:ascii="Aptos" w:hAnsi="Aptos"/>
        </w:rPr>
        <w:t>Does not own domain authorization decisions</w:t>
      </w:r>
    </w:p>
    <w:p>
      <w:pPr>
        <w:pStyle w:val="ListBullet"/>
        <w:spacing w:after="40" w:line="259" w:lineRule="auto"/>
      </w:pPr>
      <w:r>
        <w:rPr>
          <w:rFonts w:ascii="Aptos" w:hAnsi="Aptos"/>
        </w:rPr>
        <w:t>Does not transform business semantics heavily</w:t>
      </w:r>
    </w:p>
    <w:p>
      <w:pPr>
        <w:pStyle w:val="Heading3"/>
      </w:pPr>
      <w:r>
        <w:t>Authoritative data / state</w:t>
      </w:r>
    </w:p>
    <w:p>
      <w:pPr>
        <w:pStyle w:val="ListBullet"/>
        <w:spacing w:after="40" w:line="259" w:lineRule="auto"/>
      </w:pPr>
      <w:r>
        <w:rPr>
          <w:rFonts w:ascii="Aptos" w:hAnsi="Aptos"/>
        </w:rPr>
        <w:t>gateway configuration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Interface</w:t>
            </w:r>
          </w:p>
        </w:tc>
        <w:tc>
          <w:tcPr>
            <w:tcW w:type="dxa" w:w="7920"/>
            <w:tcMar>
              <w:top w:w="90" w:type="dxa"/>
              <w:start w:w="90" w:type="dxa"/>
              <w:bottom w:w="90" w:type="dxa"/>
              <w:end w:w="90" w:type="dxa"/>
            </w:tcMar>
          </w:tcPr>
          <w:p>
            <w:r>
              <w:rPr>
                <w:rFonts w:ascii="Aptos" w:hAnsi="Aptos"/>
                <w:sz w:val="17"/>
              </w:rPr>
              <w:t>External routes only; internal service APIs remain explicit contracts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APIRateLimited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PartnerQuotaExceeded</w:t>
            </w:r>
          </w:p>
        </w:tc>
      </w:tr>
    </w:tbl>
    <w:p>
      <w:pPr>
        <w:spacing w:after="40"/>
      </w:pPr>
    </w:p>
    <w:p>
      <w:pPr>
        <w:pStyle w:val="Heading3"/>
      </w:pPr>
      <w:r>
        <w:t>Dependencies and integration</w:t>
      </w:r>
    </w:p>
    <w:p>
      <w:pPr>
        <w:pStyle w:val="ListBullet"/>
        <w:spacing w:after="40" w:line="259" w:lineRule="auto"/>
      </w:pPr>
      <w:r>
        <w:rPr>
          <w:rFonts w:ascii="Aptos" w:hAnsi="Aptos"/>
        </w:rPr>
        <w:t>CloudFront/WAF/ALB/API Gateway</w:t>
      </w:r>
    </w:p>
    <w:p>
      <w:pPr>
        <w:pStyle w:val="ListBullet"/>
        <w:spacing w:after="40" w:line="259" w:lineRule="auto"/>
      </w:pPr>
      <w:r>
        <w:rPr>
          <w:rFonts w:ascii="Aptos" w:hAnsi="Aptos"/>
        </w:rPr>
        <w:t>CMP-047 Observability</w:t>
      </w:r>
    </w:p>
    <w:p>
      <w:pPr>
        <w:pStyle w:val="ListBullet"/>
        <w:spacing w:after="40" w:line="259" w:lineRule="auto"/>
      </w:pPr>
      <w:r>
        <w:rPr>
          <w:rFonts w:ascii="Aptos" w:hAnsi="Aptos"/>
        </w:rPr>
        <w:t>CMP-048 Security</w:t>
      </w:r>
    </w:p>
    <w:p>
      <w:pPr>
        <w:pStyle w:val="Heading3"/>
      </w:pPr>
      <w:r>
        <w:t>Failure behavior and safeguards</w:t>
      </w:r>
    </w:p>
    <w:p>
      <w:pPr>
        <w:pStyle w:val="ListBullet"/>
        <w:spacing w:after="40" w:line="259" w:lineRule="auto"/>
      </w:pPr>
      <w:r>
        <w:rPr>
          <w:rFonts w:ascii="Aptos" w:hAnsi="Aptos"/>
        </w:rPr>
        <w:t>Abuse spike</w:t>
      </w:r>
    </w:p>
    <w:p>
      <w:pPr>
        <w:pStyle w:val="ListBullet"/>
        <w:spacing w:after="40" w:line="259" w:lineRule="auto"/>
      </w:pPr>
      <w:r>
        <w:rPr>
          <w:rFonts w:ascii="Aptos" w:hAnsi="Aptos"/>
        </w:rPr>
        <w:t>Route misconfiguration</w:t>
      </w:r>
    </w:p>
    <w:p>
      <w:pPr>
        <w:pStyle w:val="ListBullet"/>
        <w:spacing w:after="40" w:line="259" w:lineRule="auto"/>
      </w:pPr>
      <w:r>
        <w:rPr>
          <w:rFonts w:ascii="Aptos" w:hAnsi="Aptos"/>
        </w:rPr>
        <w:t>Downstream saturation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CMP-037  Integration Hub / Connector Framework</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Platform Integration</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standard connector lifecycle, credentials, retry, mapping and observability for external government/payment/eSign/provider systems.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Connector bindings tenant/service scoped; credentials stored in Secrets Manager and workload identity.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Async where possible; provider-specific rate limits respected.</w:t>
            </w:r>
          </w:p>
        </w:tc>
      </w:tr>
    </w:tbl>
    <w:p>
      <w:pPr>
        <w:spacing w:after="40"/>
      </w:pPr>
    </w:p>
    <w:p>
      <w:pPr>
        <w:pStyle w:val="Heading3"/>
      </w:pPr>
      <w:r>
        <w:t>Responsibilities</w:t>
      </w:r>
    </w:p>
    <w:p>
      <w:pPr>
        <w:pStyle w:val="ListBullet"/>
        <w:spacing w:after="40" w:line="259" w:lineRule="auto"/>
      </w:pPr>
      <w:r>
        <w:rPr>
          <w:rFonts w:ascii="Aptos" w:hAnsi="Aptos"/>
        </w:rPr>
        <w:t>Connector registry</w:t>
      </w:r>
    </w:p>
    <w:p>
      <w:pPr>
        <w:pStyle w:val="ListBullet"/>
        <w:spacing w:after="40" w:line="259" w:lineRule="auto"/>
      </w:pPr>
      <w:r>
        <w:rPr>
          <w:rFonts w:ascii="Aptos" w:hAnsi="Aptos"/>
        </w:rPr>
        <w:t>Auth/secret handling</w:t>
      </w:r>
    </w:p>
    <w:p>
      <w:pPr>
        <w:pStyle w:val="ListBullet"/>
        <w:spacing w:after="40" w:line="259" w:lineRule="auto"/>
      </w:pPr>
      <w:r>
        <w:rPr>
          <w:rFonts w:ascii="Aptos" w:hAnsi="Aptos"/>
        </w:rPr>
        <w:t>Request/response mapping</w:t>
      </w:r>
    </w:p>
    <w:p>
      <w:pPr>
        <w:pStyle w:val="ListBullet"/>
        <w:spacing w:after="40" w:line="259" w:lineRule="auto"/>
      </w:pPr>
      <w:r>
        <w:rPr>
          <w:rFonts w:ascii="Aptos" w:hAnsi="Aptos"/>
        </w:rPr>
        <w:t>Retry/circuit breaker</w:t>
      </w:r>
    </w:p>
    <w:p>
      <w:pPr>
        <w:pStyle w:val="ListBullet"/>
        <w:spacing w:after="40" w:line="259" w:lineRule="auto"/>
      </w:pPr>
      <w:r>
        <w:rPr>
          <w:rFonts w:ascii="Aptos" w:hAnsi="Aptos"/>
        </w:rPr>
        <w:t>Webhook adapters</w:t>
      </w:r>
    </w:p>
    <w:p>
      <w:pPr>
        <w:pStyle w:val="ListBullet"/>
        <w:spacing w:after="40" w:line="259" w:lineRule="auto"/>
      </w:pPr>
      <w:r>
        <w:rPr>
          <w:rFonts w:ascii="Aptos" w:hAnsi="Aptos"/>
        </w:rPr>
        <w:t>Sandbox/test mode</w:t>
      </w:r>
    </w:p>
    <w:p>
      <w:pPr>
        <w:pStyle w:val="Heading3"/>
      </w:pPr>
      <w:r>
        <w:t>Explicit non-responsibilities</w:t>
      </w:r>
    </w:p>
    <w:p>
      <w:pPr>
        <w:pStyle w:val="ListBullet"/>
        <w:spacing w:after="40" w:line="259" w:lineRule="auto"/>
      </w:pPr>
      <w:r>
        <w:rPr>
          <w:rFonts w:ascii="Aptos" w:hAnsi="Aptos"/>
        </w:rPr>
        <w:t>Does not bury business workflow inside connector code</w:t>
      </w:r>
    </w:p>
    <w:p>
      <w:pPr>
        <w:pStyle w:val="ListBullet"/>
        <w:spacing w:after="40" w:line="259" w:lineRule="auto"/>
      </w:pPr>
      <w:r>
        <w:rPr>
          <w:rFonts w:ascii="Aptos" w:hAnsi="Aptos"/>
        </w:rPr>
        <w:t>Does not expose provider credentials to tenant browser</w:t>
      </w:r>
    </w:p>
    <w:p>
      <w:pPr>
        <w:pStyle w:val="Heading3"/>
      </w:pPr>
      <w:r>
        <w:t>Authoritative data / state</w:t>
      </w:r>
    </w:p>
    <w:p>
      <w:pPr>
        <w:pStyle w:val="ListBullet"/>
        <w:spacing w:after="40" w:line="259" w:lineRule="auto"/>
      </w:pPr>
      <w:r>
        <w:rPr>
          <w:rFonts w:ascii="Aptos" w:hAnsi="Aptos"/>
        </w:rPr>
        <w:t>connector_definition</w:t>
      </w:r>
    </w:p>
    <w:p>
      <w:pPr>
        <w:pStyle w:val="ListBullet"/>
        <w:spacing w:after="40" w:line="259" w:lineRule="auto"/>
      </w:pPr>
      <w:r>
        <w:rPr>
          <w:rFonts w:ascii="Aptos" w:hAnsi="Aptos"/>
        </w:rPr>
        <w:t>connector_binding</w:t>
      </w:r>
    </w:p>
    <w:p>
      <w:pPr>
        <w:pStyle w:val="ListBullet"/>
        <w:spacing w:after="40" w:line="259" w:lineRule="auto"/>
      </w:pPr>
      <w:r>
        <w:rPr>
          <w:rFonts w:ascii="Aptos" w:hAnsi="Aptos"/>
        </w:rPr>
        <w:t>connector_transaction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/connectors/{id}/invoke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/webhooks/{connectorId}</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/connectors/{id}/health</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ConnectorInvocationStarted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ConnectorInvocationSucceeded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ConnectorInvocationFailed</w:t>
            </w:r>
          </w:p>
        </w:tc>
      </w:tr>
    </w:tbl>
    <w:p>
      <w:pPr>
        <w:spacing w:after="40"/>
      </w:pPr>
    </w:p>
    <w:p>
      <w:pPr>
        <w:pStyle w:val="Heading3"/>
      </w:pPr>
      <w:r>
        <w:t>Dependencies and integration</w:t>
      </w:r>
    </w:p>
    <w:p>
      <w:pPr>
        <w:pStyle w:val="ListBullet"/>
        <w:spacing w:after="40" w:line="259" w:lineRule="auto"/>
      </w:pPr>
      <w:r>
        <w:rPr>
          <w:rFonts w:ascii="Aptos" w:hAnsi="Aptos"/>
        </w:rPr>
        <w:t>CMP-048 Security</w:t>
      </w:r>
    </w:p>
    <w:p>
      <w:pPr>
        <w:pStyle w:val="ListBullet"/>
        <w:spacing w:after="40" w:line="259" w:lineRule="auto"/>
      </w:pPr>
      <w:r>
        <w:rPr>
          <w:rFonts w:ascii="Aptos" w:hAnsi="Aptos"/>
        </w:rPr>
        <w:t>CMP-038 Events</w:t>
      </w:r>
    </w:p>
    <w:p>
      <w:pPr>
        <w:pStyle w:val="ListBullet"/>
        <w:spacing w:after="40" w:line="259" w:lineRule="auto"/>
      </w:pPr>
      <w:r>
        <w:rPr>
          <w:rFonts w:ascii="Aptos" w:hAnsi="Aptos"/>
        </w:rPr>
        <w:t>CMP-047 Observability</w:t>
      </w:r>
    </w:p>
    <w:p>
      <w:pPr>
        <w:pStyle w:val="Heading3"/>
      </w:pPr>
      <w:r>
        <w:t>Failure behavior and safeguards</w:t>
      </w:r>
    </w:p>
    <w:p>
      <w:pPr>
        <w:pStyle w:val="ListBullet"/>
        <w:spacing w:after="40" w:line="259" w:lineRule="auto"/>
      </w:pPr>
      <w:r>
        <w:rPr>
          <w:rFonts w:ascii="Aptos" w:hAnsi="Aptos"/>
        </w:rPr>
        <w:t>Provider timeout</w:t>
      </w:r>
    </w:p>
    <w:p>
      <w:pPr>
        <w:pStyle w:val="ListBullet"/>
        <w:spacing w:after="40" w:line="259" w:lineRule="auto"/>
      </w:pPr>
      <w:r>
        <w:rPr>
          <w:rFonts w:ascii="Aptos" w:hAnsi="Aptos"/>
        </w:rPr>
        <w:t>Credential expired</w:t>
      </w:r>
    </w:p>
    <w:p>
      <w:pPr>
        <w:pStyle w:val="ListBullet"/>
        <w:spacing w:after="40" w:line="259" w:lineRule="auto"/>
      </w:pPr>
      <w:r>
        <w:rPr>
          <w:rFonts w:ascii="Aptos" w:hAnsi="Aptos"/>
        </w:rPr>
        <w:t>Schema change</w:t>
      </w:r>
    </w:p>
    <w:p>
      <w:pPr>
        <w:pStyle w:val="ListBullet"/>
        <w:spacing w:after="40" w:line="259" w:lineRule="auto"/>
      </w:pPr>
      <w:r>
        <w:rPr>
          <w:rFonts w:ascii="Aptos" w:hAnsi="Aptos"/>
        </w:rPr>
        <w:t>Duplicate callback</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CMP-038  Event Bus / Messaging Platform</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Platform Backbone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durable domain-event transport and isolation queues using MSK/Kafka and SQS where appropriate.</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Every domain event includes tenantId, cellId, eventId, aggregateId, type, version, occurredAt, correlationId.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100K events/sec certification target for representative internal mix; partitions by ordering requirement.</w:t>
            </w:r>
          </w:p>
        </w:tc>
      </w:tr>
    </w:tbl>
    <w:p>
      <w:pPr>
        <w:spacing w:after="40"/>
      </w:pPr>
    </w:p>
    <w:p>
      <w:pPr>
        <w:pStyle w:val="Heading3"/>
      </w:pPr>
      <w:r>
        <w:t>Responsibilities</w:t>
      </w:r>
    </w:p>
    <w:p>
      <w:pPr>
        <w:pStyle w:val="ListBullet"/>
        <w:spacing w:after="40" w:line="259" w:lineRule="auto"/>
      </w:pPr>
      <w:r>
        <w:rPr>
          <w:rFonts w:ascii="Aptos" w:hAnsi="Aptos"/>
        </w:rPr>
        <w:t>Topic governance</w:t>
      </w:r>
    </w:p>
    <w:p>
      <w:pPr>
        <w:pStyle w:val="ListBullet"/>
        <w:spacing w:after="40" w:line="259" w:lineRule="auto"/>
      </w:pPr>
      <w:r>
        <w:rPr>
          <w:rFonts w:ascii="Aptos" w:hAnsi="Aptos"/>
        </w:rPr>
        <w:t>Schema/versioning</w:t>
      </w:r>
    </w:p>
    <w:p>
      <w:pPr>
        <w:pStyle w:val="ListBullet"/>
        <w:spacing w:after="40" w:line="259" w:lineRule="auto"/>
      </w:pPr>
      <w:r>
        <w:rPr>
          <w:rFonts w:ascii="Aptos" w:hAnsi="Aptos"/>
        </w:rPr>
        <w:t>Partitioning</w:t>
      </w:r>
    </w:p>
    <w:p>
      <w:pPr>
        <w:pStyle w:val="ListBullet"/>
        <w:spacing w:after="40" w:line="259" w:lineRule="auto"/>
      </w:pPr>
      <w:r>
        <w:rPr>
          <w:rFonts w:ascii="Aptos" w:hAnsi="Aptos"/>
        </w:rPr>
        <w:t>Outbox ingestion</w:t>
      </w:r>
    </w:p>
    <w:p>
      <w:pPr>
        <w:pStyle w:val="ListBullet"/>
        <w:spacing w:after="40" w:line="259" w:lineRule="auto"/>
      </w:pPr>
      <w:r>
        <w:rPr>
          <w:rFonts w:ascii="Aptos" w:hAnsi="Aptos"/>
        </w:rPr>
        <w:t>Retry/DLQ patterns</w:t>
      </w:r>
    </w:p>
    <w:p>
      <w:pPr>
        <w:pStyle w:val="ListBullet"/>
        <w:spacing w:after="40" w:line="259" w:lineRule="auto"/>
      </w:pPr>
      <w:r>
        <w:rPr>
          <w:rFonts w:ascii="Aptos" w:hAnsi="Aptos"/>
        </w:rPr>
        <w:t>Consumer lag monitoring</w:t>
      </w:r>
    </w:p>
    <w:p>
      <w:pPr>
        <w:pStyle w:val="Heading3"/>
      </w:pPr>
      <w:r>
        <w:t>Explicit non-responsibilities</w:t>
      </w:r>
    </w:p>
    <w:p>
      <w:pPr>
        <w:pStyle w:val="ListBullet"/>
        <w:spacing w:after="40" w:line="259" w:lineRule="auto"/>
      </w:pPr>
      <w:r>
        <w:rPr>
          <w:rFonts w:ascii="Aptos" w:hAnsi="Aptos"/>
        </w:rPr>
        <w:t>Does not become authoritative business state</w:t>
      </w:r>
    </w:p>
    <w:p>
      <w:pPr>
        <w:pStyle w:val="ListBullet"/>
        <w:spacing w:after="40" w:line="259" w:lineRule="auto"/>
      </w:pPr>
      <w:r>
        <w:rPr>
          <w:rFonts w:ascii="Aptos" w:hAnsi="Aptos"/>
        </w:rPr>
        <w:t>Does not place large binary payloads on events</w:t>
      </w:r>
    </w:p>
    <w:p>
      <w:pPr>
        <w:pStyle w:val="Heading3"/>
      </w:pPr>
      <w:r>
        <w:t>Authoritative data / state</w:t>
      </w:r>
    </w:p>
    <w:p>
      <w:pPr>
        <w:pStyle w:val="ListBullet"/>
        <w:spacing w:after="40" w:line="259" w:lineRule="auto"/>
      </w:pPr>
      <w:r>
        <w:rPr>
          <w:rFonts w:ascii="Aptos" w:hAnsi="Aptos"/>
        </w:rPr>
        <w:t>topic registry</w:t>
      </w:r>
    </w:p>
    <w:p>
      <w:pPr>
        <w:pStyle w:val="ListBullet"/>
        <w:spacing w:after="40" w:line="259" w:lineRule="auto"/>
      </w:pPr>
      <w:r>
        <w:rPr>
          <w:rFonts w:ascii="Aptos" w:hAnsi="Aptos"/>
        </w:rPr>
        <w:t>schema metadata</w:t>
      </w:r>
    </w:p>
    <w:p>
      <w:pPr>
        <w:pStyle w:val="ListBullet"/>
        <w:spacing w:after="40" w:line="259" w:lineRule="auto"/>
      </w:pPr>
      <w:r>
        <w:rPr>
          <w:rFonts w:ascii="Aptos" w:hAnsi="Aptos"/>
        </w:rPr>
        <w:t>consumer checkpoint metadata</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Interface</w:t>
            </w:r>
          </w:p>
        </w:tc>
        <w:tc>
          <w:tcPr>
            <w:tcW w:type="dxa" w:w="7920"/>
            <w:tcMar>
              <w:top w:w="90" w:type="dxa"/>
              <w:start w:w="90" w:type="dxa"/>
              <w:bottom w:w="90" w:type="dxa"/>
              <w:end w:w="90" w:type="dxa"/>
            </w:tcMar>
          </w:tcPr>
          <w:p>
            <w:r>
              <w:rPr>
                <w:rFonts w:ascii="Aptos" w:hAnsi="Aptos"/>
                <w:sz w:val="17"/>
              </w:rPr>
              <w:t>Event contracts via AsyncAPI rather than end-user REST</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All domain events</w:t>
            </w:r>
          </w:p>
        </w:tc>
      </w:tr>
    </w:tbl>
    <w:p>
      <w:pPr>
        <w:spacing w:after="40"/>
      </w:pPr>
    </w:p>
    <w:p>
      <w:pPr>
        <w:pStyle w:val="Heading3"/>
      </w:pPr>
      <w:r>
        <w:t>Dependencies and integration</w:t>
      </w:r>
    </w:p>
    <w:p>
      <w:pPr>
        <w:pStyle w:val="ListBullet"/>
        <w:spacing w:after="40" w:line="259" w:lineRule="auto"/>
      </w:pPr>
      <w:r>
        <w:rPr>
          <w:rFonts w:ascii="Aptos" w:hAnsi="Aptos"/>
        </w:rPr>
        <w:t>MSK/Kafka</w:t>
      </w:r>
    </w:p>
    <w:p>
      <w:pPr>
        <w:pStyle w:val="ListBullet"/>
        <w:spacing w:after="40" w:line="259" w:lineRule="auto"/>
      </w:pPr>
      <w:r>
        <w:rPr>
          <w:rFonts w:ascii="Aptos" w:hAnsi="Aptos"/>
        </w:rPr>
        <w:t>SQS</w:t>
      </w:r>
    </w:p>
    <w:p>
      <w:pPr>
        <w:pStyle w:val="ListBullet"/>
        <w:spacing w:after="40" w:line="259" w:lineRule="auto"/>
      </w:pPr>
      <w:r>
        <w:rPr>
          <w:rFonts w:ascii="Aptos" w:hAnsi="Aptos"/>
        </w:rPr>
        <w:t>CMP-031 Audit</w:t>
      </w:r>
    </w:p>
    <w:p>
      <w:pPr>
        <w:pStyle w:val="ListBullet"/>
        <w:spacing w:after="40" w:line="259" w:lineRule="auto"/>
      </w:pPr>
      <w:r>
        <w:rPr>
          <w:rFonts w:ascii="Aptos" w:hAnsi="Aptos"/>
        </w:rPr>
        <w:t>CMP-047 Observability</w:t>
      </w:r>
    </w:p>
    <w:p>
      <w:pPr>
        <w:pStyle w:val="Heading3"/>
      </w:pPr>
      <w:r>
        <w:t>Failure behavior and safeguards</w:t>
      </w:r>
    </w:p>
    <w:p>
      <w:pPr>
        <w:pStyle w:val="ListBullet"/>
        <w:spacing w:after="40" w:line="259" w:lineRule="auto"/>
      </w:pPr>
      <w:r>
        <w:rPr>
          <w:rFonts w:ascii="Aptos" w:hAnsi="Aptos"/>
        </w:rPr>
        <w:t>Consumer lag</w:t>
      </w:r>
    </w:p>
    <w:p>
      <w:pPr>
        <w:pStyle w:val="ListBullet"/>
        <w:spacing w:after="40" w:line="259" w:lineRule="auto"/>
      </w:pPr>
      <w:r>
        <w:rPr>
          <w:rFonts w:ascii="Aptos" w:hAnsi="Aptos"/>
        </w:rPr>
        <w:t>Poison message</w:t>
      </w:r>
    </w:p>
    <w:p>
      <w:pPr>
        <w:pStyle w:val="ListBullet"/>
        <w:spacing w:after="40" w:line="259" w:lineRule="auto"/>
      </w:pPr>
      <w:r>
        <w:rPr>
          <w:rFonts w:ascii="Aptos" w:hAnsi="Aptos"/>
        </w:rPr>
        <w:t>Broker outage</w:t>
      </w:r>
    </w:p>
    <w:p>
      <w:pPr>
        <w:pStyle w:val="ListBullet"/>
        <w:spacing w:after="40" w:line="259" w:lineRule="auto"/>
      </w:pPr>
      <w:r>
        <w:rPr>
          <w:rFonts w:ascii="Aptos" w:hAnsi="Aptos"/>
        </w:rPr>
        <w:t>Duplicate delivery</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CMP-039  AI Gateway</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 Platform</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Centralize model-provider access, routing, privacy controls, prompt policies, quotas, evaluation and audit.</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Tenant/service/citizen purpose context accompanies calls; prompt data minimization mandatory.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Provider failover possible; bounded latency budgets; cost telemetry by tenant/service/use case.</w:t>
            </w:r>
          </w:p>
        </w:tc>
      </w:tr>
    </w:tbl>
    <w:p>
      <w:pPr>
        <w:spacing w:after="40"/>
      </w:pPr>
    </w:p>
    <w:p>
      <w:pPr>
        <w:pStyle w:val="Heading3"/>
      </w:pPr>
      <w:r>
        <w:t>Responsibilities</w:t>
      </w:r>
    </w:p>
    <w:p>
      <w:pPr>
        <w:pStyle w:val="ListBullet"/>
        <w:spacing w:after="40" w:line="259" w:lineRule="auto"/>
      </w:pPr>
      <w:r>
        <w:rPr>
          <w:rFonts w:ascii="Aptos" w:hAnsi="Aptos"/>
        </w:rPr>
        <w:t>Provider abstraction</w:t>
      </w:r>
    </w:p>
    <w:p>
      <w:pPr>
        <w:pStyle w:val="ListBullet"/>
        <w:spacing w:after="40" w:line="259" w:lineRule="auto"/>
      </w:pPr>
      <w:r>
        <w:rPr>
          <w:rFonts w:ascii="Aptos" w:hAnsi="Aptos"/>
        </w:rPr>
        <w:t>Model routing</w:t>
      </w:r>
    </w:p>
    <w:p>
      <w:pPr>
        <w:pStyle w:val="ListBullet"/>
        <w:spacing w:after="40" w:line="259" w:lineRule="auto"/>
      </w:pPr>
      <w:r>
        <w:rPr>
          <w:rFonts w:ascii="Aptos" w:hAnsi="Aptos"/>
        </w:rPr>
        <w:t>Prompt/data redaction</w:t>
      </w:r>
    </w:p>
    <w:p>
      <w:pPr>
        <w:pStyle w:val="ListBullet"/>
        <w:spacing w:after="40" w:line="259" w:lineRule="auto"/>
      </w:pPr>
      <w:r>
        <w:rPr>
          <w:rFonts w:ascii="Aptos" w:hAnsi="Aptos"/>
        </w:rPr>
        <w:t>Safety policy</w:t>
      </w:r>
    </w:p>
    <w:p>
      <w:pPr>
        <w:pStyle w:val="ListBullet"/>
        <w:spacing w:after="40" w:line="259" w:lineRule="auto"/>
      </w:pPr>
      <w:r>
        <w:rPr>
          <w:rFonts w:ascii="Aptos" w:hAnsi="Aptos"/>
        </w:rPr>
        <w:t>Quota/budget</w:t>
      </w:r>
    </w:p>
    <w:p>
      <w:pPr>
        <w:pStyle w:val="ListBullet"/>
        <w:spacing w:after="40" w:line="259" w:lineRule="auto"/>
      </w:pPr>
      <w:r>
        <w:rPr>
          <w:rFonts w:ascii="Aptos" w:hAnsi="Aptos"/>
        </w:rPr>
        <w:t>Caching where safe</w:t>
      </w:r>
    </w:p>
    <w:p>
      <w:pPr>
        <w:pStyle w:val="ListBullet"/>
        <w:spacing w:after="40" w:line="259" w:lineRule="auto"/>
      </w:pPr>
      <w:r>
        <w:rPr>
          <w:rFonts w:ascii="Aptos" w:hAnsi="Aptos"/>
        </w:rPr>
        <w:t>Evaluation telemetry</w:t>
      </w:r>
    </w:p>
    <w:p>
      <w:pPr>
        <w:pStyle w:val="Heading3"/>
      </w:pPr>
      <w:r>
        <w:t>Explicit non-responsibilities</w:t>
      </w:r>
    </w:p>
    <w:p>
      <w:pPr>
        <w:pStyle w:val="ListBullet"/>
        <w:spacing w:after="40" w:line="259" w:lineRule="auto"/>
      </w:pPr>
      <w:r>
        <w:rPr>
          <w:rFonts w:ascii="Aptos" w:hAnsi="Aptos"/>
        </w:rPr>
        <w:t>Domain services must not call model providers directly</w:t>
      </w:r>
    </w:p>
    <w:p>
      <w:pPr>
        <w:pStyle w:val="ListBullet"/>
        <w:spacing w:after="40" w:line="259" w:lineRule="auto"/>
      </w:pPr>
      <w:r>
        <w:rPr>
          <w:rFonts w:ascii="Aptos" w:hAnsi="Aptos"/>
        </w:rPr>
        <w:t>AI output is not automatically authoritative</w:t>
      </w:r>
    </w:p>
    <w:p>
      <w:pPr>
        <w:pStyle w:val="Heading3"/>
      </w:pPr>
      <w:r>
        <w:t>Authoritative data / state</w:t>
      </w:r>
    </w:p>
    <w:p>
      <w:pPr>
        <w:pStyle w:val="ListBullet"/>
        <w:spacing w:after="40" w:line="259" w:lineRule="auto"/>
      </w:pPr>
      <w:r>
        <w:rPr>
          <w:rFonts w:ascii="Aptos" w:hAnsi="Aptos"/>
        </w:rPr>
        <w:t>ai_request_metadata</w:t>
      </w:r>
    </w:p>
    <w:p>
      <w:pPr>
        <w:pStyle w:val="ListBullet"/>
        <w:spacing w:after="40" w:line="259" w:lineRule="auto"/>
      </w:pPr>
      <w:r>
        <w:rPr>
          <w:rFonts w:ascii="Aptos" w:hAnsi="Aptos"/>
        </w:rPr>
        <w:t>ai_policy</w:t>
      </w:r>
    </w:p>
    <w:p>
      <w:pPr>
        <w:pStyle w:val="ListBullet"/>
        <w:spacing w:after="40" w:line="259" w:lineRule="auto"/>
      </w:pPr>
      <w:r>
        <w:rPr>
          <w:rFonts w:ascii="Aptos" w:hAnsi="Aptos"/>
        </w:rPr>
        <w:t>model_registry</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/ai/invoke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/ai/embed</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/ai/models/capabilities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AIRequestCompleted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AIRequestBlocked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AIProviderFallbackUsed</w:t>
            </w:r>
          </w:p>
        </w:tc>
      </w:tr>
    </w:tbl>
    <w:p>
      <w:pPr>
        <w:spacing w:after="40"/>
      </w:pPr>
    </w:p>
    <w:p>
      <w:pPr>
        <w:pStyle w:val="Heading3"/>
      </w:pPr>
      <w:r>
        <w:t>Dependencies and integration</w:t>
      </w:r>
    </w:p>
    <w:p>
      <w:pPr>
        <w:pStyle w:val="ListBullet"/>
        <w:spacing w:after="40" w:line="259" w:lineRule="auto"/>
      </w:pPr>
      <w:r>
        <w:rPr>
          <w:rFonts w:ascii="Aptos" w:hAnsi="Aptos"/>
        </w:rPr>
        <w:t>Bedrock initially</w:t>
      </w:r>
    </w:p>
    <w:p>
      <w:pPr>
        <w:pStyle w:val="ListBullet"/>
        <w:spacing w:after="40" w:line="259" w:lineRule="auto"/>
      </w:pPr>
      <w:r>
        <w:rPr>
          <w:rFonts w:ascii="Aptos" w:hAnsi="Aptos"/>
        </w:rPr>
        <w:t>CMP-030 Privacy</w:t>
      </w:r>
    </w:p>
    <w:p>
      <w:pPr>
        <w:pStyle w:val="ListBullet"/>
        <w:spacing w:after="40" w:line="259" w:lineRule="auto"/>
      </w:pPr>
      <w:r>
        <w:rPr>
          <w:rFonts w:ascii="Aptos" w:hAnsi="Aptos"/>
        </w:rPr>
        <w:t>CMP-031 Audit</w:t>
      </w:r>
    </w:p>
    <w:p>
      <w:pPr>
        <w:pStyle w:val="ListBullet"/>
        <w:spacing w:after="40" w:line="259" w:lineRule="auto"/>
      </w:pPr>
      <w:r>
        <w:rPr>
          <w:rFonts w:ascii="Aptos" w:hAnsi="Aptos"/>
        </w:rPr>
        <w:t>CMP-048 Security</w:t>
      </w:r>
    </w:p>
    <w:p>
      <w:pPr>
        <w:pStyle w:val="Heading3"/>
      </w:pPr>
      <w:r>
        <w:t>Failure behavior and safeguards</w:t>
      </w:r>
    </w:p>
    <w:p>
      <w:pPr>
        <w:pStyle w:val="ListBullet"/>
        <w:spacing w:after="40" w:line="259" w:lineRule="auto"/>
      </w:pPr>
      <w:r>
        <w:rPr>
          <w:rFonts w:ascii="Aptos" w:hAnsi="Aptos"/>
        </w:rPr>
        <w:t>Provider outage</w:t>
      </w:r>
    </w:p>
    <w:p>
      <w:pPr>
        <w:pStyle w:val="ListBullet"/>
        <w:spacing w:after="40" w:line="259" w:lineRule="auto"/>
      </w:pPr>
      <w:r>
        <w:rPr>
          <w:rFonts w:ascii="Aptos" w:hAnsi="Aptos"/>
        </w:rPr>
        <w:t>Unsafe output</w:t>
      </w:r>
    </w:p>
    <w:p>
      <w:pPr>
        <w:pStyle w:val="ListBullet"/>
        <w:spacing w:after="40" w:line="259" w:lineRule="auto"/>
      </w:pPr>
      <w:r>
        <w:rPr>
          <w:rFonts w:ascii="Aptos" w:hAnsi="Aptos"/>
        </w:rPr>
        <w:t>PII policy violation</w:t>
      </w:r>
    </w:p>
    <w:p>
      <w:pPr>
        <w:pStyle w:val="ListBullet"/>
        <w:spacing w:after="40" w:line="259" w:lineRule="auto"/>
      </w:pPr>
      <w:r>
        <w:rPr>
          <w:rFonts w:ascii="Aptos" w:hAnsi="Aptos"/>
        </w:rPr>
        <w:t>Budget exceeded</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CMP-040  AI Service Designer Agent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 Capability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Generate draft forms, rules, evidence policies, workflow and tests from natural language or source documents for human review.</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Drafts tenant-scoped with source provenance; maker-checker mandatory before publication.</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Long-running generation can be async with progressive results.</w:t>
            </w:r>
          </w:p>
        </w:tc>
      </w:tr>
    </w:tbl>
    <w:p>
      <w:pPr>
        <w:spacing w:after="40"/>
      </w:pPr>
    </w:p>
    <w:p>
      <w:pPr>
        <w:pStyle w:val="Heading3"/>
      </w:pPr>
      <w:r>
        <w:t>Responsibilities</w:t>
      </w:r>
    </w:p>
    <w:p>
      <w:pPr>
        <w:pStyle w:val="ListBullet"/>
        <w:spacing w:after="40" w:line="259" w:lineRule="auto"/>
      </w:pPr>
      <w:r>
        <w:rPr>
          <w:rFonts w:ascii="Aptos" w:hAnsi="Aptos"/>
        </w:rPr>
        <w:t>Service draft generation</w:t>
      </w:r>
    </w:p>
    <w:p>
      <w:pPr>
        <w:pStyle w:val="ListBullet"/>
        <w:spacing w:after="40" w:line="259" w:lineRule="auto"/>
      </w:pPr>
      <w:r>
        <w:rPr>
          <w:rFonts w:ascii="Aptos" w:hAnsi="Aptos"/>
        </w:rPr>
        <w:t>PDF/DOCX/image extraction orchestration</w:t>
      </w:r>
    </w:p>
    <w:p>
      <w:pPr>
        <w:pStyle w:val="ListBullet"/>
        <w:spacing w:after="40" w:line="259" w:lineRule="auto"/>
      </w:pPr>
      <w:r>
        <w:rPr>
          <w:rFonts w:ascii="Aptos" w:hAnsi="Aptos"/>
        </w:rPr>
        <w:t>Field/rule/workflow proposal</w:t>
      </w:r>
    </w:p>
    <w:p>
      <w:pPr>
        <w:pStyle w:val="ListBullet"/>
        <w:spacing w:after="40" w:line="259" w:lineRule="auto"/>
      </w:pPr>
      <w:r>
        <w:rPr>
          <w:rFonts w:ascii="Aptos" w:hAnsi="Aptos"/>
        </w:rPr>
        <w:t>Gap questions</w:t>
      </w:r>
    </w:p>
    <w:p>
      <w:pPr>
        <w:pStyle w:val="ListBullet"/>
        <w:spacing w:after="40" w:line="259" w:lineRule="auto"/>
      </w:pPr>
      <w:r>
        <w:rPr>
          <w:rFonts w:ascii="Aptos" w:hAnsi="Aptos"/>
        </w:rPr>
        <w:t>Test-case proposal</w:t>
      </w:r>
    </w:p>
    <w:p>
      <w:pPr>
        <w:pStyle w:val="Heading3"/>
      </w:pPr>
      <w:r>
        <w:t>Explicit non-responsibilities</w:t>
      </w:r>
    </w:p>
    <w:p>
      <w:pPr>
        <w:pStyle w:val="ListBullet"/>
        <w:spacing w:after="40" w:line="259" w:lineRule="auto"/>
      </w:pPr>
      <w:r>
        <w:rPr>
          <w:rFonts w:ascii="Aptos" w:hAnsi="Aptos"/>
        </w:rPr>
        <w:t>Does not publish directly</w:t>
      </w:r>
    </w:p>
    <w:p>
      <w:pPr>
        <w:pStyle w:val="ListBullet"/>
        <w:spacing w:after="40" w:line="259" w:lineRule="auto"/>
      </w:pPr>
      <w:r>
        <w:rPr>
          <w:rFonts w:ascii="Aptos" w:hAnsi="Aptos"/>
        </w:rPr>
        <w:t>Does not invent statutory rules when source ambiguous</w:t>
      </w:r>
    </w:p>
    <w:p>
      <w:pPr>
        <w:pStyle w:val="ListBullet"/>
        <w:spacing w:after="40" w:line="259" w:lineRule="auto"/>
      </w:pPr>
      <w:r>
        <w:rPr>
          <w:rFonts w:ascii="Aptos" w:hAnsi="Aptos"/>
        </w:rPr>
        <w:t>Does not create tenant-specific runtime code</w:t>
      </w:r>
    </w:p>
    <w:p>
      <w:pPr>
        <w:pStyle w:val="Heading3"/>
      </w:pPr>
      <w:r>
        <w:t>Authoritative data / state</w:t>
      </w:r>
    </w:p>
    <w:p>
      <w:pPr>
        <w:pStyle w:val="ListBullet"/>
        <w:spacing w:after="40" w:line="259" w:lineRule="auto"/>
      </w:pPr>
      <w:r>
        <w:rPr>
          <w:rFonts w:ascii="Aptos" w:hAnsi="Aptos"/>
        </w:rPr>
        <w:t>ai_design_session</w:t>
      </w:r>
    </w:p>
    <w:p>
      <w:pPr>
        <w:pStyle w:val="ListBullet"/>
        <w:spacing w:after="40" w:line="259" w:lineRule="auto"/>
      </w:pPr>
      <w:r>
        <w:rPr>
          <w:rFonts w:ascii="Aptos" w:hAnsi="Aptos"/>
        </w:rPr>
        <w:t>ai_design_provenance</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/studio/ai/generate-service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/studio/ai/import-document</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AIServiceDraftGenerated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AIServiceDraftNeedsClarification</w:t>
            </w:r>
          </w:p>
        </w:tc>
      </w:tr>
    </w:tbl>
    <w:p>
      <w:pPr>
        <w:spacing w:after="40"/>
      </w:pPr>
    </w:p>
    <w:p>
      <w:pPr>
        <w:pStyle w:val="Heading3"/>
      </w:pPr>
      <w:r>
        <w:t>Dependencies and integration</w:t>
      </w:r>
    </w:p>
    <w:p>
      <w:pPr>
        <w:pStyle w:val="ListBullet"/>
        <w:spacing w:after="40" w:line="259" w:lineRule="auto"/>
      </w:pPr>
      <w:r>
        <w:rPr>
          <w:rFonts w:ascii="Aptos" w:hAnsi="Aptos"/>
        </w:rPr>
        <w:t>CMP-039 AI Gateway</w:t>
      </w:r>
    </w:p>
    <w:p>
      <w:pPr>
        <w:pStyle w:val="ListBullet"/>
        <w:spacing w:after="40" w:line="259" w:lineRule="auto"/>
      </w:pPr>
      <w:r>
        <w:rPr>
          <w:rFonts w:ascii="Aptos" w:hAnsi="Aptos"/>
        </w:rPr>
        <w:t>CMP-050 Studio</w:t>
      </w:r>
    </w:p>
    <w:p>
      <w:pPr>
        <w:pStyle w:val="ListBullet"/>
        <w:spacing w:after="40" w:line="259" w:lineRule="auto"/>
      </w:pPr>
      <w:r>
        <w:rPr>
          <w:rFonts w:ascii="Aptos" w:hAnsi="Aptos"/>
        </w:rPr>
        <w:t>CMP-043 Validation</w:t>
      </w:r>
    </w:p>
    <w:p>
      <w:pPr>
        <w:pStyle w:val="ListBullet"/>
        <w:spacing w:after="40" w:line="259" w:lineRule="auto"/>
      </w:pPr>
      <w:r>
        <w:rPr>
          <w:rFonts w:ascii="Aptos" w:hAnsi="Aptos"/>
        </w:rPr>
        <w:t>CMP-044 Testing</w:t>
      </w:r>
    </w:p>
    <w:p>
      <w:pPr>
        <w:pStyle w:val="Heading3"/>
      </w:pPr>
      <w:r>
        <w:t>Failure behavior and safeguards</w:t>
      </w:r>
    </w:p>
    <w:p>
      <w:pPr>
        <w:pStyle w:val="ListBullet"/>
        <w:spacing w:after="40" w:line="259" w:lineRule="auto"/>
      </w:pPr>
      <w:r>
        <w:rPr>
          <w:rFonts w:ascii="Aptos" w:hAnsi="Aptos"/>
        </w:rPr>
        <w:t>Ambiguous policy source</w:t>
      </w:r>
    </w:p>
    <w:p>
      <w:pPr>
        <w:pStyle w:val="ListBullet"/>
        <w:spacing w:after="40" w:line="259" w:lineRule="auto"/>
      </w:pPr>
      <w:r>
        <w:rPr>
          <w:rFonts w:ascii="Aptos" w:hAnsi="Aptos"/>
        </w:rPr>
        <w:t>Unsupported document</w:t>
      </w:r>
    </w:p>
    <w:p>
      <w:pPr>
        <w:pStyle w:val="ListBullet"/>
        <w:spacing w:after="40" w:line="259" w:lineRule="auto"/>
      </w:pPr>
      <w:r>
        <w:rPr>
          <w:rFonts w:ascii="Aptos" w:hAnsi="Aptos"/>
        </w:rPr>
        <w:t>Hallucinated field/rule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CMP-041  AI Citizen Assistant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 Capability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Help citizens discover services, understand requirements and complete forms using grounded, consent-aware context.</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Context limited to authenticated citizen and current tenant/service/application scope.</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Graceful non-AI fallback to deterministic help content.</w:t>
            </w:r>
          </w:p>
        </w:tc>
      </w:tr>
    </w:tbl>
    <w:p>
      <w:pPr>
        <w:spacing w:after="40"/>
      </w:pPr>
    </w:p>
    <w:p>
      <w:pPr>
        <w:pStyle w:val="Heading3"/>
      </w:pPr>
      <w:r>
        <w:t>Responsibilities</w:t>
      </w:r>
    </w:p>
    <w:p>
      <w:pPr>
        <w:pStyle w:val="ListBullet"/>
        <w:spacing w:after="40" w:line="259" w:lineRule="auto"/>
      </w:pPr>
      <w:r>
        <w:rPr>
          <w:rFonts w:ascii="Aptos" w:hAnsi="Aptos"/>
        </w:rPr>
        <w:t>Service Q&amp;A</w:t>
      </w:r>
    </w:p>
    <w:p>
      <w:pPr>
        <w:pStyle w:val="ListBullet"/>
        <w:spacing w:after="40" w:line="259" w:lineRule="auto"/>
      </w:pPr>
      <w:r>
        <w:rPr>
          <w:rFonts w:ascii="Aptos" w:hAnsi="Aptos"/>
        </w:rPr>
        <w:t>Form assistance</w:t>
      </w:r>
    </w:p>
    <w:p>
      <w:pPr>
        <w:pStyle w:val="ListBullet"/>
        <w:spacing w:after="40" w:line="259" w:lineRule="auto"/>
      </w:pPr>
      <w:r>
        <w:rPr>
          <w:rFonts w:ascii="Aptos" w:hAnsi="Aptos"/>
        </w:rPr>
        <w:t>Evidence explanation</w:t>
      </w:r>
    </w:p>
    <w:p>
      <w:pPr>
        <w:pStyle w:val="ListBullet"/>
        <w:spacing w:after="40" w:line="259" w:lineRule="auto"/>
      </w:pPr>
      <w:r>
        <w:rPr>
          <w:rFonts w:ascii="Aptos" w:hAnsi="Aptos"/>
        </w:rPr>
        <w:t>Status explanation</w:t>
      </w:r>
    </w:p>
    <w:p>
      <w:pPr>
        <w:pStyle w:val="ListBullet"/>
        <w:spacing w:after="40" w:line="259" w:lineRule="auto"/>
      </w:pPr>
      <w:r>
        <w:rPr>
          <w:rFonts w:ascii="Aptos" w:hAnsi="Aptos"/>
        </w:rPr>
        <w:t>Multilingual conversational support</w:t>
      </w:r>
    </w:p>
    <w:p>
      <w:pPr>
        <w:pStyle w:val="Heading3"/>
      </w:pPr>
      <w:r>
        <w:t>Explicit non-responsibilities</w:t>
      </w:r>
    </w:p>
    <w:p>
      <w:pPr>
        <w:pStyle w:val="ListBullet"/>
        <w:spacing w:after="40" w:line="259" w:lineRule="auto"/>
      </w:pPr>
      <w:r>
        <w:rPr>
          <w:rFonts w:ascii="Aptos" w:hAnsi="Aptos"/>
        </w:rPr>
        <w:t>Does not approve/reject</w:t>
      </w:r>
    </w:p>
    <w:p>
      <w:pPr>
        <w:pStyle w:val="ListBullet"/>
        <w:spacing w:after="40" w:line="259" w:lineRule="auto"/>
      </w:pPr>
      <w:r>
        <w:rPr>
          <w:rFonts w:ascii="Aptos" w:hAnsi="Aptos"/>
        </w:rPr>
        <w:t>Does not submit/pay without explicit user confirmation</w:t>
      </w:r>
    </w:p>
    <w:p>
      <w:pPr>
        <w:pStyle w:val="ListBullet"/>
        <w:spacing w:after="40" w:line="259" w:lineRule="auto"/>
      </w:pPr>
      <w:r>
        <w:rPr>
          <w:rFonts w:ascii="Aptos" w:hAnsi="Aptos"/>
        </w:rPr>
        <w:t>Does not expose hidden officer notes</w:t>
      </w:r>
    </w:p>
    <w:p>
      <w:pPr>
        <w:pStyle w:val="Heading3"/>
      </w:pPr>
      <w:r>
        <w:t>Authoritative data / state</w:t>
      </w:r>
    </w:p>
    <w:p>
      <w:pPr>
        <w:pStyle w:val="ListBullet"/>
        <w:spacing w:after="40" w:line="259" w:lineRule="auto"/>
      </w:pPr>
      <w:r>
        <w:rPr>
          <w:rFonts w:ascii="Aptos" w:hAnsi="Aptos"/>
        </w:rPr>
        <w:t>conversation metadata with privacy controls</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/citizen/assistant/chat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/citizen/assistant/action-preview</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CitizenAssistantInteraction</w:t>
            </w:r>
          </w:p>
        </w:tc>
      </w:tr>
    </w:tbl>
    <w:p>
      <w:pPr>
        <w:spacing w:after="40"/>
      </w:pPr>
    </w:p>
    <w:p>
      <w:pPr>
        <w:pStyle w:val="Heading3"/>
      </w:pPr>
      <w:r>
        <w:t>Dependencies and integration</w:t>
      </w:r>
    </w:p>
    <w:p>
      <w:pPr>
        <w:pStyle w:val="ListBullet"/>
        <w:spacing w:after="40" w:line="259" w:lineRule="auto"/>
      </w:pPr>
      <w:r>
        <w:rPr>
          <w:rFonts w:ascii="Aptos" w:hAnsi="Aptos"/>
        </w:rPr>
        <w:t>CMP-039 AI Gateway</w:t>
      </w:r>
    </w:p>
    <w:p>
      <w:pPr>
        <w:pStyle w:val="ListBullet"/>
        <w:spacing w:after="40" w:line="259" w:lineRule="auto"/>
      </w:pPr>
      <w:r>
        <w:rPr>
          <w:rFonts w:ascii="Aptos" w:hAnsi="Aptos"/>
        </w:rPr>
        <w:t>CMP-006 Discovery</w:t>
      </w:r>
    </w:p>
    <w:p>
      <w:pPr>
        <w:pStyle w:val="ListBullet"/>
        <w:spacing w:after="40" w:line="259" w:lineRule="auto"/>
      </w:pPr>
      <w:r>
        <w:rPr>
          <w:rFonts w:ascii="Aptos" w:hAnsi="Aptos"/>
        </w:rPr>
        <w:t>CMP-009 Forms</w:t>
      </w:r>
    </w:p>
    <w:p>
      <w:pPr>
        <w:pStyle w:val="ListBullet"/>
        <w:spacing w:after="40" w:line="259" w:lineRule="auto"/>
      </w:pPr>
      <w:r>
        <w:rPr>
          <w:rFonts w:ascii="Aptos" w:hAnsi="Aptos"/>
        </w:rPr>
        <w:t>CMP-015 Application</w:t>
      </w:r>
    </w:p>
    <w:p>
      <w:pPr>
        <w:pStyle w:val="Heading3"/>
      </w:pPr>
      <w:r>
        <w:t>Failure behavior and safeguards</w:t>
      </w:r>
    </w:p>
    <w:p>
      <w:pPr>
        <w:pStyle w:val="ListBullet"/>
        <w:spacing w:after="40" w:line="259" w:lineRule="auto"/>
      </w:pPr>
      <w:r>
        <w:rPr>
          <w:rFonts w:ascii="Aptos" w:hAnsi="Aptos"/>
        </w:rPr>
        <w:t>Unsafe advice</w:t>
      </w:r>
    </w:p>
    <w:p>
      <w:pPr>
        <w:pStyle w:val="ListBullet"/>
        <w:spacing w:after="40" w:line="259" w:lineRule="auto"/>
      </w:pPr>
      <w:r>
        <w:rPr>
          <w:rFonts w:ascii="Aptos" w:hAnsi="Aptos"/>
        </w:rPr>
        <w:t>Prompt injection</w:t>
      </w:r>
    </w:p>
    <w:p>
      <w:pPr>
        <w:pStyle w:val="ListBullet"/>
        <w:spacing w:after="40" w:line="259" w:lineRule="auto"/>
      </w:pPr>
      <w:r>
        <w:rPr>
          <w:rFonts w:ascii="Aptos" w:hAnsi="Aptos"/>
        </w:rPr>
        <w:t>Model unavailable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CMP-042  AI Officer Copilot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 Capability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Assist officers with summarization, evidence comparison, draft notes and next-step suggestions while preserving human decision authority.</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OPA scope checked before context assembly; prompts exclude unrelated tenant/citizen data.</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Async summarization/cache allowed for claimed/authorized cases.</w:t>
            </w:r>
          </w:p>
        </w:tc>
      </w:tr>
    </w:tbl>
    <w:p>
      <w:pPr>
        <w:spacing w:after="40"/>
      </w:pPr>
    </w:p>
    <w:p>
      <w:pPr>
        <w:pStyle w:val="Heading3"/>
      </w:pPr>
      <w:r>
        <w:t>Responsibilities</w:t>
      </w:r>
    </w:p>
    <w:p>
      <w:pPr>
        <w:pStyle w:val="ListBullet"/>
        <w:spacing w:after="40" w:line="259" w:lineRule="auto"/>
      </w:pPr>
      <w:r>
        <w:rPr>
          <w:rFonts w:ascii="Aptos" w:hAnsi="Aptos"/>
        </w:rPr>
        <w:t>Case summary</w:t>
      </w:r>
    </w:p>
    <w:p>
      <w:pPr>
        <w:pStyle w:val="ListBullet"/>
        <w:spacing w:after="40" w:line="259" w:lineRule="auto"/>
      </w:pPr>
      <w:r>
        <w:rPr>
          <w:rFonts w:ascii="Aptos" w:hAnsi="Aptos"/>
        </w:rPr>
        <w:t>Evidence discrepancy highlight</w:t>
      </w:r>
    </w:p>
    <w:p>
      <w:pPr>
        <w:pStyle w:val="ListBullet"/>
        <w:spacing w:after="40" w:line="259" w:lineRule="auto"/>
      </w:pPr>
      <w:r>
        <w:rPr>
          <w:rFonts w:ascii="Aptos" w:hAnsi="Aptos"/>
        </w:rPr>
        <w:t>Draft deficiency/decision note</w:t>
      </w:r>
    </w:p>
    <w:p>
      <w:pPr>
        <w:pStyle w:val="ListBullet"/>
        <w:spacing w:after="40" w:line="259" w:lineRule="auto"/>
      </w:pPr>
      <w:r>
        <w:rPr>
          <w:rFonts w:ascii="Aptos" w:hAnsi="Aptos"/>
        </w:rPr>
        <w:t>Policy/source retrieval</w:t>
      </w:r>
    </w:p>
    <w:p>
      <w:pPr>
        <w:pStyle w:val="ListBullet"/>
        <w:spacing w:after="40" w:line="259" w:lineRule="auto"/>
      </w:pPr>
      <w:r>
        <w:rPr>
          <w:rFonts w:ascii="Aptos" w:hAnsi="Aptos"/>
        </w:rPr>
        <w:t>Work queue prioritization assistance</w:t>
      </w:r>
    </w:p>
    <w:p>
      <w:pPr>
        <w:pStyle w:val="Heading3"/>
      </w:pPr>
      <w:r>
        <w:t>Explicit non-responsibilities</w:t>
      </w:r>
    </w:p>
    <w:p>
      <w:pPr>
        <w:pStyle w:val="ListBullet"/>
        <w:spacing w:after="40" w:line="259" w:lineRule="auto"/>
      </w:pPr>
      <w:r>
        <w:rPr>
          <w:rFonts w:ascii="Aptos" w:hAnsi="Aptos"/>
        </w:rPr>
        <w:t>Does not make final statutory decision</w:t>
      </w:r>
    </w:p>
    <w:p>
      <w:pPr>
        <w:pStyle w:val="ListBullet"/>
        <w:spacing w:after="40" w:line="259" w:lineRule="auto"/>
      </w:pPr>
      <w:r>
        <w:rPr>
          <w:rFonts w:ascii="Aptos" w:hAnsi="Aptos"/>
        </w:rPr>
        <w:t>Does not bypass OPA/task ownership</w:t>
      </w:r>
    </w:p>
    <w:p>
      <w:pPr>
        <w:pStyle w:val="ListBullet"/>
        <w:spacing w:after="40" w:line="259" w:lineRule="auto"/>
      </w:pPr>
      <w:r>
        <w:rPr>
          <w:rFonts w:ascii="Aptos" w:hAnsi="Aptos"/>
        </w:rPr>
        <w:t>Does not access cases outside officer scope</w:t>
      </w:r>
    </w:p>
    <w:p>
      <w:pPr>
        <w:pStyle w:val="Heading3"/>
      </w:pPr>
      <w:r>
        <w:t>Authoritative data / state</w:t>
      </w:r>
    </w:p>
    <w:p>
      <w:pPr>
        <w:pStyle w:val="ListBullet"/>
        <w:spacing w:after="40" w:line="259" w:lineRule="auto"/>
      </w:pPr>
      <w:r>
        <w:rPr>
          <w:rFonts w:ascii="Aptos" w:hAnsi="Aptos"/>
        </w:rPr>
        <w:t>ai_assistance_audit</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/officer/copilot/cases/{id}/summary</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/officer/copilot/cases/{id}/draft-note</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OfficerCopilotUsed</w:t>
            </w:r>
          </w:p>
        </w:tc>
      </w:tr>
    </w:tbl>
    <w:p>
      <w:pPr>
        <w:spacing w:after="40"/>
      </w:pPr>
    </w:p>
    <w:p>
      <w:pPr>
        <w:pStyle w:val="Heading3"/>
      </w:pPr>
      <w:r>
        <w:t>Dependencies and integration</w:t>
      </w:r>
    </w:p>
    <w:p>
      <w:pPr>
        <w:pStyle w:val="ListBullet"/>
        <w:spacing w:after="40" w:line="259" w:lineRule="auto"/>
      </w:pPr>
      <w:r>
        <w:rPr>
          <w:rFonts w:ascii="Aptos" w:hAnsi="Aptos"/>
        </w:rPr>
        <w:t>CMP-039 AI Gateway</w:t>
      </w:r>
    </w:p>
    <w:p>
      <w:pPr>
        <w:pStyle w:val="ListBullet"/>
        <w:spacing w:after="40" w:line="259" w:lineRule="auto"/>
      </w:pPr>
      <w:r>
        <w:rPr>
          <w:rFonts w:ascii="Aptos" w:hAnsi="Aptos"/>
        </w:rPr>
        <w:t>CMP-017 Tasks</w:t>
      </w:r>
    </w:p>
    <w:p>
      <w:pPr>
        <w:pStyle w:val="ListBullet"/>
        <w:spacing w:after="40" w:line="259" w:lineRule="auto"/>
      </w:pPr>
      <w:r>
        <w:rPr>
          <w:rFonts w:ascii="Aptos" w:hAnsi="Aptos"/>
        </w:rPr>
        <w:t>CMP-031 Audit</w:t>
      </w:r>
    </w:p>
    <w:p>
      <w:pPr>
        <w:pStyle w:val="ListBullet"/>
        <w:spacing w:after="40" w:line="259" w:lineRule="auto"/>
      </w:pPr>
      <w:r>
        <w:rPr>
          <w:rFonts w:ascii="Aptos" w:hAnsi="Aptos"/>
        </w:rPr>
        <w:t>CMP-048 Security</w:t>
      </w:r>
    </w:p>
    <w:p>
      <w:pPr>
        <w:pStyle w:val="Heading3"/>
      </w:pPr>
      <w:r>
        <w:t>Failure behavior and safeguards</w:t>
      </w:r>
    </w:p>
    <w:p>
      <w:pPr>
        <w:pStyle w:val="ListBullet"/>
        <w:spacing w:after="40" w:line="259" w:lineRule="auto"/>
      </w:pPr>
      <w:r>
        <w:rPr>
          <w:rFonts w:ascii="Aptos" w:hAnsi="Aptos"/>
        </w:rPr>
        <w:t>Unauthorized context</w:t>
      </w:r>
    </w:p>
    <w:p>
      <w:pPr>
        <w:pStyle w:val="ListBullet"/>
        <w:spacing w:after="40" w:line="259" w:lineRule="auto"/>
      </w:pPr>
      <w:r>
        <w:rPr>
          <w:rFonts w:ascii="Aptos" w:hAnsi="Aptos"/>
        </w:rPr>
        <w:t>Misleading summary</w:t>
      </w:r>
    </w:p>
    <w:p>
      <w:pPr>
        <w:pStyle w:val="ListBullet"/>
        <w:spacing w:after="40" w:line="259" w:lineRule="auto"/>
      </w:pPr>
      <w:r>
        <w:rPr>
          <w:rFonts w:ascii="Aptos" w:hAnsi="Aptos"/>
        </w:rPr>
        <w:t>Sensitive data leakage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CMP-043  AI Validation Agent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AI/Quality Capability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Validate service configurations for completeness, consistency, accessibility and likely design defects before human approval.</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Validation report tenant/config scoped and retains source/version provenance.</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Blocking checks deterministic where possible; AI adds advisory findings.</w:t>
            </w:r>
          </w:p>
        </w:tc>
      </w:tr>
    </w:tbl>
    <w:p>
      <w:pPr>
        <w:spacing w:after="40"/>
      </w:pPr>
    </w:p>
    <w:p>
      <w:pPr>
        <w:pStyle w:val="Heading3"/>
      </w:pPr>
      <w:r>
        <w:t>Responsibilities</w:t>
      </w:r>
    </w:p>
    <w:p>
      <w:pPr>
        <w:pStyle w:val="ListBullet"/>
        <w:spacing w:after="40" w:line="259" w:lineRule="auto"/>
      </w:pPr>
      <w:r>
        <w:rPr>
          <w:rFonts w:ascii="Aptos" w:hAnsi="Aptos"/>
        </w:rPr>
        <w:t>Form reachability checks</w:t>
      </w:r>
    </w:p>
    <w:p>
      <w:pPr>
        <w:pStyle w:val="ListBullet"/>
        <w:spacing w:after="40" w:line="259" w:lineRule="auto"/>
      </w:pPr>
      <w:r>
        <w:rPr>
          <w:rFonts w:ascii="Aptos" w:hAnsi="Aptos"/>
        </w:rPr>
        <w:t>Rule/workflow consistency</w:t>
      </w:r>
    </w:p>
    <w:p>
      <w:pPr>
        <w:pStyle w:val="ListBullet"/>
        <w:spacing w:after="40" w:line="259" w:lineRule="auto"/>
      </w:pPr>
      <w:r>
        <w:rPr>
          <w:rFonts w:ascii="Aptos" w:hAnsi="Aptos"/>
        </w:rPr>
        <w:t>Evidence mapping</w:t>
      </w:r>
    </w:p>
    <w:p>
      <w:pPr>
        <w:pStyle w:val="ListBullet"/>
        <w:spacing w:after="40" w:line="259" w:lineRule="auto"/>
      </w:pPr>
      <w:r>
        <w:rPr>
          <w:rFonts w:ascii="Aptos" w:hAnsi="Aptos"/>
        </w:rPr>
        <w:t>Translation/accessibility checks</w:t>
      </w:r>
    </w:p>
    <w:p>
      <w:pPr>
        <w:pStyle w:val="ListBullet"/>
        <w:spacing w:after="40" w:line="259" w:lineRule="auto"/>
      </w:pPr>
      <w:r>
        <w:rPr>
          <w:rFonts w:ascii="Aptos" w:hAnsi="Aptos"/>
        </w:rPr>
        <w:t>Risk/gap report</w:t>
      </w:r>
    </w:p>
    <w:p>
      <w:pPr>
        <w:pStyle w:val="Heading3"/>
      </w:pPr>
      <w:r>
        <w:t>Explicit non-responsibilities</w:t>
      </w:r>
    </w:p>
    <w:p>
      <w:pPr>
        <w:pStyle w:val="ListBullet"/>
        <w:spacing w:after="40" w:line="259" w:lineRule="auto"/>
      </w:pPr>
      <w:r>
        <w:rPr>
          <w:rFonts w:ascii="Aptos" w:hAnsi="Aptos"/>
        </w:rPr>
        <w:t>Does not replace deterministic compiler/schema validation</w:t>
      </w:r>
    </w:p>
    <w:p>
      <w:pPr>
        <w:pStyle w:val="ListBullet"/>
        <w:spacing w:after="40" w:line="259" w:lineRule="auto"/>
      </w:pPr>
      <w:r>
        <w:rPr>
          <w:rFonts w:ascii="Aptos" w:hAnsi="Aptos"/>
        </w:rPr>
        <w:t>Does not publish directly</w:t>
      </w:r>
    </w:p>
    <w:p>
      <w:pPr>
        <w:pStyle w:val="ListBullet"/>
        <w:spacing w:after="40" w:line="259" w:lineRule="auto"/>
      </w:pPr>
      <w:r>
        <w:rPr>
          <w:rFonts w:ascii="Aptos" w:hAnsi="Aptos"/>
        </w:rPr>
        <w:t>Does not produce statutory eligibility</w:t>
      </w:r>
    </w:p>
    <w:p>
      <w:pPr>
        <w:pStyle w:val="Heading3"/>
      </w:pPr>
      <w:r>
        <w:t>Authoritative data / state</w:t>
      </w:r>
    </w:p>
    <w:p>
      <w:pPr>
        <w:pStyle w:val="ListBullet"/>
        <w:spacing w:after="40" w:line="259" w:lineRule="auto"/>
      </w:pPr>
      <w:r>
        <w:rPr>
          <w:rFonts w:ascii="Aptos" w:hAnsi="Aptos"/>
        </w:rPr>
        <w:t>validation_report</w:t>
      </w:r>
    </w:p>
    <w:p>
      <w:pPr>
        <w:pStyle w:val="ListBullet"/>
        <w:spacing w:after="40" w:line="259" w:lineRule="auto"/>
      </w:pPr>
      <w:r>
        <w:rPr>
          <w:rFonts w:ascii="Aptos" w:hAnsi="Aptos"/>
        </w:rPr>
        <w:t>validation_finding</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/studio/validate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/studio/validation/{id}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ConfigurationValidationCompleted</w:t>
            </w:r>
          </w:p>
        </w:tc>
      </w:tr>
    </w:tbl>
    <w:p>
      <w:pPr>
        <w:spacing w:after="40"/>
      </w:pPr>
    </w:p>
    <w:p>
      <w:pPr>
        <w:pStyle w:val="Heading3"/>
      </w:pPr>
      <w:r>
        <w:t>Dependencies and integration</w:t>
      </w:r>
    </w:p>
    <w:p>
      <w:pPr>
        <w:pStyle w:val="ListBullet"/>
        <w:spacing w:after="40" w:line="259" w:lineRule="auto"/>
      </w:pPr>
      <w:r>
        <w:rPr>
          <w:rFonts w:ascii="Aptos" w:hAnsi="Aptos"/>
        </w:rPr>
        <w:t>CMP-050 Studio</w:t>
      </w:r>
    </w:p>
    <w:p>
      <w:pPr>
        <w:pStyle w:val="ListBullet"/>
        <w:spacing w:after="40" w:line="259" w:lineRule="auto"/>
      </w:pPr>
      <w:r>
        <w:rPr>
          <w:rFonts w:ascii="Aptos" w:hAnsi="Aptos"/>
        </w:rPr>
        <w:t>CMP-039 AI Gateway</w:t>
      </w:r>
    </w:p>
    <w:p>
      <w:pPr>
        <w:pStyle w:val="ListBullet"/>
        <w:spacing w:after="40" w:line="259" w:lineRule="auto"/>
      </w:pPr>
      <w:r>
        <w:rPr>
          <w:rFonts w:ascii="Aptos" w:hAnsi="Aptos"/>
        </w:rPr>
        <w:t>CMP-051 Publishing</w:t>
      </w:r>
    </w:p>
    <w:p>
      <w:pPr>
        <w:pStyle w:val="Heading3"/>
      </w:pPr>
      <w:r>
        <w:t>Failure behavior and safeguards</w:t>
      </w:r>
    </w:p>
    <w:p>
      <w:pPr>
        <w:pStyle w:val="ListBullet"/>
        <w:spacing w:after="40" w:line="259" w:lineRule="auto"/>
      </w:pPr>
      <w:r>
        <w:rPr>
          <w:rFonts w:ascii="Aptos" w:hAnsi="Aptos"/>
        </w:rPr>
        <w:t>False positive</w:t>
      </w:r>
    </w:p>
    <w:p>
      <w:pPr>
        <w:pStyle w:val="ListBullet"/>
        <w:spacing w:after="40" w:line="259" w:lineRule="auto"/>
      </w:pPr>
      <w:r>
        <w:rPr>
          <w:rFonts w:ascii="Aptos" w:hAnsi="Aptos"/>
        </w:rPr>
        <w:t>Missed branch</w:t>
      </w:r>
    </w:p>
    <w:p>
      <w:pPr>
        <w:pStyle w:val="ListBullet"/>
        <w:spacing w:after="40" w:line="259" w:lineRule="auto"/>
      </w:pPr>
      <w:r>
        <w:rPr>
          <w:rFonts w:ascii="Aptos" w:hAnsi="Aptos"/>
        </w:rPr>
        <w:t>Model unavailable -&gt; deterministic validation still runs</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CMP-044  AI Testing Agent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AI/Quality Capability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Generate, execute-or-orchestrate and analyze test scenarios from requirements while clearly distinguishing generated tests from executed evidence.</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test data synthetic; no production PII in AI test prompts by default.</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Batch-oriented; supports deterministic replay.</w:t>
            </w:r>
          </w:p>
        </w:tc>
      </w:tr>
    </w:tbl>
    <w:p>
      <w:pPr>
        <w:spacing w:after="40"/>
      </w:pPr>
    </w:p>
    <w:p>
      <w:pPr>
        <w:pStyle w:val="Heading3"/>
      </w:pPr>
      <w:r>
        <w:t>Responsibilities</w:t>
      </w:r>
    </w:p>
    <w:p>
      <w:pPr>
        <w:pStyle w:val="ListBullet"/>
        <w:spacing w:after="40" w:line="259" w:lineRule="auto"/>
      </w:pPr>
      <w:r>
        <w:rPr>
          <w:rFonts w:ascii="Aptos" w:hAnsi="Aptos"/>
        </w:rPr>
        <w:t>Test generation</w:t>
      </w:r>
    </w:p>
    <w:p>
      <w:pPr>
        <w:pStyle w:val="ListBullet"/>
        <w:spacing w:after="40" w:line="259" w:lineRule="auto"/>
      </w:pPr>
      <w:r>
        <w:rPr>
          <w:rFonts w:ascii="Aptos" w:hAnsi="Aptos"/>
        </w:rPr>
        <w:t>Edge-case expansion</w:t>
      </w:r>
    </w:p>
    <w:p>
      <w:pPr>
        <w:pStyle w:val="ListBullet"/>
        <w:spacing w:after="40" w:line="259" w:lineRule="auto"/>
      </w:pPr>
      <w:r>
        <w:rPr>
          <w:rFonts w:ascii="Aptos" w:hAnsi="Aptos"/>
        </w:rPr>
        <w:t>Fixture generation</w:t>
      </w:r>
    </w:p>
    <w:p>
      <w:pPr>
        <w:pStyle w:val="ListBullet"/>
        <w:spacing w:after="40" w:line="259" w:lineRule="auto"/>
      </w:pPr>
      <w:r>
        <w:rPr>
          <w:rFonts w:ascii="Aptos" w:hAnsi="Aptos"/>
        </w:rPr>
        <w:t>Result triage</w:t>
      </w:r>
    </w:p>
    <w:p>
      <w:pPr>
        <w:pStyle w:val="ListBullet"/>
        <w:spacing w:after="40" w:line="259" w:lineRule="auto"/>
      </w:pPr>
      <w:r>
        <w:rPr>
          <w:rFonts w:ascii="Aptos" w:hAnsi="Aptos"/>
        </w:rPr>
        <w:t>Traceability update</w:t>
      </w:r>
    </w:p>
    <w:p>
      <w:pPr>
        <w:pStyle w:val="Heading3"/>
      </w:pPr>
      <w:r>
        <w:t>Explicit non-responsibilities</w:t>
      </w:r>
    </w:p>
    <w:p>
      <w:pPr>
        <w:pStyle w:val="ListBullet"/>
        <w:spacing w:after="40" w:line="259" w:lineRule="auto"/>
      </w:pPr>
      <w:r>
        <w:rPr>
          <w:rFonts w:ascii="Aptos" w:hAnsi="Aptos"/>
        </w:rPr>
        <w:t>Must never claim VERIFIED without actual execution evidence</w:t>
      </w:r>
    </w:p>
    <w:p>
      <w:pPr>
        <w:pStyle w:val="ListBullet"/>
        <w:spacing w:after="40" w:line="259" w:lineRule="auto"/>
      </w:pPr>
      <w:r>
        <w:rPr>
          <w:rFonts w:ascii="Aptos" w:hAnsi="Aptos"/>
        </w:rPr>
        <w:t>Does not bypass security/performance gates</w:t>
      </w:r>
    </w:p>
    <w:p>
      <w:pPr>
        <w:pStyle w:val="Heading3"/>
      </w:pPr>
      <w:r>
        <w:t>Authoritative data / state</w:t>
      </w:r>
    </w:p>
    <w:p>
      <w:pPr>
        <w:pStyle w:val="ListBullet"/>
        <w:spacing w:after="40" w:line="259" w:lineRule="auto"/>
      </w:pPr>
      <w:r>
        <w:rPr>
          <w:rFonts w:ascii="Aptos" w:hAnsi="Aptos"/>
        </w:rPr>
        <w:t>test_generation_record</w:t>
      </w:r>
    </w:p>
    <w:p>
      <w:pPr>
        <w:pStyle w:val="ListBullet"/>
        <w:spacing w:after="40" w:line="259" w:lineRule="auto"/>
      </w:pPr>
      <w:r>
        <w:rPr>
          <w:rFonts w:ascii="Aptos" w:hAnsi="Aptos"/>
        </w:rPr>
        <w:t>test_traceability_link</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/testing/ai/generate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/testing/ai/analyze</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AITestPlanGenerated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AITestAnalysisCompleted</w:t>
            </w:r>
          </w:p>
        </w:tc>
      </w:tr>
    </w:tbl>
    <w:p>
      <w:pPr>
        <w:spacing w:after="40"/>
      </w:pPr>
    </w:p>
    <w:p>
      <w:pPr>
        <w:pStyle w:val="Heading3"/>
      </w:pPr>
      <w:r>
        <w:t>Dependencies and integration</w:t>
      </w:r>
    </w:p>
    <w:p>
      <w:pPr>
        <w:pStyle w:val="ListBullet"/>
        <w:spacing w:after="40" w:line="259" w:lineRule="auto"/>
      </w:pPr>
      <w:r>
        <w:rPr>
          <w:rFonts w:ascii="Aptos" w:hAnsi="Aptos"/>
        </w:rPr>
        <w:t>CMP-055 Developer Platform</w:t>
      </w:r>
    </w:p>
    <w:p>
      <w:pPr>
        <w:pStyle w:val="ListBullet"/>
        <w:spacing w:after="40" w:line="259" w:lineRule="auto"/>
      </w:pPr>
      <w:r>
        <w:rPr>
          <w:rFonts w:ascii="Aptos" w:hAnsi="Aptos"/>
        </w:rPr>
        <w:t>CMP-043 Validation</w:t>
      </w:r>
    </w:p>
    <w:p>
      <w:pPr>
        <w:pStyle w:val="ListBullet"/>
        <w:spacing w:after="40" w:line="259" w:lineRule="auto"/>
      </w:pPr>
      <w:r>
        <w:rPr>
          <w:rFonts w:ascii="Aptos" w:hAnsi="Aptos"/>
        </w:rPr>
        <w:t>CI/CD systems</w:t>
      </w:r>
    </w:p>
    <w:p>
      <w:pPr>
        <w:pStyle w:val="Heading3"/>
      </w:pPr>
      <w:r>
        <w:t>Failure behavior and safeguards</w:t>
      </w:r>
    </w:p>
    <w:p>
      <w:pPr>
        <w:pStyle w:val="ListBullet"/>
        <w:spacing w:after="40" w:line="259" w:lineRule="auto"/>
      </w:pPr>
      <w:r>
        <w:rPr>
          <w:rFonts w:ascii="Aptos" w:hAnsi="Aptos"/>
        </w:rPr>
        <w:t>Generated but unexecuted tests</w:t>
      </w:r>
    </w:p>
    <w:p>
      <w:pPr>
        <w:pStyle w:val="ListBullet"/>
        <w:spacing w:after="40" w:line="259" w:lineRule="auto"/>
      </w:pPr>
      <w:r>
        <w:rPr>
          <w:rFonts w:ascii="Aptos" w:hAnsi="Aptos"/>
        </w:rPr>
        <w:t>Flaky-test misclassification</w:t>
      </w:r>
    </w:p>
    <w:p>
      <w:pPr>
        <w:pStyle w:val="ListBullet"/>
        <w:spacing w:after="40" w:line="259" w:lineRule="auto"/>
      </w:pPr>
      <w:r>
        <w:rPr>
          <w:rFonts w:ascii="Aptos" w:hAnsi="Aptos"/>
        </w:rPr>
        <w:t>Sensitive fixture generation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CMP-045  Analytics &amp; MIS Platform</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Data Platform</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governed operational/business analytics from derived data pipelines without burdening transactional services.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row-level filters and aggregate disclosure controls required.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Async ingestion; freshness SLO explicit by report class.</w:t>
            </w:r>
          </w:p>
        </w:tc>
      </w:tr>
    </w:tbl>
    <w:p>
      <w:pPr>
        <w:spacing w:after="40"/>
      </w:pPr>
    </w:p>
    <w:p>
      <w:pPr>
        <w:pStyle w:val="Heading3"/>
      </w:pPr>
      <w:r>
        <w:t>Responsibilities</w:t>
      </w:r>
    </w:p>
    <w:p>
      <w:pPr>
        <w:pStyle w:val="ListBullet"/>
        <w:spacing w:after="40" w:line="259" w:lineRule="auto"/>
      </w:pPr>
      <w:r>
        <w:rPr>
          <w:rFonts w:ascii="Aptos" w:hAnsi="Aptos"/>
        </w:rPr>
        <w:t>KPI models</w:t>
      </w:r>
    </w:p>
    <w:p>
      <w:pPr>
        <w:pStyle w:val="ListBullet"/>
        <w:spacing w:after="40" w:line="259" w:lineRule="auto"/>
      </w:pPr>
      <w:r>
        <w:rPr>
          <w:rFonts w:ascii="Aptos" w:hAnsi="Aptos"/>
        </w:rPr>
        <w:t>Department/tenant dashboards</w:t>
      </w:r>
    </w:p>
    <w:p>
      <w:pPr>
        <w:pStyle w:val="ListBullet"/>
        <w:spacing w:after="40" w:line="259" w:lineRule="auto"/>
      </w:pPr>
      <w:r>
        <w:rPr>
          <w:rFonts w:ascii="Aptos" w:hAnsi="Aptos"/>
        </w:rPr>
        <w:t>SLA/service analytics</w:t>
      </w:r>
    </w:p>
    <w:p>
      <w:pPr>
        <w:pStyle w:val="ListBullet"/>
        <w:spacing w:after="40" w:line="259" w:lineRule="auto"/>
      </w:pPr>
      <w:r>
        <w:rPr>
          <w:rFonts w:ascii="Aptos" w:hAnsi="Aptos"/>
        </w:rPr>
        <w:t>Export/reporting</w:t>
      </w:r>
    </w:p>
    <w:p>
      <w:pPr>
        <w:pStyle w:val="ListBullet"/>
        <w:spacing w:after="40" w:line="259" w:lineRule="auto"/>
      </w:pPr>
      <w:r>
        <w:rPr>
          <w:rFonts w:ascii="Aptos" w:hAnsi="Aptos"/>
        </w:rPr>
        <w:t>Data marts</w:t>
      </w:r>
    </w:p>
    <w:p>
      <w:pPr>
        <w:pStyle w:val="Heading3"/>
      </w:pPr>
      <w:r>
        <w:t>Explicit non-responsibilities</w:t>
      </w:r>
    </w:p>
    <w:p>
      <w:pPr>
        <w:pStyle w:val="ListBullet"/>
        <w:spacing w:after="40" w:line="259" w:lineRule="auto"/>
      </w:pPr>
      <w:r>
        <w:rPr>
          <w:rFonts w:ascii="Aptos" w:hAnsi="Aptos"/>
        </w:rPr>
        <w:t>Does not query production OLTP for heavy analytics</w:t>
      </w:r>
    </w:p>
    <w:p>
      <w:pPr>
        <w:pStyle w:val="ListBullet"/>
        <w:spacing w:after="40" w:line="259" w:lineRule="auto"/>
      </w:pPr>
      <w:r>
        <w:rPr>
          <w:rFonts w:ascii="Aptos" w:hAnsi="Aptos"/>
        </w:rPr>
        <w:t>Does not bypass privacy/tenant rules</w:t>
      </w:r>
    </w:p>
    <w:p>
      <w:pPr>
        <w:pStyle w:val="Heading3"/>
      </w:pPr>
      <w:r>
        <w:t>Authoritative data / state</w:t>
      </w:r>
    </w:p>
    <w:p>
      <w:pPr>
        <w:pStyle w:val="ListBullet"/>
        <w:spacing w:after="40" w:line="259" w:lineRule="auto"/>
      </w:pPr>
      <w:r>
        <w:rPr>
          <w:rFonts w:ascii="Aptos" w:hAnsi="Aptos"/>
        </w:rPr>
        <w:t>derived analytics store/data lake marts</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/analytics/reports/{id}</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/analytics/exports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AnalyticsFactUpdated</w:t>
            </w:r>
          </w:p>
        </w:tc>
      </w:tr>
    </w:tbl>
    <w:p>
      <w:pPr>
        <w:spacing w:after="40"/>
      </w:pPr>
    </w:p>
    <w:p>
      <w:pPr>
        <w:pStyle w:val="Heading3"/>
      </w:pPr>
      <w:r>
        <w:t>Dependencies and integration</w:t>
      </w:r>
    </w:p>
    <w:p>
      <w:pPr>
        <w:pStyle w:val="ListBullet"/>
        <w:spacing w:after="40" w:line="259" w:lineRule="auto"/>
      </w:pPr>
      <w:r>
        <w:rPr>
          <w:rFonts w:ascii="Aptos" w:hAnsi="Aptos"/>
        </w:rPr>
        <w:t>CMP-038 Events</w:t>
      </w:r>
    </w:p>
    <w:p>
      <w:pPr>
        <w:pStyle w:val="ListBullet"/>
        <w:spacing w:after="40" w:line="259" w:lineRule="auto"/>
      </w:pPr>
      <w:r>
        <w:rPr>
          <w:rFonts w:ascii="Aptos" w:hAnsi="Aptos"/>
        </w:rPr>
        <w:t>S3/warehouse stack</w:t>
      </w:r>
    </w:p>
    <w:p>
      <w:pPr>
        <w:pStyle w:val="ListBullet"/>
        <w:spacing w:after="40" w:line="259" w:lineRule="auto"/>
      </w:pPr>
      <w:r>
        <w:rPr>
          <w:rFonts w:ascii="Aptos" w:hAnsi="Aptos"/>
        </w:rPr>
        <w:t>CMP-030 Privacy</w:t>
      </w:r>
    </w:p>
    <w:p>
      <w:pPr>
        <w:pStyle w:val="ListBullet"/>
        <w:spacing w:after="40" w:line="259" w:lineRule="auto"/>
      </w:pPr>
      <w:r>
        <w:rPr>
          <w:rFonts w:ascii="Aptos" w:hAnsi="Aptos"/>
        </w:rPr>
        <w:t>CMP-049 Retention</w:t>
      </w:r>
    </w:p>
    <w:p>
      <w:pPr>
        <w:pStyle w:val="Heading3"/>
      </w:pPr>
      <w:r>
        <w:t>Failure behavior and safeguards</w:t>
      </w:r>
    </w:p>
    <w:p>
      <w:pPr>
        <w:pStyle w:val="ListBullet"/>
        <w:spacing w:after="40" w:line="259" w:lineRule="auto"/>
      </w:pPr>
      <w:r>
        <w:rPr>
          <w:rFonts w:ascii="Aptos" w:hAnsi="Aptos"/>
        </w:rPr>
        <w:t>Pipeline lag</w:t>
      </w:r>
    </w:p>
    <w:p>
      <w:pPr>
        <w:pStyle w:val="ListBullet"/>
        <w:spacing w:after="40" w:line="259" w:lineRule="auto"/>
      </w:pPr>
      <w:r>
        <w:rPr>
          <w:rFonts w:ascii="Aptos" w:hAnsi="Aptos"/>
        </w:rPr>
        <w:t>Late events</w:t>
      </w:r>
    </w:p>
    <w:p>
      <w:pPr>
        <w:pStyle w:val="ListBullet"/>
        <w:spacing w:after="40" w:line="259" w:lineRule="auto"/>
      </w:pPr>
      <w:r>
        <w:rPr>
          <w:rFonts w:ascii="Aptos" w:hAnsi="Aptos"/>
        </w:rPr>
        <w:t>Cross-tenant aggregate leak</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CMP-046  Operational Dashboard</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Operations Experience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Expose platform/service health, queue, SLA and incident views to authorized tenant and platform operators.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operators see own scope; platform operators need privileged audited access.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Near-real-time, eventually consistent dashboard acceptable.</w:t>
            </w:r>
          </w:p>
        </w:tc>
      </w:tr>
    </w:tbl>
    <w:p>
      <w:pPr>
        <w:spacing w:after="40"/>
      </w:pPr>
    </w:p>
    <w:p>
      <w:pPr>
        <w:pStyle w:val="Heading3"/>
      </w:pPr>
      <w:r>
        <w:t>Responsibilities</w:t>
      </w:r>
    </w:p>
    <w:p>
      <w:pPr>
        <w:pStyle w:val="ListBullet"/>
        <w:spacing w:after="40" w:line="259" w:lineRule="auto"/>
      </w:pPr>
      <w:r>
        <w:rPr>
          <w:rFonts w:ascii="Aptos" w:hAnsi="Aptos"/>
        </w:rPr>
        <w:t>Service health</w:t>
      </w:r>
    </w:p>
    <w:p>
      <w:pPr>
        <w:pStyle w:val="ListBullet"/>
        <w:spacing w:after="40" w:line="259" w:lineRule="auto"/>
      </w:pPr>
      <w:r>
        <w:rPr>
          <w:rFonts w:ascii="Aptos" w:hAnsi="Aptos"/>
        </w:rPr>
        <w:t>Queue backlog</w:t>
      </w:r>
    </w:p>
    <w:p>
      <w:pPr>
        <w:pStyle w:val="ListBullet"/>
        <w:spacing w:after="40" w:line="259" w:lineRule="auto"/>
      </w:pPr>
      <w:r>
        <w:rPr>
          <w:rFonts w:ascii="Aptos" w:hAnsi="Aptos"/>
        </w:rPr>
        <w:t>SLA breach</w:t>
      </w:r>
    </w:p>
    <w:p>
      <w:pPr>
        <w:pStyle w:val="ListBullet"/>
        <w:spacing w:after="40" w:line="259" w:lineRule="auto"/>
      </w:pPr>
      <w:r>
        <w:rPr>
          <w:rFonts w:ascii="Aptos" w:hAnsi="Aptos"/>
        </w:rPr>
        <w:t>Integration health</w:t>
      </w:r>
    </w:p>
    <w:p>
      <w:pPr>
        <w:pStyle w:val="ListBullet"/>
        <w:spacing w:after="40" w:line="259" w:lineRule="auto"/>
      </w:pPr>
      <w:r>
        <w:rPr>
          <w:rFonts w:ascii="Aptos" w:hAnsi="Aptos"/>
        </w:rPr>
        <w:t>Capacity indicators</w:t>
      </w:r>
    </w:p>
    <w:p>
      <w:pPr>
        <w:pStyle w:val="Heading3"/>
      </w:pPr>
      <w:r>
        <w:t>Explicit non-responsibilities</w:t>
      </w:r>
    </w:p>
    <w:p>
      <w:pPr>
        <w:pStyle w:val="ListBullet"/>
        <w:spacing w:after="40" w:line="259" w:lineRule="auto"/>
      </w:pPr>
      <w:r>
        <w:rPr>
          <w:rFonts w:ascii="Aptos" w:hAnsi="Aptos"/>
        </w:rPr>
        <w:t>Does not expose raw citizen PII unnecessarily</w:t>
      </w:r>
    </w:p>
    <w:p>
      <w:pPr>
        <w:pStyle w:val="ListBullet"/>
        <w:spacing w:after="40" w:line="259" w:lineRule="auto"/>
      </w:pPr>
      <w:r>
        <w:rPr>
          <w:rFonts w:ascii="Aptos" w:hAnsi="Aptos"/>
        </w:rPr>
        <w:t>Does not replace observability backend</w:t>
      </w:r>
    </w:p>
    <w:p>
      <w:pPr>
        <w:pStyle w:val="Heading3"/>
      </w:pPr>
      <w:r>
        <w:t>Authoritative data / state</w:t>
      </w:r>
    </w:p>
    <w:p>
      <w:pPr>
        <w:pStyle w:val="ListBullet"/>
        <w:spacing w:after="40" w:line="259" w:lineRule="auto"/>
      </w:pPr>
      <w:r>
        <w:rPr>
          <w:rFonts w:ascii="Aptos" w:hAnsi="Aptos"/>
        </w:rPr>
        <w:t>derived operational views</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/operations/overview</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/operations/tenants/{id}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OperationalAlertAcknowledged</w:t>
            </w:r>
          </w:p>
        </w:tc>
      </w:tr>
    </w:tbl>
    <w:p>
      <w:pPr>
        <w:spacing w:after="40"/>
      </w:pPr>
    </w:p>
    <w:p>
      <w:pPr>
        <w:pStyle w:val="Heading3"/>
      </w:pPr>
      <w:r>
        <w:t>Dependencies and integration</w:t>
      </w:r>
    </w:p>
    <w:p>
      <w:pPr>
        <w:pStyle w:val="ListBullet"/>
        <w:spacing w:after="40" w:line="259" w:lineRule="auto"/>
      </w:pPr>
      <w:r>
        <w:rPr>
          <w:rFonts w:ascii="Aptos" w:hAnsi="Aptos"/>
        </w:rPr>
        <w:t>CMP-047 Observability</w:t>
      </w:r>
    </w:p>
    <w:p>
      <w:pPr>
        <w:pStyle w:val="ListBullet"/>
        <w:spacing w:after="40" w:line="259" w:lineRule="auto"/>
      </w:pPr>
      <w:r>
        <w:rPr>
          <w:rFonts w:ascii="Aptos" w:hAnsi="Aptos"/>
        </w:rPr>
        <w:t>CMP-029 SLA</w:t>
      </w:r>
    </w:p>
    <w:p>
      <w:pPr>
        <w:pStyle w:val="ListBullet"/>
        <w:spacing w:after="40" w:line="259" w:lineRule="auto"/>
      </w:pPr>
      <w:r>
        <w:rPr>
          <w:rFonts w:ascii="Aptos" w:hAnsi="Aptos"/>
        </w:rPr>
        <w:t>CMP-037 Integration Hub</w:t>
      </w:r>
    </w:p>
    <w:p>
      <w:pPr>
        <w:pStyle w:val="ListBullet"/>
        <w:spacing w:after="40" w:line="259" w:lineRule="auto"/>
      </w:pPr>
      <w:r>
        <w:rPr>
          <w:rFonts w:ascii="Aptos" w:hAnsi="Aptos"/>
        </w:rPr>
        <w:t>CMP-038 Events</w:t>
      </w:r>
    </w:p>
    <w:p>
      <w:pPr>
        <w:pStyle w:val="Heading3"/>
      </w:pPr>
      <w:r>
        <w:t>Failure behavior and safeguards</w:t>
      </w:r>
    </w:p>
    <w:p>
      <w:pPr>
        <w:pStyle w:val="ListBullet"/>
        <w:spacing w:after="40" w:line="259" w:lineRule="auto"/>
      </w:pPr>
      <w:r>
        <w:rPr>
          <w:rFonts w:ascii="Aptos" w:hAnsi="Aptos"/>
        </w:rPr>
        <w:t>Telemetry delayed</w:t>
      </w:r>
    </w:p>
    <w:p>
      <w:pPr>
        <w:pStyle w:val="ListBullet"/>
        <w:spacing w:after="40" w:line="259" w:lineRule="auto"/>
      </w:pPr>
      <w:r>
        <w:rPr>
          <w:rFonts w:ascii="Aptos" w:hAnsi="Aptos"/>
        </w:rPr>
        <w:t>Dashboard stale</w:t>
      </w:r>
    </w:p>
    <w:p>
      <w:pPr>
        <w:pStyle w:val="ListBullet"/>
        <w:spacing w:after="40" w:line="259" w:lineRule="auto"/>
      </w:pPr>
      <w:r>
        <w:rPr>
          <w:rFonts w:ascii="Aptos" w:hAnsi="Aptos"/>
        </w:rPr>
        <w:t>Privilege overexposure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CMP-047  Observability Platform</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Platform Operations</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Standardize metrics, traces, structured logs, SLOs and alerts across all components.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Telemetry includes cell/tenant/service identifiers where safe; access to tenant-specific logs governed.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Metrics 100%; success traces sampled; errors fully captured within privacy rules.</w:t>
            </w:r>
          </w:p>
        </w:tc>
      </w:tr>
    </w:tbl>
    <w:p>
      <w:pPr>
        <w:spacing w:after="40"/>
      </w:pPr>
    </w:p>
    <w:p>
      <w:pPr>
        <w:pStyle w:val="Heading3"/>
      </w:pPr>
      <w:r>
        <w:t>Responsibilities</w:t>
      </w:r>
    </w:p>
    <w:p>
      <w:pPr>
        <w:pStyle w:val="ListBullet"/>
        <w:spacing w:after="40" w:line="259" w:lineRule="auto"/>
      </w:pPr>
      <w:r>
        <w:rPr>
          <w:rFonts w:ascii="Aptos" w:hAnsi="Aptos"/>
        </w:rPr>
        <w:t>OpenTelemetry instrumentation</w:t>
      </w:r>
    </w:p>
    <w:p>
      <w:pPr>
        <w:pStyle w:val="ListBullet"/>
        <w:spacing w:after="40" w:line="259" w:lineRule="auto"/>
      </w:pPr>
      <w:r>
        <w:rPr>
          <w:rFonts w:ascii="Aptos" w:hAnsi="Aptos"/>
        </w:rPr>
        <w:t>Metrics/logs/traces</w:t>
      </w:r>
    </w:p>
    <w:p>
      <w:pPr>
        <w:pStyle w:val="ListBullet"/>
        <w:spacing w:after="40" w:line="259" w:lineRule="auto"/>
      </w:pPr>
      <w:r>
        <w:rPr>
          <w:rFonts w:ascii="Aptos" w:hAnsi="Aptos"/>
        </w:rPr>
        <w:t>SLO calculation</w:t>
      </w:r>
    </w:p>
    <w:p>
      <w:pPr>
        <w:pStyle w:val="ListBullet"/>
        <w:spacing w:after="40" w:line="259" w:lineRule="auto"/>
      </w:pPr>
      <w:r>
        <w:rPr>
          <w:rFonts w:ascii="Aptos" w:hAnsi="Aptos"/>
        </w:rPr>
        <w:t>Alert routing</w:t>
      </w:r>
    </w:p>
    <w:p>
      <w:pPr>
        <w:pStyle w:val="ListBullet"/>
        <w:spacing w:after="40" w:line="259" w:lineRule="auto"/>
      </w:pPr>
      <w:r>
        <w:rPr>
          <w:rFonts w:ascii="Aptos" w:hAnsi="Aptos"/>
        </w:rPr>
        <w:t>Correlation IDs</w:t>
      </w:r>
    </w:p>
    <w:p>
      <w:pPr>
        <w:pStyle w:val="Heading3"/>
      </w:pPr>
      <w:r>
        <w:t>Explicit non-responsibilities</w:t>
      </w:r>
    </w:p>
    <w:p>
      <w:pPr>
        <w:pStyle w:val="ListBullet"/>
        <w:spacing w:after="40" w:line="259" w:lineRule="auto"/>
      </w:pPr>
      <w:r>
        <w:rPr>
          <w:rFonts w:ascii="Aptos" w:hAnsi="Aptos"/>
        </w:rPr>
        <w:t>Does not log secrets or full PII</w:t>
      </w:r>
    </w:p>
    <w:p>
      <w:pPr>
        <w:pStyle w:val="ListBullet"/>
        <w:spacing w:after="40" w:line="259" w:lineRule="auto"/>
      </w:pPr>
      <w:r>
        <w:rPr>
          <w:rFonts w:ascii="Aptos" w:hAnsi="Aptos"/>
        </w:rPr>
        <w:t>Does not replace domain audit</w:t>
      </w:r>
    </w:p>
    <w:p>
      <w:pPr>
        <w:pStyle w:val="Heading3"/>
      </w:pPr>
      <w:r>
        <w:t>Authoritative data / state</w:t>
      </w:r>
    </w:p>
    <w:p>
      <w:pPr>
        <w:pStyle w:val="ListBullet"/>
        <w:spacing w:after="40" w:line="259" w:lineRule="auto"/>
      </w:pPr>
      <w:r>
        <w:rPr>
          <w:rFonts w:ascii="Aptos" w:hAnsi="Aptos"/>
        </w:rPr>
        <w:t>telemetry backend</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Interface</w:t>
            </w:r>
          </w:p>
        </w:tc>
        <w:tc>
          <w:tcPr>
            <w:tcW w:type="dxa" w:w="7920"/>
            <w:tcMar>
              <w:top w:w="90" w:type="dxa"/>
              <w:start w:w="90" w:type="dxa"/>
              <w:bottom w:w="90" w:type="dxa"/>
              <w:end w:w="90" w:type="dxa"/>
            </w:tcMar>
          </w:tcPr>
          <w:p>
            <w:r>
              <w:rPr>
                <w:rFonts w:ascii="Aptos" w:hAnsi="Aptos"/>
                <w:sz w:val="17"/>
              </w:rPr>
              <w:t>Telemetry protocols/APIs, not business REST</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SLOViolationDetected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OperationalAlertRaised</w:t>
            </w:r>
          </w:p>
        </w:tc>
      </w:tr>
    </w:tbl>
    <w:p>
      <w:pPr>
        <w:spacing w:after="40"/>
      </w:pPr>
    </w:p>
    <w:p>
      <w:pPr>
        <w:pStyle w:val="Heading3"/>
      </w:pPr>
      <w:r>
        <w:t>Dependencies and integration</w:t>
      </w:r>
    </w:p>
    <w:p>
      <w:pPr>
        <w:pStyle w:val="ListBullet"/>
        <w:spacing w:after="40" w:line="259" w:lineRule="auto"/>
      </w:pPr>
      <w:r>
        <w:rPr>
          <w:rFonts w:ascii="Aptos" w:hAnsi="Aptos"/>
        </w:rPr>
        <w:t>CloudWatch</w:t>
      </w:r>
    </w:p>
    <w:p>
      <w:pPr>
        <w:pStyle w:val="ListBullet"/>
        <w:spacing w:after="40" w:line="259" w:lineRule="auto"/>
      </w:pPr>
      <w:r>
        <w:rPr>
          <w:rFonts w:ascii="Aptos" w:hAnsi="Aptos"/>
        </w:rPr>
        <w:t>Prometheus/Grafana</w:t>
      </w:r>
    </w:p>
    <w:p>
      <w:pPr>
        <w:pStyle w:val="ListBullet"/>
        <w:spacing w:after="40" w:line="259" w:lineRule="auto"/>
      </w:pPr>
      <w:r>
        <w:rPr>
          <w:rFonts w:ascii="Aptos" w:hAnsi="Aptos"/>
        </w:rPr>
        <w:t>OpenTelemetry</w:t>
      </w:r>
    </w:p>
    <w:p>
      <w:pPr>
        <w:pStyle w:val="ListBullet"/>
        <w:spacing w:after="40" w:line="259" w:lineRule="auto"/>
      </w:pPr>
      <w:r>
        <w:rPr>
          <w:rFonts w:ascii="Aptos" w:hAnsi="Aptos"/>
        </w:rPr>
        <w:t>All components</w:t>
      </w:r>
    </w:p>
    <w:p>
      <w:pPr>
        <w:pStyle w:val="Heading3"/>
      </w:pPr>
      <w:r>
        <w:t>Failure behavior and safeguards</w:t>
      </w:r>
    </w:p>
    <w:p>
      <w:pPr>
        <w:pStyle w:val="ListBullet"/>
        <w:spacing w:after="40" w:line="259" w:lineRule="auto"/>
      </w:pPr>
      <w:r>
        <w:rPr>
          <w:rFonts w:ascii="Aptos" w:hAnsi="Aptos"/>
        </w:rPr>
        <w:t>Telemetry cost explosion</w:t>
      </w:r>
    </w:p>
    <w:p>
      <w:pPr>
        <w:pStyle w:val="ListBullet"/>
        <w:spacing w:after="40" w:line="259" w:lineRule="auto"/>
      </w:pPr>
      <w:r>
        <w:rPr>
          <w:rFonts w:ascii="Aptos" w:hAnsi="Aptos"/>
        </w:rPr>
        <w:t>PII in logs</w:t>
      </w:r>
    </w:p>
    <w:p>
      <w:pPr>
        <w:pStyle w:val="ListBullet"/>
        <w:spacing w:after="40" w:line="259" w:lineRule="auto"/>
      </w:pPr>
      <w:r>
        <w:rPr>
          <w:rFonts w:ascii="Aptos" w:hAnsi="Aptos"/>
        </w:rPr>
        <w:t>Missing trace propagation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CMP-048  Security Platform</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Cross-Cutting Security</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policy enforcement integrations, secrets, KMS, workload identity, vulnerability controls and runtime security guardrails.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Deny by default; separate authentication, authorization and database isolation layers.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OPA local decision path low-latency; fail closed for privileged actions.</w:t>
            </w:r>
          </w:p>
        </w:tc>
      </w:tr>
    </w:tbl>
    <w:p>
      <w:pPr>
        <w:spacing w:after="40"/>
      </w:pPr>
    </w:p>
    <w:p>
      <w:pPr>
        <w:pStyle w:val="Heading3"/>
      </w:pPr>
      <w:r>
        <w:t>Responsibilities</w:t>
      </w:r>
    </w:p>
    <w:p>
      <w:pPr>
        <w:pStyle w:val="ListBullet"/>
        <w:spacing w:after="40" w:line="259" w:lineRule="auto"/>
      </w:pPr>
      <w:r>
        <w:rPr>
          <w:rFonts w:ascii="Aptos" w:hAnsi="Aptos"/>
        </w:rPr>
        <w:t>OPA policy runtime/control</w:t>
      </w:r>
    </w:p>
    <w:p>
      <w:pPr>
        <w:pStyle w:val="ListBullet"/>
        <w:spacing w:after="40" w:line="259" w:lineRule="auto"/>
      </w:pPr>
      <w:r>
        <w:rPr>
          <w:rFonts w:ascii="Aptos" w:hAnsi="Aptos"/>
        </w:rPr>
        <w:t>Secrets/KMS</w:t>
      </w:r>
    </w:p>
    <w:p>
      <w:pPr>
        <w:pStyle w:val="ListBullet"/>
        <w:spacing w:after="40" w:line="259" w:lineRule="auto"/>
      </w:pPr>
      <w:r>
        <w:rPr>
          <w:rFonts w:ascii="Aptos" w:hAnsi="Aptos"/>
        </w:rPr>
        <w:t>Workload identity</w:t>
      </w:r>
    </w:p>
    <w:p>
      <w:pPr>
        <w:pStyle w:val="ListBullet"/>
        <w:spacing w:after="40" w:line="259" w:lineRule="auto"/>
      </w:pPr>
      <w:r>
        <w:rPr>
          <w:rFonts w:ascii="Aptos" w:hAnsi="Aptos"/>
        </w:rPr>
        <w:t>Security scanning</w:t>
      </w:r>
    </w:p>
    <w:p>
      <w:pPr>
        <w:pStyle w:val="ListBullet"/>
        <w:spacing w:after="40" w:line="259" w:lineRule="auto"/>
      </w:pPr>
      <w:r>
        <w:rPr>
          <w:rFonts w:ascii="Aptos" w:hAnsi="Aptos"/>
        </w:rPr>
        <w:t>WAF/runtime controls</w:t>
      </w:r>
    </w:p>
    <w:p>
      <w:pPr>
        <w:pStyle w:val="ListBullet"/>
        <w:spacing w:after="40" w:line="259" w:lineRule="auto"/>
      </w:pPr>
      <w:r>
        <w:rPr>
          <w:rFonts w:ascii="Aptos" w:hAnsi="Aptos"/>
        </w:rPr>
        <w:t>Privileged access patterns</w:t>
      </w:r>
    </w:p>
    <w:p>
      <w:pPr>
        <w:pStyle w:val="Heading3"/>
      </w:pPr>
      <w:r>
        <w:t>Explicit non-responsibilities</w:t>
      </w:r>
    </w:p>
    <w:p>
      <w:pPr>
        <w:pStyle w:val="ListBullet"/>
        <w:spacing w:after="40" w:line="259" w:lineRule="auto"/>
      </w:pPr>
      <w:r>
        <w:rPr>
          <w:rFonts w:ascii="Aptos" w:hAnsi="Aptos"/>
        </w:rPr>
        <w:t>Does not own statutory business rules</w:t>
      </w:r>
    </w:p>
    <w:p>
      <w:pPr>
        <w:pStyle w:val="ListBullet"/>
        <w:spacing w:after="40" w:line="259" w:lineRule="auto"/>
      </w:pPr>
      <w:r>
        <w:rPr>
          <w:rFonts w:ascii="Aptos" w:hAnsi="Aptos"/>
        </w:rPr>
        <w:t>Does not replace tenant RLS</w:t>
      </w:r>
    </w:p>
    <w:p>
      <w:pPr>
        <w:pStyle w:val="Heading3"/>
      </w:pPr>
      <w:r>
        <w:t>Authoritative data / state</w:t>
      </w:r>
    </w:p>
    <w:p>
      <w:pPr>
        <w:pStyle w:val="ListBullet"/>
        <w:spacing w:after="40" w:line="259" w:lineRule="auto"/>
      </w:pPr>
      <w:r>
        <w:rPr>
          <w:rFonts w:ascii="Aptos" w:hAnsi="Aptos"/>
        </w:rPr>
        <w:t>security_policy_metadata</w:t>
      </w:r>
    </w:p>
    <w:p>
      <w:pPr>
        <w:pStyle w:val="ListBullet"/>
        <w:spacing w:after="40" w:line="259" w:lineRule="auto"/>
      </w:pPr>
      <w:r>
        <w:rPr>
          <w:rFonts w:ascii="Aptos" w:hAnsi="Aptos"/>
        </w:rPr>
        <w:t>privileged_access_record</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Interface</w:t>
            </w:r>
          </w:p>
        </w:tc>
        <w:tc>
          <w:tcPr>
            <w:tcW w:type="dxa" w:w="7920"/>
            <w:tcMar>
              <w:top w:w="90" w:type="dxa"/>
              <w:start w:w="90" w:type="dxa"/>
              <w:bottom w:w="90" w:type="dxa"/>
              <w:end w:w="90" w:type="dxa"/>
            </w:tcMar>
          </w:tcPr>
          <w:p>
            <w:r>
              <w:rPr>
                <w:rFonts w:ascii="Aptos" w:hAnsi="Aptos"/>
                <w:sz w:val="17"/>
              </w:rPr>
              <w:t>Internal security/policy interfaces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SecurityPolicyPublished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SecurityIncidentDetected</w:t>
            </w:r>
          </w:p>
        </w:tc>
      </w:tr>
    </w:tbl>
    <w:p>
      <w:pPr>
        <w:spacing w:after="40"/>
      </w:pPr>
    </w:p>
    <w:p>
      <w:pPr>
        <w:pStyle w:val="Heading3"/>
      </w:pPr>
      <w:r>
        <w:t>Dependencies and integration</w:t>
      </w:r>
    </w:p>
    <w:p>
      <w:pPr>
        <w:pStyle w:val="ListBullet"/>
        <w:spacing w:after="40" w:line="259" w:lineRule="auto"/>
      </w:pPr>
      <w:r>
        <w:rPr>
          <w:rFonts w:ascii="Aptos" w:hAnsi="Aptos"/>
        </w:rPr>
        <w:t>OPA</w:t>
      </w:r>
    </w:p>
    <w:p>
      <w:pPr>
        <w:pStyle w:val="ListBullet"/>
        <w:spacing w:after="40" w:line="259" w:lineRule="auto"/>
      </w:pPr>
      <w:r>
        <w:rPr>
          <w:rFonts w:ascii="Aptos" w:hAnsi="Aptos"/>
        </w:rPr>
        <w:t>KMS</w:t>
      </w:r>
    </w:p>
    <w:p>
      <w:pPr>
        <w:pStyle w:val="ListBullet"/>
        <w:spacing w:after="40" w:line="259" w:lineRule="auto"/>
      </w:pPr>
      <w:r>
        <w:rPr>
          <w:rFonts w:ascii="Aptos" w:hAnsi="Aptos"/>
        </w:rPr>
        <w:t>Secrets Manager</w:t>
      </w:r>
    </w:p>
    <w:p>
      <w:pPr>
        <w:pStyle w:val="ListBullet"/>
        <w:spacing w:after="40" w:line="259" w:lineRule="auto"/>
      </w:pPr>
      <w:r>
        <w:rPr>
          <w:rFonts w:ascii="Aptos" w:hAnsi="Aptos"/>
        </w:rPr>
        <w:t>EKS security stack</w:t>
      </w:r>
    </w:p>
    <w:p>
      <w:pPr>
        <w:pStyle w:val="ListBullet"/>
        <w:spacing w:after="40" w:line="259" w:lineRule="auto"/>
      </w:pPr>
      <w:r>
        <w:rPr>
          <w:rFonts w:ascii="Aptos" w:hAnsi="Aptos"/>
        </w:rPr>
        <w:t>CMP-004 Identity</w:t>
      </w:r>
    </w:p>
    <w:p>
      <w:pPr>
        <w:pStyle w:val="Heading3"/>
      </w:pPr>
      <w:r>
        <w:t>Failure behavior and safeguards</w:t>
      </w:r>
    </w:p>
    <w:p>
      <w:pPr>
        <w:pStyle w:val="ListBullet"/>
        <w:spacing w:after="40" w:line="259" w:lineRule="auto"/>
      </w:pPr>
      <w:r>
        <w:rPr>
          <w:rFonts w:ascii="Aptos" w:hAnsi="Aptos"/>
        </w:rPr>
        <w:t>OPA unavailable</w:t>
      </w:r>
    </w:p>
    <w:p>
      <w:pPr>
        <w:pStyle w:val="ListBullet"/>
        <w:spacing w:after="40" w:line="259" w:lineRule="auto"/>
      </w:pPr>
      <w:r>
        <w:rPr>
          <w:rFonts w:ascii="Aptos" w:hAnsi="Aptos"/>
        </w:rPr>
        <w:t>Secret rotation failure</w:t>
      </w:r>
    </w:p>
    <w:p>
      <w:pPr>
        <w:pStyle w:val="ListBullet"/>
        <w:spacing w:after="40" w:line="259" w:lineRule="auto"/>
      </w:pPr>
      <w:r>
        <w:rPr>
          <w:rFonts w:ascii="Aptos" w:hAnsi="Aptos"/>
        </w:rPr>
        <w:t>Policy regression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CMP-049  Data Retention / Archival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Governance Platform</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Apply service-specific retention, archival, legal hold and deletion workflows across PostgreSQL, S3 and derived stores.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Policy version pinned where needed; tenant/service/jurisdiction legal basis explicit.</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Batch/asynchronous; deletion jobs idempotent and evidential.</w:t>
            </w:r>
          </w:p>
        </w:tc>
      </w:tr>
    </w:tbl>
    <w:p>
      <w:pPr>
        <w:spacing w:after="40"/>
      </w:pPr>
    </w:p>
    <w:p>
      <w:pPr>
        <w:pStyle w:val="Heading3"/>
      </w:pPr>
      <w:r>
        <w:t>Responsibilities</w:t>
      </w:r>
    </w:p>
    <w:p>
      <w:pPr>
        <w:pStyle w:val="ListBullet"/>
        <w:spacing w:after="40" w:line="259" w:lineRule="auto"/>
      </w:pPr>
      <w:r>
        <w:rPr>
          <w:rFonts w:ascii="Aptos" w:hAnsi="Aptos"/>
        </w:rPr>
        <w:t>Retention policy</w:t>
      </w:r>
    </w:p>
    <w:p>
      <w:pPr>
        <w:pStyle w:val="ListBullet"/>
        <w:spacing w:after="40" w:line="259" w:lineRule="auto"/>
      </w:pPr>
      <w:r>
        <w:rPr>
          <w:rFonts w:ascii="Aptos" w:hAnsi="Aptos"/>
        </w:rPr>
        <w:t>Archive transitions</w:t>
      </w:r>
    </w:p>
    <w:p>
      <w:pPr>
        <w:pStyle w:val="ListBullet"/>
        <w:spacing w:after="40" w:line="259" w:lineRule="auto"/>
      </w:pPr>
      <w:r>
        <w:rPr>
          <w:rFonts w:ascii="Aptos" w:hAnsi="Aptos"/>
        </w:rPr>
        <w:t>Deletion eligibility</w:t>
      </w:r>
    </w:p>
    <w:p>
      <w:pPr>
        <w:pStyle w:val="ListBullet"/>
        <w:spacing w:after="40" w:line="259" w:lineRule="auto"/>
      </w:pPr>
      <w:r>
        <w:rPr>
          <w:rFonts w:ascii="Aptos" w:hAnsi="Aptos"/>
        </w:rPr>
        <w:t>Legal hold</w:t>
      </w:r>
    </w:p>
    <w:p>
      <w:pPr>
        <w:pStyle w:val="ListBullet"/>
        <w:spacing w:after="40" w:line="259" w:lineRule="auto"/>
      </w:pPr>
      <w:r>
        <w:rPr>
          <w:rFonts w:ascii="Aptos" w:hAnsi="Aptos"/>
        </w:rPr>
        <w:t>Purge evidence</w:t>
      </w:r>
    </w:p>
    <w:p>
      <w:pPr>
        <w:pStyle w:val="Heading3"/>
      </w:pPr>
      <w:r>
        <w:t>Explicit non-responsibilities</w:t>
      </w:r>
    </w:p>
    <w:p>
      <w:pPr>
        <w:pStyle w:val="ListBullet"/>
        <w:spacing w:after="40" w:line="259" w:lineRule="auto"/>
      </w:pPr>
      <w:r>
        <w:rPr>
          <w:rFonts w:ascii="Aptos" w:hAnsi="Aptos"/>
        </w:rPr>
        <w:t>Does not delete contrary to legal hold</w:t>
      </w:r>
    </w:p>
    <w:p>
      <w:pPr>
        <w:pStyle w:val="ListBullet"/>
        <w:spacing w:after="40" w:line="259" w:lineRule="auto"/>
      </w:pPr>
      <w:r>
        <w:rPr>
          <w:rFonts w:ascii="Aptos" w:hAnsi="Aptos"/>
        </w:rPr>
        <w:t>Does not use one global retention period for all services</w:t>
      </w:r>
    </w:p>
    <w:p>
      <w:pPr>
        <w:pStyle w:val="Heading3"/>
      </w:pPr>
      <w:r>
        <w:t>Authoritative data / state</w:t>
      </w:r>
    </w:p>
    <w:p>
      <w:pPr>
        <w:pStyle w:val="ListBullet"/>
        <w:spacing w:after="40" w:line="259" w:lineRule="auto"/>
      </w:pPr>
      <w:r>
        <w:rPr>
          <w:rFonts w:ascii="Aptos" w:hAnsi="Aptos"/>
        </w:rPr>
        <w:t>retention_policy</w:t>
      </w:r>
    </w:p>
    <w:p>
      <w:pPr>
        <w:pStyle w:val="ListBullet"/>
        <w:spacing w:after="40" w:line="259" w:lineRule="auto"/>
      </w:pPr>
      <w:r>
        <w:rPr>
          <w:rFonts w:ascii="Aptos" w:hAnsi="Aptos"/>
        </w:rPr>
        <w:t>retention_job</w:t>
      </w:r>
    </w:p>
    <w:p>
      <w:pPr>
        <w:pStyle w:val="ListBullet"/>
        <w:spacing w:after="40" w:line="259" w:lineRule="auto"/>
      </w:pPr>
      <w:r>
        <w:rPr>
          <w:rFonts w:ascii="Aptos" w:hAnsi="Aptos"/>
        </w:rPr>
        <w:t>legal_hold</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/retention/evaluate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/retention/jobs</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/retention/{resourceId}</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RetentionDue</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ObjectArchived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DataPurged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LegalHoldApplied</w:t>
            </w:r>
          </w:p>
        </w:tc>
      </w:tr>
    </w:tbl>
    <w:p>
      <w:pPr>
        <w:spacing w:after="40"/>
      </w:pPr>
    </w:p>
    <w:p>
      <w:pPr>
        <w:pStyle w:val="Heading3"/>
      </w:pPr>
      <w:r>
        <w:t>Dependencies and integration</w:t>
      </w:r>
    </w:p>
    <w:p>
      <w:pPr>
        <w:pStyle w:val="ListBullet"/>
        <w:spacing w:after="40" w:line="259" w:lineRule="auto"/>
      </w:pPr>
      <w:r>
        <w:rPr>
          <w:rFonts w:ascii="Aptos" w:hAnsi="Aptos"/>
        </w:rPr>
        <w:t>CMP-030 Privacy</w:t>
      </w:r>
    </w:p>
    <w:p>
      <w:pPr>
        <w:pStyle w:val="ListBullet"/>
        <w:spacing w:after="40" w:line="259" w:lineRule="auto"/>
      </w:pPr>
      <w:r>
        <w:rPr>
          <w:rFonts w:ascii="Aptos" w:hAnsi="Aptos"/>
        </w:rPr>
        <w:t>CMP-032 Storage</w:t>
      </w:r>
    </w:p>
    <w:p>
      <w:pPr>
        <w:pStyle w:val="ListBullet"/>
        <w:spacing w:after="40" w:line="259" w:lineRule="auto"/>
      </w:pPr>
      <w:r>
        <w:rPr>
          <w:rFonts w:ascii="Aptos" w:hAnsi="Aptos"/>
        </w:rPr>
        <w:t>CMP-031 Audit</w:t>
      </w:r>
    </w:p>
    <w:p>
      <w:pPr>
        <w:pStyle w:val="ListBullet"/>
        <w:spacing w:after="40" w:line="259" w:lineRule="auto"/>
      </w:pPr>
      <w:r>
        <w:rPr>
          <w:rFonts w:ascii="Aptos" w:hAnsi="Aptos"/>
        </w:rPr>
        <w:t>CMP-015 Application</w:t>
      </w:r>
    </w:p>
    <w:p>
      <w:pPr>
        <w:pStyle w:val="Heading3"/>
      </w:pPr>
      <w:r>
        <w:t>Failure behavior and safeguards</w:t>
      </w:r>
    </w:p>
    <w:p>
      <w:pPr>
        <w:pStyle w:val="ListBullet"/>
        <w:spacing w:after="40" w:line="259" w:lineRule="auto"/>
      </w:pPr>
      <w:r>
        <w:rPr>
          <w:rFonts w:ascii="Aptos" w:hAnsi="Aptos"/>
        </w:rPr>
        <w:t>Legal hold conflict</w:t>
      </w:r>
    </w:p>
    <w:p>
      <w:pPr>
        <w:pStyle w:val="ListBullet"/>
        <w:spacing w:after="40" w:line="259" w:lineRule="auto"/>
      </w:pPr>
      <w:r>
        <w:rPr>
          <w:rFonts w:ascii="Aptos" w:hAnsi="Aptos"/>
        </w:rPr>
        <w:t>Partial purge</w:t>
      </w:r>
    </w:p>
    <w:p>
      <w:pPr>
        <w:pStyle w:val="ListBullet"/>
        <w:spacing w:after="40" w:line="259" w:lineRule="auto"/>
      </w:pPr>
      <w:r>
        <w:rPr>
          <w:rFonts w:ascii="Aptos" w:hAnsi="Aptos"/>
        </w:rPr>
        <w:t>Derived index not cleaned</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CMP-050  Administration &amp; Service Designer Portal</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Product Surface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ServiceForm Studio and administration UI for tenant onboarding, service design, configuration, preview and operations.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All admin operations authorized by tenant/role and maker-checker rules.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Responsive desktop-first authoring; autosave drafts; no-code interactions feel immediate.</w:t>
            </w:r>
          </w:p>
        </w:tc>
      </w:tr>
    </w:tbl>
    <w:p>
      <w:pPr>
        <w:spacing w:after="40"/>
      </w:pPr>
    </w:p>
    <w:p>
      <w:pPr>
        <w:pStyle w:val="Heading3"/>
      </w:pPr>
      <w:r>
        <w:t>Responsibilities</w:t>
      </w:r>
    </w:p>
    <w:p>
      <w:pPr>
        <w:pStyle w:val="ListBullet"/>
        <w:spacing w:after="40" w:line="259" w:lineRule="auto"/>
      </w:pPr>
      <w:r>
        <w:rPr>
          <w:rFonts w:ascii="Aptos" w:hAnsi="Aptos"/>
        </w:rPr>
        <w:t>Service Studio UI</w:t>
      </w:r>
    </w:p>
    <w:p>
      <w:pPr>
        <w:pStyle w:val="ListBullet"/>
        <w:spacing w:after="40" w:line="259" w:lineRule="auto"/>
      </w:pPr>
      <w:r>
        <w:rPr>
          <w:rFonts w:ascii="Aptos" w:hAnsi="Aptos"/>
        </w:rPr>
        <w:t>Tenant administration</w:t>
      </w:r>
    </w:p>
    <w:p>
      <w:pPr>
        <w:pStyle w:val="ListBullet"/>
        <w:spacing w:after="40" w:line="259" w:lineRule="auto"/>
      </w:pPr>
      <w:r>
        <w:rPr>
          <w:rFonts w:ascii="Aptos" w:hAnsi="Aptos"/>
        </w:rPr>
        <w:t>Role/access design UI</w:t>
      </w:r>
    </w:p>
    <w:p>
      <w:pPr>
        <w:pStyle w:val="ListBullet"/>
        <w:spacing w:after="40" w:line="259" w:lineRule="auto"/>
      </w:pPr>
      <w:r>
        <w:rPr>
          <w:rFonts w:ascii="Aptos" w:hAnsi="Aptos"/>
        </w:rPr>
        <w:t>Preview/test UI</w:t>
      </w:r>
    </w:p>
    <w:p>
      <w:pPr>
        <w:pStyle w:val="ListBullet"/>
        <w:spacing w:after="40" w:line="259" w:lineRule="auto"/>
      </w:pPr>
      <w:r>
        <w:rPr>
          <w:rFonts w:ascii="Aptos" w:hAnsi="Aptos"/>
        </w:rPr>
        <w:t>Publishing workspace</w:t>
      </w:r>
    </w:p>
    <w:p>
      <w:pPr>
        <w:pStyle w:val="Heading3"/>
      </w:pPr>
      <w:r>
        <w:t>Explicit non-responsibilities</w:t>
      </w:r>
    </w:p>
    <w:p>
      <w:pPr>
        <w:pStyle w:val="ListBullet"/>
        <w:spacing w:after="40" w:line="259" w:lineRule="auto"/>
      </w:pPr>
      <w:r>
        <w:rPr>
          <w:rFonts w:ascii="Aptos" w:hAnsi="Aptos"/>
        </w:rPr>
        <w:t>Does not directly mutate published config tables</w:t>
      </w:r>
    </w:p>
    <w:p>
      <w:pPr>
        <w:pStyle w:val="ListBullet"/>
        <w:spacing w:after="40" w:line="259" w:lineRule="auto"/>
      </w:pPr>
      <w:r>
        <w:rPr>
          <w:rFonts w:ascii="Aptos" w:hAnsi="Aptos"/>
        </w:rPr>
        <w:t>Does not expose raw Rego/Temporal SDK to normal tenant admins</w:t>
      </w:r>
    </w:p>
    <w:p>
      <w:pPr>
        <w:pStyle w:val="Heading3"/>
      </w:pPr>
      <w:r>
        <w:t>Authoritative data / state</w:t>
      </w:r>
    </w:p>
    <w:p>
      <w:pPr>
        <w:pStyle w:val="ListBullet"/>
        <w:spacing w:after="40" w:line="259" w:lineRule="auto"/>
      </w:pPr>
      <w:r>
        <w:rPr>
          <w:rFonts w:ascii="Aptos" w:hAnsi="Aptos"/>
        </w:rPr>
        <w:t>UI state only; authoritative metadata in CMP-033/052</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Interface</w:t>
            </w:r>
          </w:p>
        </w:tc>
        <w:tc>
          <w:tcPr>
            <w:tcW w:type="dxa" w:w="7920"/>
            <w:tcMar>
              <w:top w:w="90" w:type="dxa"/>
              <w:start w:w="90" w:type="dxa"/>
              <w:bottom w:w="90" w:type="dxa"/>
              <w:end w:w="90" w:type="dxa"/>
            </w:tcMar>
          </w:tcPr>
          <w:p>
            <w:r>
              <w:rPr>
                <w:rFonts w:ascii="Aptos" w:hAnsi="Aptos"/>
                <w:sz w:val="17"/>
              </w:rPr>
              <w:t>Consumes admin/config APIs rather than owning business APIs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StudioDraftChanged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AdminActionRequested</w:t>
            </w:r>
          </w:p>
        </w:tc>
      </w:tr>
    </w:tbl>
    <w:p>
      <w:pPr>
        <w:spacing w:after="40"/>
      </w:pPr>
    </w:p>
    <w:p>
      <w:pPr>
        <w:pStyle w:val="Heading3"/>
      </w:pPr>
      <w:r>
        <w:t>Dependencies and integration</w:t>
      </w:r>
    </w:p>
    <w:p>
      <w:pPr>
        <w:pStyle w:val="ListBullet"/>
        <w:spacing w:after="40" w:line="259" w:lineRule="auto"/>
      </w:pPr>
      <w:r>
        <w:rPr>
          <w:rFonts w:ascii="Aptos" w:hAnsi="Aptos"/>
        </w:rPr>
        <w:t>CMP-033 Metadata</w:t>
      </w:r>
    </w:p>
    <w:p>
      <w:pPr>
        <w:pStyle w:val="ListBullet"/>
        <w:spacing w:after="40" w:line="259" w:lineRule="auto"/>
      </w:pPr>
      <w:r>
        <w:rPr>
          <w:rFonts w:ascii="Aptos" w:hAnsi="Aptos"/>
        </w:rPr>
        <w:t>CMP-051 Publishing</w:t>
      </w:r>
    </w:p>
    <w:p>
      <w:pPr>
        <w:pStyle w:val="ListBullet"/>
        <w:spacing w:after="40" w:line="259" w:lineRule="auto"/>
      </w:pPr>
      <w:r>
        <w:rPr>
          <w:rFonts w:ascii="Aptos" w:hAnsi="Aptos"/>
        </w:rPr>
        <w:t>CMP-052 Version Registry</w:t>
      </w:r>
    </w:p>
    <w:p>
      <w:pPr>
        <w:pStyle w:val="ListBullet"/>
        <w:spacing w:after="40" w:line="259" w:lineRule="auto"/>
      </w:pPr>
      <w:r>
        <w:rPr>
          <w:rFonts w:ascii="Aptos" w:hAnsi="Aptos"/>
        </w:rPr>
        <w:t>CMP-054 Design System</w:t>
      </w:r>
    </w:p>
    <w:p>
      <w:pPr>
        <w:pStyle w:val="Heading3"/>
      </w:pPr>
      <w:r>
        <w:t>Failure behavior and safeguards</w:t>
      </w:r>
    </w:p>
    <w:p>
      <w:pPr>
        <w:pStyle w:val="ListBullet"/>
        <w:spacing w:after="40" w:line="259" w:lineRule="auto"/>
      </w:pPr>
      <w:r>
        <w:rPr>
          <w:rFonts w:ascii="Aptos" w:hAnsi="Aptos"/>
        </w:rPr>
        <w:t>Unsaved draft</w:t>
      </w:r>
    </w:p>
    <w:p>
      <w:pPr>
        <w:pStyle w:val="ListBullet"/>
        <w:spacing w:after="40" w:line="259" w:lineRule="auto"/>
      </w:pPr>
      <w:r>
        <w:rPr>
          <w:rFonts w:ascii="Aptos" w:hAnsi="Aptos"/>
        </w:rPr>
        <w:t>Concurrent editors</w:t>
      </w:r>
    </w:p>
    <w:p>
      <w:pPr>
        <w:pStyle w:val="ListBullet"/>
        <w:spacing w:after="40" w:line="259" w:lineRule="auto"/>
      </w:pPr>
      <w:r>
        <w:rPr>
          <w:rFonts w:ascii="Aptos" w:hAnsi="Aptos"/>
        </w:rPr>
        <w:t>Unauthorized admin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CMP-051  Maker-Checker / Publishing Engine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Control Plane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Enforce draft-&gt;validate-&gt;review-&gt;approve-&gt;publish lifecycle and separation of duties for executable service configuration.</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scoped with explicit maker/checker identities; platform template publication has separate authority.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Publication is atomic across referenced versions or fails with no partial activation.</w:t>
            </w:r>
          </w:p>
        </w:tc>
      </w:tr>
    </w:tbl>
    <w:p>
      <w:pPr>
        <w:spacing w:after="40"/>
      </w:pPr>
    </w:p>
    <w:p>
      <w:pPr>
        <w:pStyle w:val="Heading3"/>
      </w:pPr>
      <w:r>
        <w:t>Responsibilities</w:t>
      </w:r>
    </w:p>
    <w:p>
      <w:pPr>
        <w:pStyle w:val="ListBullet"/>
        <w:spacing w:after="40" w:line="259" w:lineRule="auto"/>
      </w:pPr>
      <w:r>
        <w:rPr>
          <w:rFonts w:ascii="Aptos" w:hAnsi="Aptos"/>
        </w:rPr>
        <w:t>Submission for review</w:t>
      </w:r>
    </w:p>
    <w:p>
      <w:pPr>
        <w:pStyle w:val="ListBullet"/>
        <w:spacing w:after="40" w:line="259" w:lineRule="auto"/>
      </w:pPr>
      <w:r>
        <w:rPr>
          <w:rFonts w:ascii="Aptos" w:hAnsi="Aptos"/>
        </w:rPr>
        <w:t>Checker approval/rejection</w:t>
      </w:r>
    </w:p>
    <w:p>
      <w:pPr>
        <w:pStyle w:val="ListBullet"/>
        <w:spacing w:after="40" w:line="259" w:lineRule="auto"/>
      </w:pPr>
      <w:r>
        <w:rPr>
          <w:rFonts w:ascii="Aptos" w:hAnsi="Aptos"/>
        </w:rPr>
        <w:t>Dependency validation</w:t>
      </w:r>
    </w:p>
    <w:p>
      <w:pPr>
        <w:pStyle w:val="ListBullet"/>
        <w:spacing w:after="40" w:line="259" w:lineRule="auto"/>
      </w:pPr>
      <w:r>
        <w:rPr>
          <w:rFonts w:ascii="Aptos" w:hAnsi="Aptos"/>
        </w:rPr>
        <w:t>Atomic publish set</w:t>
      </w:r>
    </w:p>
    <w:p>
      <w:pPr>
        <w:pStyle w:val="ListBullet"/>
        <w:spacing w:after="40" w:line="259" w:lineRule="auto"/>
      </w:pPr>
      <w:r>
        <w:rPr>
          <w:rFonts w:ascii="Aptos" w:hAnsi="Aptos"/>
        </w:rPr>
        <w:t>Rollback/supersede metadata</w:t>
      </w:r>
    </w:p>
    <w:p>
      <w:pPr>
        <w:pStyle w:val="Heading3"/>
      </w:pPr>
      <w:r>
        <w:t>Explicit non-responsibilities</w:t>
      </w:r>
    </w:p>
    <w:p>
      <w:pPr>
        <w:pStyle w:val="ListBullet"/>
        <w:spacing w:after="40" w:line="259" w:lineRule="auto"/>
      </w:pPr>
      <w:r>
        <w:rPr>
          <w:rFonts w:ascii="Aptos" w:hAnsi="Aptos"/>
        </w:rPr>
        <w:t>Does not let maker self-approve where SoD required</w:t>
      </w:r>
    </w:p>
    <w:p>
      <w:pPr>
        <w:pStyle w:val="ListBullet"/>
        <w:spacing w:after="40" w:line="259" w:lineRule="auto"/>
      </w:pPr>
      <w:r>
        <w:rPr>
          <w:rFonts w:ascii="Aptos" w:hAnsi="Aptos"/>
        </w:rPr>
        <w:t>Does not mutate published artifacts</w:t>
      </w:r>
    </w:p>
    <w:p>
      <w:pPr>
        <w:pStyle w:val="Heading3"/>
      </w:pPr>
      <w:r>
        <w:t>Authoritative data / state</w:t>
      </w:r>
    </w:p>
    <w:p>
      <w:pPr>
        <w:pStyle w:val="ListBullet"/>
        <w:spacing w:after="40" w:line="259" w:lineRule="auto"/>
      </w:pPr>
      <w:r>
        <w:rPr>
          <w:rFonts w:ascii="Aptos" w:hAnsi="Aptos"/>
        </w:rPr>
        <w:t>publish_submission</w:t>
      </w:r>
    </w:p>
    <w:p>
      <w:pPr>
        <w:pStyle w:val="ListBullet"/>
        <w:spacing w:after="40" w:line="259" w:lineRule="auto"/>
      </w:pPr>
      <w:r>
        <w:rPr>
          <w:rFonts w:ascii="Aptos" w:hAnsi="Aptos"/>
        </w:rPr>
        <w:t>publish_approval</w:t>
      </w:r>
    </w:p>
    <w:p>
      <w:pPr>
        <w:pStyle w:val="ListBullet"/>
        <w:spacing w:after="40" w:line="259" w:lineRule="auto"/>
      </w:pPr>
      <w:r>
        <w:rPr>
          <w:rFonts w:ascii="Aptos" w:hAnsi="Aptos"/>
        </w:rPr>
        <w:t>publish_manifest</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/publishing/submissions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/publishing/{id}/approve</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/publishing/{id}/reject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/publishing/{id}/publish</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PublishRequested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ConfigurationApproved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ConfigurationPublished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ConfigurationRejected</w:t>
            </w:r>
          </w:p>
        </w:tc>
      </w:tr>
    </w:tbl>
    <w:p>
      <w:pPr>
        <w:spacing w:after="40"/>
      </w:pPr>
    </w:p>
    <w:p>
      <w:pPr>
        <w:pStyle w:val="Heading3"/>
      </w:pPr>
      <w:r>
        <w:t>Dependencies and integration</w:t>
      </w:r>
    </w:p>
    <w:p>
      <w:pPr>
        <w:pStyle w:val="ListBullet"/>
        <w:spacing w:after="40" w:line="259" w:lineRule="auto"/>
      </w:pPr>
      <w:r>
        <w:rPr>
          <w:rFonts w:ascii="Aptos" w:hAnsi="Aptos"/>
        </w:rPr>
        <w:t>CMP-033 Metadata</w:t>
      </w:r>
    </w:p>
    <w:p>
      <w:pPr>
        <w:pStyle w:val="ListBullet"/>
        <w:spacing w:after="40" w:line="259" w:lineRule="auto"/>
      </w:pPr>
      <w:r>
        <w:rPr>
          <w:rFonts w:ascii="Aptos" w:hAnsi="Aptos"/>
        </w:rPr>
        <w:t>CMP-052 Version Registry</w:t>
      </w:r>
    </w:p>
    <w:p>
      <w:pPr>
        <w:pStyle w:val="ListBullet"/>
        <w:spacing w:after="40" w:line="259" w:lineRule="auto"/>
      </w:pPr>
      <w:r>
        <w:rPr>
          <w:rFonts w:ascii="Aptos" w:hAnsi="Aptos"/>
        </w:rPr>
        <w:t>CMP-043 Validation</w:t>
      </w:r>
    </w:p>
    <w:p>
      <w:pPr>
        <w:pStyle w:val="Heading3"/>
      </w:pPr>
      <w:r>
        <w:t>Failure behavior and safeguards</w:t>
      </w:r>
    </w:p>
    <w:p>
      <w:pPr>
        <w:pStyle w:val="ListBullet"/>
        <w:spacing w:after="40" w:line="259" w:lineRule="auto"/>
      </w:pPr>
      <w:r>
        <w:rPr>
          <w:rFonts w:ascii="Aptos" w:hAnsi="Aptos"/>
        </w:rPr>
        <w:t>Dependency changed during review</w:t>
      </w:r>
    </w:p>
    <w:p>
      <w:pPr>
        <w:pStyle w:val="ListBullet"/>
        <w:spacing w:after="40" w:line="259" w:lineRule="auto"/>
      </w:pPr>
      <w:r>
        <w:rPr>
          <w:rFonts w:ascii="Aptos" w:hAnsi="Aptos"/>
        </w:rPr>
        <w:t>Maker=checker violation</w:t>
      </w:r>
    </w:p>
    <w:p>
      <w:pPr>
        <w:pStyle w:val="ListBullet"/>
        <w:spacing w:after="40" w:line="259" w:lineRule="auto"/>
      </w:pPr>
      <w:r>
        <w:rPr>
          <w:rFonts w:ascii="Aptos" w:hAnsi="Aptos"/>
        </w:rPr>
        <w:t>Partial publish</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CMP-052  Versioning &amp; Configuration Registry</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Control Plane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Assign immutable versions, dependency graph and activation/supersession metadata to executable artifacts.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TenantServiceBinding is the executable manifest that applications pin.</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Version lookup highly cacheable; immutable artifacts content-addressable where practical.</w:t>
            </w:r>
          </w:p>
        </w:tc>
      </w:tr>
    </w:tbl>
    <w:p>
      <w:pPr>
        <w:spacing w:after="40"/>
      </w:pPr>
    </w:p>
    <w:p>
      <w:pPr>
        <w:pStyle w:val="Heading3"/>
      </w:pPr>
      <w:r>
        <w:t>Responsibilities</w:t>
      </w:r>
    </w:p>
    <w:p>
      <w:pPr>
        <w:pStyle w:val="ListBullet"/>
        <w:spacing w:after="40" w:line="259" w:lineRule="auto"/>
      </w:pPr>
      <w:r>
        <w:rPr>
          <w:rFonts w:ascii="Aptos" w:hAnsi="Aptos"/>
        </w:rPr>
        <w:t>Version IDs</w:t>
      </w:r>
    </w:p>
    <w:p>
      <w:pPr>
        <w:pStyle w:val="ListBullet"/>
        <w:spacing w:after="40" w:line="259" w:lineRule="auto"/>
      </w:pPr>
      <w:r>
        <w:rPr>
          <w:rFonts w:ascii="Aptos" w:hAnsi="Aptos"/>
        </w:rPr>
        <w:t>Artifact hashes</w:t>
      </w:r>
    </w:p>
    <w:p>
      <w:pPr>
        <w:pStyle w:val="ListBullet"/>
        <w:spacing w:after="40" w:line="259" w:lineRule="auto"/>
      </w:pPr>
      <w:r>
        <w:rPr>
          <w:rFonts w:ascii="Aptos" w:hAnsi="Aptos"/>
        </w:rPr>
        <w:t>Dependency graph</w:t>
      </w:r>
    </w:p>
    <w:p>
      <w:pPr>
        <w:pStyle w:val="ListBullet"/>
        <w:spacing w:after="40" w:line="259" w:lineRule="auto"/>
      </w:pPr>
      <w:r>
        <w:rPr>
          <w:rFonts w:ascii="Aptos" w:hAnsi="Aptos"/>
        </w:rPr>
        <w:t>Activation state</w:t>
      </w:r>
    </w:p>
    <w:p>
      <w:pPr>
        <w:pStyle w:val="ListBullet"/>
        <w:spacing w:after="40" w:line="259" w:lineRule="auto"/>
      </w:pPr>
      <w:r>
        <w:rPr>
          <w:rFonts w:ascii="Aptos" w:hAnsi="Aptos"/>
        </w:rPr>
        <w:t>Compatibility checks</w:t>
      </w:r>
    </w:p>
    <w:p>
      <w:pPr>
        <w:pStyle w:val="Heading3"/>
      </w:pPr>
      <w:r>
        <w:t>Explicit non-responsibilities</w:t>
      </w:r>
    </w:p>
    <w:p>
      <w:pPr>
        <w:pStyle w:val="ListBullet"/>
        <w:spacing w:after="40" w:line="259" w:lineRule="auto"/>
      </w:pPr>
      <w:r>
        <w:rPr>
          <w:rFonts w:ascii="Aptos" w:hAnsi="Aptos"/>
        </w:rPr>
        <w:t>Does not hold mutable draft as published</w:t>
      </w:r>
    </w:p>
    <w:p>
      <w:pPr>
        <w:pStyle w:val="ListBullet"/>
        <w:spacing w:after="40" w:line="259" w:lineRule="auto"/>
      </w:pPr>
      <w:r>
        <w:rPr>
          <w:rFonts w:ascii="Aptos" w:hAnsi="Aptos"/>
        </w:rPr>
        <w:t>Does not infer compatibility silently</w:t>
      </w:r>
    </w:p>
    <w:p>
      <w:pPr>
        <w:pStyle w:val="Heading3"/>
      </w:pPr>
      <w:r>
        <w:t>Authoritative data / state</w:t>
      </w:r>
    </w:p>
    <w:p>
      <w:pPr>
        <w:pStyle w:val="ListBullet"/>
        <w:spacing w:after="40" w:line="259" w:lineRule="auto"/>
      </w:pPr>
      <w:r>
        <w:rPr>
          <w:rFonts w:ascii="Aptos" w:hAnsi="Aptos"/>
        </w:rPr>
        <w:t>artifact_version</w:t>
      </w:r>
    </w:p>
    <w:p>
      <w:pPr>
        <w:pStyle w:val="ListBullet"/>
        <w:spacing w:after="40" w:line="259" w:lineRule="auto"/>
      </w:pPr>
      <w:r>
        <w:rPr>
          <w:rFonts w:ascii="Aptos" w:hAnsi="Aptos"/>
        </w:rPr>
        <w:t>artifact_dependency</w:t>
      </w:r>
    </w:p>
    <w:p>
      <w:pPr>
        <w:pStyle w:val="ListBullet"/>
        <w:spacing w:after="40" w:line="259" w:lineRule="auto"/>
      </w:pPr>
      <w:r>
        <w:rPr>
          <w:rFonts w:ascii="Aptos" w:hAnsi="Aptos"/>
        </w:rPr>
        <w:t>tenant_service_binding</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/versions/{id}</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/bindings/{id}/manifest</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/versions/compare</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VersionRegistered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VersionSuperseded</w:t>
            </w:r>
          </w:p>
        </w:tc>
      </w:tr>
    </w:tbl>
    <w:p>
      <w:pPr>
        <w:spacing w:after="40"/>
      </w:pPr>
    </w:p>
    <w:p>
      <w:pPr>
        <w:pStyle w:val="Heading3"/>
      </w:pPr>
      <w:r>
        <w:t>Dependencies and integration</w:t>
      </w:r>
    </w:p>
    <w:p>
      <w:pPr>
        <w:pStyle w:val="ListBullet"/>
        <w:spacing w:after="40" w:line="259" w:lineRule="auto"/>
      </w:pPr>
      <w:r>
        <w:rPr>
          <w:rFonts w:ascii="Aptos" w:hAnsi="Aptos"/>
        </w:rPr>
        <w:t>CMP-033 Metadata</w:t>
      </w:r>
    </w:p>
    <w:p>
      <w:pPr>
        <w:pStyle w:val="ListBullet"/>
        <w:spacing w:after="40" w:line="259" w:lineRule="auto"/>
      </w:pPr>
      <w:r>
        <w:rPr>
          <w:rFonts w:ascii="Aptos" w:hAnsi="Aptos"/>
        </w:rPr>
        <w:t>CMP-051 Publishing</w:t>
      </w:r>
    </w:p>
    <w:p>
      <w:pPr>
        <w:pStyle w:val="ListBullet"/>
        <w:spacing w:after="40" w:line="259" w:lineRule="auto"/>
      </w:pPr>
      <w:r>
        <w:rPr>
          <w:rFonts w:ascii="Aptos" w:hAnsi="Aptos"/>
        </w:rPr>
        <w:t>All executable engines</w:t>
      </w:r>
    </w:p>
    <w:p>
      <w:pPr>
        <w:pStyle w:val="Heading3"/>
      </w:pPr>
      <w:r>
        <w:t>Failure behavior and safeguards</w:t>
      </w:r>
    </w:p>
    <w:p>
      <w:pPr>
        <w:pStyle w:val="ListBullet"/>
        <w:spacing w:after="40" w:line="259" w:lineRule="auto"/>
      </w:pPr>
      <w:r>
        <w:rPr>
          <w:rFonts w:ascii="Aptos" w:hAnsi="Aptos"/>
        </w:rPr>
        <w:t>Missing dependency</w:t>
      </w:r>
    </w:p>
    <w:p>
      <w:pPr>
        <w:pStyle w:val="ListBullet"/>
        <w:spacing w:after="40" w:line="259" w:lineRule="auto"/>
      </w:pPr>
      <w:r>
        <w:rPr>
          <w:rFonts w:ascii="Aptos" w:hAnsi="Aptos"/>
        </w:rPr>
        <w:t>Hash mismatch</w:t>
      </w:r>
    </w:p>
    <w:p>
      <w:pPr>
        <w:pStyle w:val="ListBullet"/>
        <w:spacing w:after="40" w:line="259" w:lineRule="auto"/>
      </w:pPr>
      <w:r>
        <w:rPr>
          <w:rFonts w:ascii="Aptos" w:hAnsi="Aptos"/>
        </w:rPr>
        <w:t>Incompatible overlay</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CMP-053  Localization Service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Experience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multilingual resource keys, translation workflow, locale formatting and fallback behavior.</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may override allowed labels while canonical legal terminology remains governed.</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Static resources CDN/cache friendly.</w:t>
            </w:r>
          </w:p>
        </w:tc>
      </w:tr>
    </w:tbl>
    <w:p>
      <w:pPr>
        <w:spacing w:after="40"/>
      </w:pPr>
    </w:p>
    <w:p>
      <w:pPr>
        <w:pStyle w:val="Heading3"/>
      </w:pPr>
      <w:r>
        <w:t>Responsibilities</w:t>
      </w:r>
    </w:p>
    <w:p>
      <w:pPr>
        <w:pStyle w:val="ListBullet"/>
        <w:spacing w:after="40" w:line="259" w:lineRule="auto"/>
      </w:pPr>
      <w:r>
        <w:rPr>
          <w:rFonts w:ascii="Aptos" w:hAnsi="Aptos"/>
        </w:rPr>
        <w:t>Translation resources</w:t>
      </w:r>
    </w:p>
    <w:p>
      <w:pPr>
        <w:pStyle w:val="ListBullet"/>
        <w:spacing w:after="40" w:line="259" w:lineRule="auto"/>
      </w:pPr>
      <w:r>
        <w:rPr>
          <w:rFonts w:ascii="Aptos" w:hAnsi="Aptos"/>
        </w:rPr>
        <w:t>Locale fallback</w:t>
      </w:r>
    </w:p>
    <w:p>
      <w:pPr>
        <w:pStyle w:val="ListBullet"/>
        <w:spacing w:after="40" w:line="259" w:lineRule="auto"/>
      </w:pPr>
      <w:r>
        <w:rPr>
          <w:rFonts w:ascii="Aptos" w:hAnsi="Aptos"/>
        </w:rPr>
        <w:t>Date/number formatting</w:t>
      </w:r>
    </w:p>
    <w:p>
      <w:pPr>
        <w:pStyle w:val="ListBullet"/>
        <w:spacing w:after="40" w:line="259" w:lineRule="auto"/>
      </w:pPr>
      <w:r>
        <w:rPr>
          <w:rFonts w:ascii="Aptos" w:hAnsi="Aptos"/>
        </w:rPr>
        <w:t>Translation completeness</w:t>
      </w:r>
    </w:p>
    <w:p>
      <w:pPr>
        <w:pStyle w:val="ListBullet"/>
        <w:spacing w:after="40" w:line="259" w:lineRule="auto"/>
      </w:pPr>
      <w:r>
        <w:rPr>
          <w:rFonts w:ascii="Aptos" w:hAnsi="Aptos"/>
        </w:rPr>
        <w:t>Terminology governance</w:t>
      </w:r>
    </w:p>
    <w:p>
      <w:pPr>
        <w:pStyle w:val="Heading3"/>
      </w:pPr>
      <w:r>
        <w:t>Explicit non-responsibilities</w:t>
      </w:r>
    </w:p>
    <w:p>
      <w:pPr>
        <w:pStyle w:val="ListBullet"/>
        <w:spacing w:after="40" w:line="259" w:lineRule="auto"/>
      </w:pPr>
      <w:r>
        <w:rPr>
          <w:rFonts w:ascii="Aptos" w:hAnsi="Aptos"/>
        </w:rPr>
        <w:t>Does not embed translations directly in code where configurable</w:t>
      </w:r>
    </w:p>
    <w:p>
      <w:pPr>
        <w:pStyle w:val="ListBullet"/>
        <w:spacing w:after="40" w:line="259" w:lineRule="auto"/>
      </w:pPr>
      <w:r>
        <w:rPr>
          <w:rFonts w:ascii="Aptos" w:hAnsi="Aptos"/>
        </w:rPr>
        <w:t>Does not use AI translation without review for legal text</w:t>
      </w:r>
    </w:p>
    <w:p>
      <w:pPr>
        <w:pStyle w:val="Heading3"/>
      </w:pPr>
      <w:r>
        <w:t>Authoritative data / state</w:t>
      </w:r>
    </w:p>
    <w:p>
      <w:pPr>
        <w:pStyle w:val="ListBullet"/>
        <w:spacing w:after="40" w:line="259" w:lineRule="auto"/>
      </w:pPr>
      <w:r>
        <w:rPr>
          <w:rFonts w:ascii="Aptos" w:hAnsi="Aptos"/>
        </w:rPr>
        <w:t>translation_key</w:t>
      </w:r>
    </w:p>
    <w:p>
      <w:pPr>
        <w:pStyle w:val="ListBullet"/>
        <w:spacing w:after="40" w:line="259" w:lineRule="auto"/>
      </w:pPr>
      <w:r>
        <w:rPr>
          <w:rFonts w:ascii="Aptos" w:hAnsi="Aptos"/>
        </w:rPr>
        <w:t>translation_value</w:t>
      </w:r>
    </w:p>
    <w:p>
      <w:pPr>
        <w:pStyle w:val="ListBullet"/>
        <w:spacing w:after="40" w:line="259" w:lineRule="auto"/>
      </w:pPr>
      <w:r>
        <w:rPr>
          <w:rFonts w:ascii="Aptos" w:hAnsi="Aptos"/>
        </w:rPr>
        <w:t>locale_version</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Query</w:t>
            </w:r>
          </w:p>
        </w:tc>
        <w:tc>
          <w:tcPr>
            <w:tcW w:type="dxa" w:w="7920"/>
            <w:tcMar>
              <w:top w:w="90" w:type="dxa"/>
              <w:start w:w="90" w:type="dxa"/>
              <w:bottom w:w="90" w:type="dxa"/>
              <w:end w:w="90" w:type="dxa"/>
            </w:tcMar>
          </w:tcPr>
          <w:p>
            <w:r>
              <w:rPr>
                <w:rFonts w:ascii="Aptos" w:hAnsi="Aptos"/>
                <w:sz w:val="17"/>
              </w:rPr>
              <w:t>GET /localization/{locale}/resources</w:t>
            </w:r>
          </w:p>
        </w:tc>
      </w:tr>
      <w:tr>
        <w:tc>
          <w:tcPr>
            <w:tcW w:type="dxa" w:w="1872"/>
            <w:tcMar>
              <w:top w:w="90" w:type="dxa"/>
              <w:start w:w="90" w:type="dxa"/>
              <w:bottom w:w="90" w:type="dxa"/>
              <w:end w:w="90" w:type="dxa"/>
            </w:tcMar>
          </w:tcPr>
          <w:p>
            <w:r>
              <w:rPr>
                <w:rFonts w:ascii="Aptos" w:hAnsi="Aptos"/>
                <w:sz w:val="17"/>
              </w:rPr>
              <w:t>Command</w:t>
            </w:r>
          </w:p>
        </w:tc>
        <w:tc>
          <w:tcPr>
            <w:tcW w:type="dxa" w:w="7920"/>
            <w:tcMar>
              <w:top w:w="90" w:type="dxa"/>
              <w:start w:w="90" w:type="dxa"/>
              <w:bottom w:w="90" w:type="dxa"/>
              <w:end w:w="90" w:type="dxa"/>
            </w:tcMar>
          </w:tcPr>
          <w:p>
            <w:r>
              <w:rPr>
                <w:rFonts w:ascii="Aptos" w:hAnsi="Aptos"/>
                <w:sz w:val="17"/>
              </w:rPr>
              <w:t>POST /localization/translations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TranslationUpdated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LocalePublished</w:t>
            </w:r>
          </w:p>
        </w:tc>
      </w:tr>
    </w:tbl>
    <w:p>
      <w:pPr>
        <w:spacing w:after="40"/>
      </w:pPr>
    </w:p>
    <w:p>
      <w:pPr>
        <w:pStyle w:val="Heading3"/>
      </w:pPr>
      <w:r>
        <w:t>Dependencies and integration</w:t>
      </w:r>
    </w:p>
    <w:p>
      <w:pPr>
        <w:pStyle w:val="ListBullet"/>
        <w:spacing w:after="40" w:line="259" w:lineRule="auto"/>
      </w:pPr>
      <w:r>
        <w:rPr>
          <w:rFonts w:ascii="Aptos" w:hAnsi="Aptos"/>
        </w:rPr>
        <w:t>CMP-009 Forms</w:t>
      </w:r>
    </w:p>
    <w:p>
      <w:pPr>
        <w:pStyle w:val="ListBullet"/>
        <w:spacing w:after="40" w:line="259" w:lineRule="auto"/>
      </w:pPr>
      <w:r>
        <w:rPr>
          <w:rFonts w:ascii="Aptos" w:hAnsi="Aptos"/>
        </w:rPr>
        <w:t>CMP-025 Notification</w:t>
      </w:r>
    </w:p>
    <w:p>
      <w:pPr>
        <w:pStyle w:val="ListBullet"/>
        <w:spacing w:after="40" w:line="259" w:lineRule="auto"/>
      </w:pPr>
      <w:r>
        <w:rPr>
          <w:rFonts w:ascii="Aptos" w:hAnsi="Aptos"/>
        </w:rPr>
        <w:t>CMP-054 Design System</w:t>
      </w:r>
    </w:p>
    <w:p>
      <w:pPr>
        <w:pStyle w:val="ListBullet"/>
        <w:spacing w:after="40" w:line="259" w:lineRule="auto"/>
      </w:pPr>
      <w:r>
        <w:rPr>
          <w:rFonts w:ascii="Aptos" w:hAnsi="Aptos"/>
        </w:rPr>
        <w:t>CMP-050 Studio</w:t>
      </w:r>
    </w:p>
    <w:p>
      <w:pPr>
        <w:pStyle w:val="Heading3"/>
      </w:pPr>
      <w:r>
        <w:t>Failure behavior and safeguards</w:t>
      </w:r>
    </w:p>
    <w:p>
      <w:pPr>
        <w:pStyle w:val="ListBullet"/>
        <w:spacing w:after="40" w:line="259" w:lineRule="auto"/>
      </w:pPr>
      <w:r>
        <w:rPr>
          <w:rFonts w:ascii="Aptos" w:hAnsi="Aptos"/>
        </w:rPr>
        <w:t>Missing translation</w:t>
      </w:r>
    </w:p>
    <w:p>
      <w:pPr>
        <w:pStyle w:val="ListBullet"/>
        <w:spacing w:after="40" w:line="259" w:lineRule="auto"/>
      </w:pPr>
      <w:r>
        <w:rPr>
          <w:rFonts w:ascii="Aptos" w:hAnsi="Aptos"/>
        </w:rPr>
        <w:t>Fallback ambiguity</w:t>
      </w:r>
    </w:p>
    <w:p>
      <w:pPr>
        <w:pStyle w:val="ListBullet"/>
        <w:spacing w:after="40" w:line="259" w:lineRule="auto"/>
      </w:pPr>
      <w:r>
        <w:rPr>
          <w:rFonts w:ascii="Aptos" w:hAnsi="Aptos"/>
        </w:rPr>
        <w:t>Unreviewed legal translation</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CMP-054  Design System / Accessibility Layer</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Shared Experience</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reusable government UI components, tokens and accessibility behavior consistently across citizen/officer/studio surfaces.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Tenant branding limited to governed tokens; accessibility baseline mandatory.</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Components optimized for low bandwidth/mobile and keyboard/screen-reader use.</w:t>
            </w:r>
          </w:p>
        </w:tc>
      </w:tr>
    </w:tbl>
    <w:p>
      <w:pPr>
        <w:spacing w:after="40"/>
      </w:pPr>
    </w:p>
    <w:p>
      <w:pPr>
        <w:pStyle w:val="Heading3"/>
      </w:pPr>
      <w:r>
        <w:rPr>
          <w:b w:val="0"/>
        </w:rPr>
        <w:t>Purpose</w:t>
      </w:r>
    </w:p>
    <w:p>
      <w:pPr/>
      <w:r>
        <w:rPr>
          <w:b w:val="0"/>
        </w:rPr>
        <w:t>Make UX4G Design System 3.0 the authoritative visual, interaction and accessibility baseline for every first-party ServiceForm surface, while governing portable ServiceForm-specific extension components.</w:t>
      </w:r>
    </w:p>
    <w:p>
      <w:pPr>
        <w:pStyle w:val="Heading3"/>
      </w:pPr>
      <w:r>
        <w:rPr>
          <w:b w:val="0"/>
        </w:rPr>
        <w:t>Tenant model</w:t>
      </w:r>
    </w:p>
    <w:p>
      <w:pPr/>
      <w:r>
        <w:rPr>
          <w:b w:val="0"/>
        </w:rPr>
        <w:t>Tenant branding is a validated token overlay and identity/content configuration. Tenants may not fork UX4G component behavior or inject arbitrary CSS/JavaScript.</w:t>
      </w:r>
    </w:p>
    <w:p>
      <w:pPr>
        <w:pStyle w:val="Heading3"/>
      </w:pPr>
      <w:r>
        <w:rPr>
          <w:b w:val="0"/>
        </w:rPr>
        <w:t>Primary NFR</w:t>
      </w:r>
    </w:p>
    <w:p>
      <w:pPr/>
      <w:r>
        <w:rPr>
          <w:b w:val="0"/>
        </w:rPr>
        <w:t>All product UI must be keyboard-operable, responsive and accessible to WCAG 2.1 AA/GIGW-aligned expectations; standard control rendering must use UX4G components/tokens and maintain React/Flutter semantic parity.</w:t>
      </w:r>
    </w:p>
    <w:p>
      <w:pPr>
        <w:pStyle w:val="Heading3"/>
      </w:pPr>
      <w:r>
        <w:t>Responsibilities</w:t>
      </w:r>
    </w:p>
    <w:p>
      <w:pPr>
        <w:pStyle w:val="ListBullet"/>
        <w:spacing w:after="40" w:line="259" w:lineRule="auto"/>
      </w:pPr>
      <w:r>
        <w:rPr>
          <w:rFonts w:ascii="Aptos" w:hAnsi="Aptos"/>
        </w:rPr>
        <w:t>Design tokens</w:t>
      </w:r>
    </w:p>
    <w:p>
      <w:pPr>
        <w:pStyle w:val="ListBullet"/>
        <w:spacing w:after="40" w:line="259" w:lineRule="auto"/>
      </w:pPr>
      <w:r>
        <w:rPr>
          <w:rFonts w:ascii="Aptos" w:hAnsi="Aptos"/>
        </w:rPr>
        <w:t>Form controls</w:t>
      </w:r>
    </w:p>
    <w:p>
      <w:pPr>
        <w:pStyle w:val="ListBullet"/>
        <w:spacing w:after="40" w:line="259" w:lineRule="auto"/>
      </w:pPr>
      <w:r>
        <w:rPr>
          <w:rFonts w:ascii="Aptos" w:hAnsi="Aptos"/>
        </w:rPr>
        <w:t>Accessibility semantics</w:t>
      </w:r>
    </w:p>
    <w:p>
      <w:pPr>
        <w:pStyle w:val="ListBullet"/>
        <w:spacing w:after="40" w:line="259" w:lineRule="auto"/>
      </w:pPr>
      <w:r>
        <w:rPr>
          <w:rFonts w:ascii="Aptos" w:hAnsi="Aptos"/>
        </w:rPr>
        <w:t>Responsive patterns</w:t>
      </w:r>
    </w:p>
    <w:p>
      <w:pPr>
        <w:pStyle w:val="ListBullet"/>
        <w:spacing w:after="40" w:line="259" w:lineRule="auto"/>
      </w:pPr>
      <w:r>
        <w:rPr>
          <w:rFonts w:ascii="Aptos" w:hAnsi="Aptos"/>
        </w:rPr>
        <w:t>Error/help components</w:t>
      </w:r>
    </w:p>
    <w:p>
      <w:pPr>
        <w:pStyle w:val="ListBullet"/>
        <w:spacing w:after="40" w:line="259" w:lineRule="auto"/>
      </w:pPr>
      <w:r>
        <w:rPr>
          <w:rFonts w:ascii="Aptos" w:hAnsi="Aptos"/>
        </w:rPr>
        <w:t>Theme governance</w:t>
      </w:r>
    </w:p>
    <w:p>
      <w:pPr>
        <w:pStyle w:val="ListBullet"/>
      </w:pPr>
      <w:r>
        <w:rPr>
          <w:b w:val="0"/>
        </w:rPr>
        <w:t>UX4G v3.0 dependency/version governance and upgrade compatibility testing</w:t>
      </w:r>
    </w:p>
    <w:p>
      <w:pPr>
        <w:pStyle w:val="ListBullet"/>
      </w:pPr>
      <w:r>
        <w:rPr>
          <w:b w:val="0"/>
        </w:rPr>
        <w:t>UX4G foundations: color, typography, spacing/grid, elevation, iconography and design tokens</w:t>
      </w:r>
    </w:p>
    <w:p>
      <w:pPr>
        <w:pStyle w:val="ListBullet"/>
      </w:pPr>
      <w:r>
        <w:rPr>
          <w:b w:val="0"/>
        </w:rPr>
        <w:t>UX4G React renderer library for Next.js citizen/officer/Studio/admin surfaces</w:t>
      </w:r>
    </w:p>
    <w:p>
      <w:pPr>
        <w:pStyle w:val="ListBullet"/>
      </w:pPr>
      <w:r>
        <w:rPr>
          <w:b w:val="0"/>
        </w:rPr>
        <w:t>UX4G Flutter renderer library for mobile forms and service journeys</w:t>
      </w:r>
    </w:p>
    <w:p>
      <w:pPr>
        <w:pStyle w:val="ListBullet"/>
      </w:pPr>
      <w:r>
        <w:rPr>
          <w:b w:val="0"/>
        </w:rPr>
        <w:t>ServiceForm UX4G extension component registry and contribution process</w:t>
      </w:r>
    </w:p>
    <w:p>
      <w:pPr>
        <w:pStyle w:val="ListBullet"/>
      </w:pPr>
      <w:r>
        <w:rPr>
          <w:b w:val="0"/>
        </w:rPr>
        <w:t>Figma-to-code named component/state parity and Storybook documentation</w:t>
      </w:r>
    </w:p>
    <w:p>
      <w:pPr>
        <w:pStyle w:val="ListBullet"/>
      </w:pPr>
      <w:r>
        <w:rPr>
          <w:b w:val="0"/>
        </w:rPr>
        <w:t>Automated accessibility, keyboard, reflow, contrast and visual-regression certification</w:t>
      </w:r>
    </w:p>
    <w:p>
      <w:pPr>
        <w:pStyle w:val="ListBullet"/>
      </w:pPr>
      <w:r>
        <w:rPr>
          <w:b w:val="0"/>
        </w:rPr>
        <w:t>Tenant theme token validation and maker-checker publication</w:t>
      </w:r>
    </w:p>
    <w:p>
      <w:pPr>
        <w:pStyle w:val="ListBullet"/>
      </w:pPr>
      <w:r>
        <w:rPr>
          <w:b w:val="0"/>
        </w:rPr>
        <w:t>Does not permit feature teams to create a parallel visual design system.</w:t>
      </w:r>
    </w:p>
    <w:p>
      <w:pPr>
        <w:pStyle w:val="ListBullet"/>
      </w:pPr>
      <w:r>
        <w:rPr>
          <w:b w:val="0"/>
        </w:rPr>
        <w:t>Does not make JSON Forms default widgets or a third-party UI kit the citizen-facing design layer.</w:t>
      </w:r>
    </w:p>
    <w:p>
      <w:pPr>
        <w:pStyle w:val="ListBullet"/>
      </w:pPr>
      <w:r>
        <w:rPr>
          <w:b w:val="0"/>
        </w:rPr>
        <w:t>Does not treat accessibility as inherited automatically from the component library; assembled journeys still require testing.</w:t>
      </w:r>
    </w:p>
    <w:p>
      <w:pPr>
        <w:pStyle w:val="Heading3"/>
      </w:pPr>
      <w:r>
        <w:t>Explicit non-responsibilities</w:t>
      </w:r>
    </w:p>
    <w:p>
      <w:pPr>
        <w:pStyle w:val="ListBullet"/>
        <w:spacing w:after="40" w:line="259" w:lineRule="auto"/>
      </w:pPr>
      <w:r>
        <w:rPr>
          <w:rFonts w:ascii="Aptos" w:hAnsi="Aptos"/>
        </w:rPr>
        <w:t>Does not let tenants inject arbitrary CSS/JS that breaks accessibility/security</w:t>
      </w:r>
    </w:p>
    <w:p>
      <w:pPr>
        <w:pStyle w:val="Heading3"/>
      </w:pPr>
      <w:r>
        <w:t>Authoritative data / state</w:t>
      </w:r>
    </w:p>
    <w:p>
      <w:pPr>
        <w:pStyle w:val="ListBullet"/>
        <w:spacing w:after="40" w:line="259" w:lineRule="auto"/>
      </w:pPr>
      <w:r>
        <w:rPr>
          <w:rFonts w:ascii="Aptos" w:hAnsi="Aptos"/>
        </w:rPr>
        <w:t>component registry metadata</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Interface</w:t>
            </w:r>
          </w:p>
        </w:tc>
        <w:tc>
          <w:tcPr>
            <w:tcW w:type="dxa" w:w="7920"/>
            <w:tcMar>
              <w:top w:w="90" w:type="dxa"/>
              <w:start w:w="90" w:type="dxa"/>
              <w:bottom w:w="90" w:type="dxa"/>
              <w:end w:w="90" w:type="dxa"/>
            </w:tcMar>
          </w:tcPr>
          <w:p>
            <w:r>
              <w:rPr>
                <w:rFonts w:ascii="Aptos" w:hAnsi="Aptos"/>
                <w:sz w:val="17"/>
              </w:rPr>
              <w:t>NPM/package interfaces rather than REST</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DesignSystemVersionPublished</w:t>
            </w:r>
          </w:p>
        </w:tc>
      </w:tr>
    </w:tbl>
    <w:p>
      <w:pPr>
        <w:spacing w:after="40"/>
      </w:pPr>
    </w:p>
    <w:p>
      <w:pPr>
        <w:pStyle w:val="Heading3"/>
      </w:pPr>
      <w:r>
        <w:t>Dependencies and integration</w:t>
      </w:r>
    </w:p>
    <w:p>
      <w:pPr>
        <w:pStyle w:val="ListBullet"/>
        <w:spacing w:after="40" w:line="259" w:lineRule="auto"/>
      </w:pPr>
      <w:r>
        <w:rPr>
          <w:rFonts w:ascii="Aptos" w:hAnsi="Aptos"/>
        </w:rPr>
        <w:t>React/Next.js</w:t>
      </w:r>
    </w:p>
    <w:p>
      <w:pPr>
        <w:pStyle w:val="ListBullet"/>
        <w:spacing w:after="40" w:line="259" w:lineRule="auto"/>
      </w:pPr>
      <w:r>
        <w:rPr>
          <w:rFonts w:ascii="Aptos" w:hAnsi="Aptos"/>
        </w:rPr>
        <w:t>Flutter equivalents</w:t>
      </w:r>
    </w:p>
    <w:p>
      <w:pPr>
        <w:pStyle w:val="ListBullet"/>
        <w:spacing w:after="40" w:line="259" w:lineRule="auto"/>
      </w:pPr>
      <w:r>
        <w:rPr>
          <w:rFonts w:ascii="Aptos" w:hAnsi="Aptos"/>
        </w:rPr>
        <w:t>CMP-009 Forms</w:t>
      </w:r>
    </w:p>
    <w:p>
      <w:pPr>
        <w:pStyle w:val="ListBullet"/>
        <w:spacing w:after="40" w:line="259" w:lineRule="auto"/>
      </w:pPr>
      <w:r>
        <w:rPr>
          <w:rFonts w:ascii="Aptos" w:hAnsi="Aptos"/>
        </w:rPr>
        <w:t>CMP-050 Studio</w:t>
      </w:r>
    </w:p>
    <w:p>
      <w:pPr>
        <w:pStyle w:val="ListBullet"/>
      </w:pPr>
      <w:r>
        <w:rPr>
          <w:b w:val="0"/>
        </w:rPr>
        <w:t>UX4G package/version drift between web and mobile</w:t>
      </w:r>
    </w:p>
    <w:p>
      <w:pPr>
        <w:pStyle w:val="ListBullet"/>
      </w:pPr>
      <w:r>
        <w:rPr>
          <w:b w:val="0"/>
        </w:rPr>
        <w:t>Ad-hoc CSS or third-party component introduced outside governed wrapper</w:t>
      </w:r>
    </w:p>
    <w:p>
      <w:pPr>
        <w:pStyle w:val="ListBullet"/>
      </w:pPr>
      <w:r>
        <w:rPr>
          <w:b w:val="0"/>
        </w:rPr>
        <w:t>Missing Storybook/Figma parity for extension component</w:t>
      </w:r>
    </w:p>
    <w:p>
      <w:pPr>
        <w:pStyle w:val="ListBullet"/>
      </w:pPr>
      <w:r>
        <w:rPr>
          <w:b w:val="0"/>
        </w:rPr>
        <w:t>Localization/zoom causes clipping or loss of action visibility</w:t>
      </w:r>
    </w:p>
    <w:p>
      <w:pPr>
        <w:pStyle w:val="ListBullet"/>
      </w:pPr>
      <w:r>
        <w:rPr>
          <w:b w:val="0"/>
        </w:rPr>
        <w:t>Tenant theme passes visually but fails contrast/focus requirements</w:t>
      </w:r>
    </w:p>
    <w:p>
      <w:pPr>
        <w:pStyle w:val="Heading3"/>
      </w:pPr>
      <w:r>
        <w:t>Failure behavior and safeguards</w:t>
      </w:r>
    </w:p>
    <w:p>
      <w:pPr>
        <w:pStyle w:val="ListBullet"/>
        <w:spacing w:after="40" w:line="259" w:lineRule="auto"/>
      </w:pPr>
      <w:r>
        <w:rPr>
          <w:rFonts w:ascii="Aptos" w:hAnsi="Aptos"/>
        </w:rPr>
        <w:t>Contrast failure</w:t>
      </w:r>
    </w:p>
    <w:p>
      <w:pPr>
        <w:pStyle w:val="ListBullet"/>
        <w:spacing w:after="40" w:line="259" w:lineRule="auto"/>
      </w:pPr>
      <w:r>
        <w:rPr>
          <w:rFonts w:ascii="Aptos" w:hAnsi="Aptos"/>
        </w:rPr>
        <w:t>Keyboard trap</w:t>
      </w:r>
    </w:p>
    <w:p>
      <w:pPr>
        <w:pStyle w:val="ListBullet"/>
        <w:spacing w:after="40" w:line="259" w:lineRule="auto"/>
      </w:pPr>
      <w:r>
        <w:rPr>
          <w:rFonts w:ascii="Aptos" w:hAnsi="Aptos"/>
        </w:rPr>
        <w:t>Tenant theme breaks layout</w:t>
      </w:r>
    </w:p>
    <w:p>
      <w:pPr>
        <w:pStyle w:val="ListBullet"/>
      </w:pPr>
      <w:r>
        <w:rPr>
          <w:b w:val="0"/>
        </w:rPr>
        <w:t>Standard forms render exclusively through UX4G-backed React and Flutter renderers or certified ServiceForm UX4G extensions.</w:t>
      </w:r>
    </w:p>
    <w:p>
      <w:pPr>
        <w:pStyle w:val="ListBullet"/>
      </w:pPr>
      <w:r>
        <w:rPr>
          <w:b w:val="0"/>
        </w:rPr>
        <w:t>No direct MUI/Bootstrap/Tailwind visual primitive is introduced without approved ADR/conformance wrapper.</w:t>
      </w:r>
    </w:p>
    <w:p>
      <w:pPr>
        <w:pStyle w:val="ListBullet"/>
      </w:pPr>
      <w:r>
        <w:rPr>
          <w:b w:val="0"/>
        </w:rPr>
        <w:t>Keyboard-only user can complete the Golden Residence Certificate journey with visible focus and correct error association.</w:t>
      </w:r>
    </w:p>
    <w:p>
      <w:pPr>
        <w:pStyle w:val="ListBullet"/>
      </w:pPr>
      <w:r>
        <w:rPr>
          <w:b w:val="0"/>
        </w:rPr>
        <w:t>Automated accessibility scan, contrast check, 200% zoom/reflow, responsive and visual-regression suites pass for critical screens.</w:t>
      </w:r>
    </w:p>
    <w:p>
      <w:pPr>
        <w:pStyle w:val="ListBullet"/>
      </w:pPr>
      <w:r>
        <w:rPr>
          <w:b w:val="0"/>
        </w:rPr>
        <w:t>Tenant theme can change approved brand tokens without changing semantic states or breaking contrast.</w:t>
      </w:r>
    </w:p>
    <w:p>
      <w:pPr>
        <w:pStyle w:val="ListBullet"/>
      </w:pPr>
      <w:r>
        <w:rPr>
          <w:b w:val="0"/>
        </w:rPr>
        <w:t>Each custom extension has Figma/Storybook/API/state documentation and named web/mobile parity evidence.</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r>
        <w:br w:type="page"/>
      </w:r>
    </w:p>
    <w:p>
      <w:pPr>
        <w:pStyle w:val="Heading2"/>
      </w:pPr>
      <w:r>
        <w:t>CMP-055  Developer Platform</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Classification</w:t>
            </w:r>
          </w:p>
        </w:tc>
        <w:tc>
          <w:tcPr>
            <w:tcW w:type="dxa" w:w="7128"/>
            <w:tcMar>
              <w:top w:w="90" w:type="dxa"/>
              <w:start w:w="100" w:type="dxa"/>
              <w:bottom w:w="90" w:type="dxa"/>
              <w:end w:w="100" w:type="dxa"/>
            </w:tcMar>
            <w:vAlign w:val="center"/>
          </w:tcPr>
          <w:p>
            <w:r>
              <w:rPr>
                <w:rFonts w:ascii="Aptos" w:hAnsi="Aptos"/>
                <w:sz w:val="19"/>
              </w:rPr>
              <w:t>Engineering Platform</w:t>
            </w:r>
          </w:p>
        </w:tc>
      </w:tr>
      <w:tr>
        <w:tc>
          <w:tcPr>
            <w:tcW w:type="dxa" w:w="2664"/>
            <w:shd w:fill="F3F4F6"/>
            <w:tcMar>
              <w:top w:w="90" w:type="dxa"/>
              <w:start w:w="100" w:type="dxa"/>
              <w:bottom w:w="90" w:type="dxa"/>
              <w:end w:w="100" w:type="dxa"/>
            </w:tcMar>
            <w:vAlign w:val="center"/>
          </w:tcPr>
          <w:p>
            <w:r>
              <w:rPr>
                <w:rFonts w:ascii="Aptos" w:hAnsi="Aptos"/>
                <w:b/>
                <w:color w:val="1F2937"/>
                <w:sz w:val="19"/>
              </w:rPr>
              <w:t>Purpose</w:t>
            </w:r>
          </w:p>
        </w:tc>
        <w:tc>
          <w:tcPr>
            <w:tcW w:type="dxa" w:w="7128"/>
            <w:tcMar>
              <w:top w:w="90" w:type="dxa"/>
              <w:start w:w="100" w:type="dxa"/>
              <w:bottom w:w="90" w:type="dxa"/>
              <w:end w:w="100" w:type="dxa"/>
            </w:tcMar>
            <w:vAlign w:val="center"/>
          </w:tcPr>
          <w:p>
            <w:r>
              <w:rPr>
                <w:rFonts w:ascii="Aptos" w:hAnsi="Aptos"/>
                <w:sz w:val="19"/>
              </w:rPr>
              <w:t>Provide repository conventions, CI/CD, IaC, contract generation, test automation, GitOps and AI-agent guardrails.</w:t>
            </w:r>
          </w:p>
        </w:tc>
      </w:tr>
      <w:tr>
        <w:tc>
          <w:tcPr>
            <w:tcW w:type="dxa" w:w="2664"/>
            <w:shd w:fill="F3F4F6"/>
            <w:tcMar>
              <w:top w:w="90" w:type="dxa"/>
              <w:start w:w="100" w:type="dxa"/>
              <w:bottom w:w="90" w:type="dxa"/>
              <w:end w:w="100" w:type="dxa"/>
            </w:tcMar>
            <w:vAlign w:val="center"/>
          </w:tcPr>
          <w:p>
            <w:r>
              <w:rPr>
                <w:rFonts w:ascii="Aptos" w:hAnsi="Aptos"/>
                <w:b/>
                <w:color w:val="1F2937"/>
                <w:sz w:val="19"/>
              </w:rPr>
              <w:t>Tenant model</w:t>
            </w:r>
          </w:p>
        </w:tc>
        <w:tc>
          <w:tcPr>
            <w:tcW w:type="dxa" w:w="7128"/>
            <w:tcMar>
              <w:top w:w="90" w:type="dxa"/>
              <w:start w:w="100" w:type="dxa"/>
              <w:bottom w:w="90" w:type="dxa"/>
              <w:end w:w="100" w:type="dxa"/>
            </w:tcMar>
            <w:vAlign w:val="center"/>
          </w:tcPr>
          <w:p>
            <w:r>
              <w:rPr>
                <w:rFonts w:ascii="Aptos" w:hAnsi="Aptos"/>
                <w:sz w:val="19"/>
              </w:rPr>
              <w:t>Environment/tenant/cell deployment metadata controlled through reviewed pipelines.</w:t>
            </w:r>
          </w:p>
        </w:tc>
      </w:tr>
      <w:tr>
        <w:tc>
          <w:tcPr>
            <w:tcW w:type="dxa" w:w="2664"/>
            <w:shd w:fill="F3F4F6"/>
            <w:tcMar>
              <w:top w:w="90" w:type="dxa"/>
              <w:start w:w="100" w:type="dxa"/>
              <w:bottom w:w="90" w:type="dxa"/>
              <w:end w:w="100" w:type="dxa"/>
            </w:tcMar>
            <w:vAlign w:val="center"/>
          </w:tcPr>
          <w:p>
            <w:r>
              <w:rPr>
                <w:rFonts w:ascii="Aptos" w:hAnsi="Aptos"/>
                <w:b/>
                <w:color w:val="1F2937"/>
                <w:sz w:val="19"/>
              </w:rPr>
              <w:t>Primary NFR</w:t>
            </w:r>
          </w:p>
        </w:tc>
        <w:tc>
          <w:tcPr>
            <w:tcW w:type="dxa" w:w="7128"/>
            <w:tcMar>
              <w:top w:w="90" w:type="dxa"/>
              <w:start w:w="100" w:type="dxa"/>
              <w:bottom w:w="90" w:type="dxa"/>
              <w:end w:w="100" w:type="dxa"/>
            </w:tcMar>
            <w:vAlign w:val="center"/>
          </w:tcPr>
          <w:p>
            <w:r>
              <w:rPr>
                <w:rFonts w:ascii="Aptos" w:hAnsi="Aptos"/>
                <w:sz w:val="19"/>
              </w:rPr>
              <w:t>Fast repeatable builds; reproducible deployments; provenance/SBOM where applicable.</w:t>
            </w:r>
          </w:p>
        </w:tc>
      </w:tr>
    </w:tbl>
    <w:p>
      <w:pPr>
        <w:spacing w:after="40"/>
      </w:pPr>
    </w:p>
    <w:p>
      <w:pPr>
        <w:pStyle w:val="Heading3"/>
      </w:pPr>
      <w:r>
        <w:t>Responsibilities</w:t>
      </w:r>
    </w:p>
    <w:p>
      <w:pPr>
        <w:pStyle w:val="ListBullet"/>
        <w:spacing w:after="40" w:line="259" w:lineRule="auto"/>
      </w:pPr>
      <w:r>
        <w:rPr>
          <w:rFonts w:ascii="Aptos" w:hAnsi="Aptos"/>
        </w:rPr>
        <w:t>Repo templates</w:t>
      </w:r>
    </w:p>
    <w:p>
      <w:pPr>
        <w:pStyle w:val="ListBullet"/>
        <w:spacing w:after="40" w:line="259" w:lineRule="auto"/>
      </w:pPr>
      <w:r>
        <w:rPr>
          <w:rFonts w:ascii="Aptos" w:hAnsi="Aptos"/>
        </w:rPr>
        <w:t>CI quality gates</w:t>
      </w:r>
    </w:p>
    <w:p>
      <w:pPr>
        <w:pStyle w:val="ListBullet"/>
        <w:spacing w:after="40" w:line="259" w:lineRule="auto"/>
      </w:pPr>
      <w:r>
        <w:rPr>
          <w:rFonts w:ascii="Aptos" w:hAnsi="Aptos"/>
        </w:rPr>
        <w:t>OpenAPI/AsyncAPI pipelines</w:t>
      </w:r>
    </w:p>
    <w:p>
      <w:pPr>
        <w:pStyle w:val="ListBullet"/>
        <w:spacing w:after="40" w:line="259" w:lineRule="auto"/>
      </w:pPr>
      <w:r>
        <w:rPr>
          <w:rFonts w:ascii="Aptos" w:hAnsi="Aptos"/>
        </w:rPr>
        <w:t>IaC/Helm/GitOps</w:t>
      </w:r>
    </w:p>
    <w:p>
      <w:pPr>
        <w:pStyle w:val="ListBullet"/>
        <w:spacing w:after="40" w:line="259" w:lineRule="auto"/>
      </w:pPr>
      <w:r>
        <w:rPr>
          <w:rFonts w:ascii="Aptos" w:hAnsi="Aptos"/>
        </w:rPr>
        <w:t>Code scanning</w:t>
      </w:r>
    </w:p>
    <w:p>
      <w:pPr>
        <w:pStyle w:val="ListBullet"/>
        <w:spacing w:after="40" w:line="259" w:lineRule="auto"/>
      </w:pPr>
      <w:r>
        <w:rPr>
          <w:rFonts w:ascii="Aptos" w:hAnsi="Aptos"/>
        </w:rPr>
        <w:t>AI agent instructions</w:t>
      </w:r>
    </w:p>
    <w:p>
      <w:pPr>
        <w:pStyle w:val="Heading3"/>
      </w:pPr>
      <w:r>
        <w:t>Explicit non-responsibilities</w:t>
      </w:r>
    </w:p>
    <w:p>
      <w:pPr>
        <w:pStyle w:val="ListBullet"/>
        <w:spacing w:after="40" w:line="259" w:lineRule="auto"/>
      </w:pPr>
      <w:r>
        <w:rPr>
          <w:rFonts w:ascii="Aptos" w:hAnsi="Aptos"/>
        </w:rPr>
        <w:t>Does not silently change architecture</w:t>
      </w:r>
    </w:p>
    <w:p>
      <w:pPr>
        <w:pStyle w:val="ListBullet"/>
        <w:spacing w:after="40" w:line="259" w:lineRule="auto"/>
      </w:pPr>
      <w:r>
        <w:rPr>
          <w:rFonts w:ascii="Aptos" w:hAnsi="Aptos"/>
        </w:rPr>
        <w:t>Does not let generated code bypass tests/security gates</w:t>
      </w:r>
    </w:p>
    <w:p>
      <w:pPr>
        <w:pStyle w:val="Heading3"/>
      </w:pPr>
      <w:r>
        <w:t>Authoritative data / state</w:t>
      </w:r>
    </w:p>
    <w:p>
      <w:pPr>
        <w:pStyle w:val="ListBullet"/>
        <w:spacing w:after="40" w:line="259" w:lineRule="auto"/>
      </w:pPr>
      <w:r>
        <w:rPr>
          <w:rFonts w:ascii="Aptos" w:hAnsi="Aptos"/>
        </w:rPr>
        <w:t>pipeline metadata</w:t>
      </w:r>
    </w:p>
    <w:p>
      <w:pPr>
        <w:pStyle w:val="ListBullet"/>
        <w:spacing w:after="40" w:line="259" w:lineRule="auto"/>
      </w:pPr>
      <w:r>
        <w:rPr>
          <w:rFonts w:ascii="Aptos" w:hAnsi="Aptos"/>
        </w:rPr>
        <w:t>artifact registry metadata</w:t>
      </w:r>
    </w:p>
    <w:p>
      <w:pPr>
        <w:pStyle w:val="Heading3"/>
      </w:pPr>
      <w:r>
        <w:t>Primary interfaces</w:t>
      </w:r>
    </w:p>
    <w:tbl>
      <w:tblPr>
        <w:tblW w:type="auto" w:w="0"/>
        <w:jc w:val="center"/>
        <w:tblLayout w:type="fixed"/>
        <w:tblLook w:firstColumn="1" w:firstRow="1" w:lastColumn="0" w:lastRow="0" w:noHBand="0" w:noVBand="1" w:val="04A0"/>
      </w:tblPr>
      <w:tblGrid>
        <w:gridCol w:w="1872"/>
        <w:gridCol w:w="7920"/>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Type</w:t>
            </w:r>
          </w:p>
        </w:tc>
        <w:tc>
          <w:tcPr>
            <w:tcW w:type="dxa" w:w="5083"/>
            <w:shd w:fill="1F4E78"/>
            <w:tcMar>
              <w:top w:w="90" w:type="dxa"/>
              <w:start w:w="90" w:type="dxa"/>
              <w:bottom w:w="90" w:type="dxa"/>
              <w:end w:w="90" w:type="dxa"/>
            </w:tcMar>
          </w:tcPr>
          <w:p>
            <w:pPr>
              <w:jc w:val="center"/>
            </w:pPr>
            <w:r>
              <w:rPr>
                <w:rFonts w:ascii="Aptos" w:hAnsi="Aptos"/>
                <w:b/>
                <w:color w:val="FFFFFF"/>
                <w:sz w:val="18"/>
              </w:rPr>
              <w:t>Interface</w:t>
            </w:r>
          </w:p>
        </w:tc>
      </w:tr>
      <w:tr>
        <w:tc>
          <w:tcPr>
            <w:tcW w:type="dxa" w:w="1872"/>
            <w:tcMar>
              <w:top w:w="90" w:type="dxa"/>
              <w:start w:w="90" w:type="dxa"/>
              <w:bottom w:w="90" w:type="dxa"/>
              <w:end w:w="90" w:type="dxa"/>
            </w:tcMar>
          </w:tcPr>
          <w:p>
            <w:r>
              <w:rPr>
                <w:rFonts w:ascii="Aptos" w:hAnsi="Aptos"/>
                <w:sz w:val="17"/>
              </w:rPr>
              <w:t>Interface</w:t>
            </w:r>
          </w:p>
        </w:tc>
        <w:tc>
          <w:tcPr>
            <w:tcW w:type="dxa" w:w="7920"/>
            <w:tcMar>
              <w:top w:w="90" w:type="dxa"/>
              <w:start w:w="90" w:type="dxa"/>
              <w:bottom w:w="90" w:type="dxa"/>
              <w:end w:w="90" w:type="dxa"/>
            </w:tcMar>
          </w:tcPr>
          <w:p>
            <w:r>
              <w:rPr>
                <w:rFonts w:ascii="Aptos" w:hAnsi="Aptos"/>
                <w:sz w:val="17"/>
              </w:rPr>
              <w:t>Developer/CI tooling interfaces</w:t>
            </w:r>
          </w:p>
        </w:tc>
      </w:tr>
    </w:tbl>
    <w:p>
      <w:pPr>
        <w:spacing w:after="40"/>
      </w:pPr>
    </w:p>
    <w:p>
      <w:pPr>
        <w:pStyle w:val="Heading3"/>
      </w:pPr>
      <w:r>
        <w:t>Events</w:t>
      </w:r>
    </w:p>
    <w:tbl>
      <w:tblPr>
        <w:tblW w:type="auto" w:w="0"/>
        <w:jc w:val="center"/>
        <w:tblLayout w:type="fixed"/>
        <w:tblLook w:firstColumn="1" w:firstRow="1" w:lastColumn="0" w:lastRow="0" w:noHBand="0" w:noVBand="1" w:val="04A0"/>
      </w:tblPr>
      <w:tblGrid>
        <w:gridCol w:w="2160"/>
        <w:gridCol w:w="7632"/>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Direction</w:t>
            </w:r>
          </w:p>
        </w:tc>
        <w:tc>
          <w:tcPr>
            <w:tcW w:type="dxa" w:w="5083"/>
            <w:shd w:fill="1F4E78"/>
            <w:tcMar>
              <w:top w:w="90" w:type="dxa"/>
              <w:start w:w="90" w:type="dxa"/>
              <w:bottom w:w="90" w:type="dxa"/>
              <w:end w:w="90" w:type="dxa"/>
            </w:tcMar>
          </w:tcPr>
          <w:p>
            <w:pPr>
              <w:jc w:val="center"/>
            </w:pPr>
            <w:r>
              <w:rPr>
                <w:rFonts w:ascii="Aptos" w:hAnsi="Aptos"/>
                <w:b/>
                <w:color w:val="FFFFFF"/>
                <w:sz w:val="18"/>
              </w:rPr>
              <w:t>Event / Contract</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BuildPassed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DeploymentPromoted</w:t>
            </w:r>
          </w:p>
        </w:tc>
      </w:tr>
      <w:tr>
        <w:tc>
          <w:tcPr>
            <w:tcW w:type="dxa" w:w="2160"/>
            <w:tcMar>
              <w:top w:w="90" w:type="dxa"/>
              <w:start w:w="90" w:type="dxa"/>
              <w:bottom w:w="90" w:type="dxa"/>
              <w:end w:w="90" w:type="dxa"/>
            </w:tcMar>
          </w:tcPr>
          <w:p>
            <w:r>
              <w:rPr>
                <w:rFonts w:ascii="Aptos" w:hAnsi="Aptos"/>
                <w:sz w:val="17"/>
              </w:rPr>
              <w:t>Emits / handles</w:t>
            </w:r>
          </w:p>
        </w:tc>
        <w:tc>
          <w:tcPr>
            <w:tcW w:type="dxa" w:w="7632"/>
            <w:tcMar>
              <w:top w:w="90" w:type="dxa"/>
              <w:start w:w="90" w:type="dxa"/>
              <w:bottom w:w="90" w:type="dxa"/>
              <w:end w:w="90" w:type="dxa"/>
            </w:tcMar>
          </w:tcPr>
          <w:p>
            <w:r>
              <w:rPr>
                <w:rFonts w:ascii="Aptos" w:hAnsi="Aptos"/>
                <w:sz w:val="17"/>
              </w:rPr>
              <w:t>ReleaseBlocked</w:t>
            </w:r>
          </w:p>
        </w:tc>
      </w:tr>
    </w:tbl>
    <w:p>
      <w:pPr>
        <w:spacing w:after="40"/>
      </w:pPr>
    </w:p>
    <w:p>
      <w:pPr>
        <w:pStyle w:val="Heading3"/>
      </w:pPr>
      <w:r>
        <w:t>Dependencies and integration</w:t>
      </w:r>
    </w:p>
    <w:p>
      <w:pPr>
        <w:pStyle w:val="ListBullet"/>
        <w:spacing w:after="40" w:line="259" w:lineRule="auto"/>
      </w:pPr>
      <w:r>
        <w:rPr>
          <w:rFonts w:ascii="Aptos" w:hAnsi="Aptos"/>
        </w:rPr>
        <w:t>GitHub/GitLab</w:t>
      </w:r>
    </w:p>
    <w:p>
      <w:pPr>
        <w:pStyle w:val="ListBullet"/>
        <w:spacing w:after="40" w:line="259" w:lineRule="auto"/>
      </w:pPr>
      <w:r>
        <w:rPr>
          <w:rFonts w:ascii="Aptos" w:hAnsi="Aptos"/>
        </w:rPr>
        <w:t>Argo CD</w:t>
      </w:r>
    </w:p>
    <w:p>
      <w:pPr>
        <w:pStyle w:val="ListBullet"/>
        <w:spacing w:after="40" w:line="259" w:lineRule="auto"/>
      </w:pPr>
      <w:r>
        <w:rPr>
          <w:rFonts w:ascii="Aptos" w:hAnsi="Aptos"/>
        </w:rPr>
        <w:t>Helm</w:t>
      </w:r>
    </w:p>
    <w:p>
      <w:pPr>
        <w:pStyle w:val="ListBullet"/>
        <w:spacing w:after="40" w:line="259" w:lineRule="auto"/>
      </w:pPr>
      <w:r>
        <w:rPr>
          <w:rFonts w:ascii="Aptos" w:hAnsi="Aptos"/>
        </w:rPr>
        <w:t>Terraform</w:t>
      </w:r>
    </w:p>
    <w:p>
      <w:pPr>
        <w:pStyle w:val="ListBullet"/>
        <w:spacing w:after="40" w:line="259" w:lineRule="auto"/>
      </w:pPr>
      <w:r>
        <w:rPr>
          <w:rFonts w:ascii="Aptos" w:hAnsi="Aptos"/>
        </w:rPr>
        <w:t>CMP-044 AI Testing</w:t>
      </w:r>
    </w:p>
    <w:p>
      <w:pPr>
        <w:pStyle w:val="Heading3"/>
      </w:pPr>
      <w:r>
        <w:t>Failure behavior and safeguards</w:t>
      </w:r>
    </w:p>
    <w:p>
      <w:pPr>
        <w:pStyle w:val="ListBullet"/>
        <w:spacing w:after="40" w:line="259" w:lineRule="auto"/>
      </w:pPr>
      <w:r>
        <w:rPr>
          <w:rFonts w:ascii="Aptos" w:hAnsi="Aptos"/>
        </w:rPr>
        <w:t>Flaky pipeline</w:t>
      </w:r>
    </w:p>
    <w:p>
      <w:pPr>
        <w:pStyle w:val="ListBullet"/>
        <w:spacing w:after="40" w:line="259" w:lineRule="auto"/>
      </w:pPr>
      <w:r>
        <w:rPr>
          <w:rFonts w:ascii="Aptos" w:hAnsi="Aptos"/>
        </w:rPr>
        <w:t>Unpinned dependency</w:t>
      </w:r>
    </w:p>
    <w:p>
      <w:pPr>
        <w:pStyle w:val="ListBullet"/>
        <w:spacing w:after="40" w:line="259" w:lineRule="auto"/>
      </w:pPr>
      <w:r>
        <w:rPr>
          <w:rFonts w:ascii="Aptos" w:hAnsi="Aptos"/>
        </w:rPr>
        <w:t>Secret in repo</w:t>
      </w:r>
    </w:p>
    <w:p>
      <w:pPr>
        <w:pStyle w:val="ListBullet"/>
        <w:spacing w:after="40" w:line="259" w:lineRule="auto"/>
      </w:pPr>
      <w:r>
        <w:rPr>
          <w:rFonts w:ascii="Aptos" w:hAnsi="Aptos"/>
        </w:rPr>
        <w:t>Agent architectural drift</w:t>
      </w:r>
    </w:p>
    <w:p>
      <w:pPr>
        <w:pStyle w:val="Heading3"/>
      </w:pPr>
      <w:r>
        <w:t>Minimum acceptance tests</w:t>
      </w:r>
    </w:p>
    <w:p>
      <w:pPr>
        <w:pStyle w:val="ListBullet"/>
        <w:spacing w:after="40" w:line="259" w:lineRule="auto"/>
      </w:pPr>
      <w:r>
        <w:rPr>
          <w:rFonts w:ascii="Aptos" w:hAnsi="Aptos"/>
        </w:rPr>
        <w:t>Happy-path API/command behavior using the published contract.</w:t>
      </w:r>
    </w:p>
    <w:p>
      <w:pPr>
        <w:pStyle w:val="ListBullet"/>
        <w:spacing w:after="40" w:line="259" w:lineRule="auto"/>
      </w:pPr>
      <w:r>
        <w:rPr>
          <w:rFonts w:ascii="Aptos" w:hAnsi="Aptos"/>
        </w:rPr>
        <w:t>Unauthorized and wrong-tenant request is denied and produces no data leakage.</w:t>
      </w:r>
    </w:p>
    <w:p>
      <w:pPr>
        <w:pStyle w:val="ListBullet"/>
        <w:spacing w:after="40" w:line="259" w:lineRule="auto"/>
      </w:pPr>
      <w:r>
        <w:rPr>
          <w:rFonts w:ascii="Aptos" w:hAnsi="Aptos"/>
        </w:rPr>
        <w:t>Duplicate command/event/callback does not create duplicate business effect where applicable.</w:t>
      </w:r>
    </w:p>
    <w:p>
      <w:pPr>
        <w:pStyle w:val="ListBullet"/>
        <w:spacing w:after="40" w:line="259" w:lineRule="auto"/>
      </w:pPr>
      <w:r>
        <w:rPr>
          <w:rFonts w:ascii="Aptos" w:hAnsi="Aptos"/>
        </w:rPr>
        <w:t>Dependency timeout/failure follows documented retry, circuit-breaker or graceful-degradation behavior.</w:t>
      </w:r>
    </w:p>
    <w:p>
      <w:pPr>
        <w:pStyle w:val="ListBullet"/>
        <w:spacing w:after="40" w:line="259" w:lineRule="auto"/>
      </w:pPr>
      <w:r>
        <w:rPr>
          <w:rFonts w:ascii="Aptos" w:hAnsi="Aptos"/>
        </w:rPr>
        <w:t>Audit/trace/correlation metadata is emitted for material actions.</w:t>
      </w:r>
    </w:p>
    <w:p>
      <w:pPr>
        <w:pStyle w:val="ListBullet"/>
        <w:spacing w:after="40" w:line="259" w:lineRule="auto"/>
      </w:pPr>
      <w:r>
        <w:rPr>
          <w:rFonts w:ascii="Aptos" w:hAnsi="Aptos"/>
        </w:rPr>
        <w:t>Schema/version incompatibility fails explicitly rather than silently changing behavior.</w:t>
      </w:r>
    </w:p>
    <w:p>
      <w:pPr>
        <w:pStyle w:val="Heading1"/>
      </w:pPr>
      <w:r>
        <w:t>5. Cross-Component Integration Contracts (INT-001 to INT-019)</w:t>
      </w:r>
    </w:p>
    <w:tbl>
      <w:tblPr>
        <w:tblW w:type="auto" w:w="0"/>
        <w:jc w:val="center"/>
        <w:tblLayout w:type="fixed"/>
        <w:tblLook w:firstColumn="1" w:firstRow="1" w:lastColumn="0" w:lastRow="0" w:noHBand="0" w:noVBand="1" w:val="04A0"/>
      </w:tblPr>
      <w:tblGrid>
        <w:gridCol w:w="9792"/>
      </w:tblGrid>
      <w:tr>
        <w:tc>
          <w:tcPr>
            <w:tcW w:type="dxa" w:w="10166"/>
            <w:shd w:fill="D9EAF7"/>
            <w:tcMar>
              <w:top w:w="130" w:type="dxa"/>
              <w:start w:w="150" w:type="dxa"/>
              <w:bottom w:w="130" w:type="dxa"/>
              <w:end w:w="150" w:type="dxa"/>
            </w:tcMar>
          </w:tcPr>
          <w:p>
            <w:pPr>
              <w:spacing w:after="60"/>
            </w:pPr>
            <w:r>
              <w:rPr>
                <w:rFonts w:ascii="Aptos" w:hAnsi="Aptos"/>
                <w:b/>
                <w:color w:val="1F4E78"/>
              </w:rPr>
              <w:t>Integration rule</w:t>
            </w:r>
          </w:p>
          <w:p>
            <w:pPr>
              <w:spacing w:after="0"/>
            </w:pPr>
            <w:r>
              <w:rPr>
                <w:rFonts w:ascii="Aptos" w:hAnsi="Aptos"/>
                <w:sz w:val="21"/>
              </w:rPr>
              <w:t>The sequence below describes logical contracts. Implementations may be synchronous or asynchronous as stated, but no component may bypass another component’s ownership boundary just because both share the same Aurora cluster.</w:t>
            </w:r>
          </w:p>
        </w:tc>
      </w:tr>
    </w:tbl>
    <w:p>
      <w:pPr>
        <w:spacing w:after="20"/>
      </w:pPr>
    </w:p>
    <w:p>
      <w:pPr>
        <w:pStyle w:val="Heading2"/>
      </w:pPr>
      <w:r>
        <w:t>INT-001  Citizen authentication and profile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CMP-036, CMP-004, CMP-025, CMP-037, CMP-005, CMP-012, CMP-030</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Citizen -&gt; API Gateway: request OTP</w:t>
      </w:r>
    </w:p>
    <w:p>
      <w:pPr>
        <w:pStyle w:val="ListNumber"/>
        <w:spacing w:after="40"/>
      </w:pPr>
      <w:r>
        <w:rPr>
          <w:rFonts w:ascii="Aptos" w:hAnsi="Aptos"/>
        </w:rPr>
        <w:t>Citizen Identity Service: create challenge and send via Notification/connector</w:t>
      </w:r>
    </w:p>
    <w:p>
      <w:pPr>
        <w:pStyle w:val="ListNumber"/>
        <w:spacing w:after="40"/>
      </w:pPr>
      <w:r>
        <w:rPr>
          <w:rFonts w:ascii="Aptos" w:hAnsi="Aptos"/>
        </w:rPr>
        <w:t>Citizen -&gt; verify OTP</w:t>
      </w:r>
    </w:p>
    <w:p>
      <w:pPr>
        <w:pStyle w:val="ListNumber"/>
        <w:spacing w:after="40"/>
      </w:pPr>
      <w:r>
        <w:rPr>
          <w:rFonts w:ascii="Aptos" w:hAnsi="Aptos"/>
        </w:rPr>
        <w:t>Identity Service -&gt; issue citizen session for immutable citizen_id</w:t>
      </w:r>
    </w:p>
    <w:p>
      <w:pPr>
        <w:pStyle w:val="ListNumber"/>
        <w:spacing w:after="40"/>
      </w:pPr>
      <w:r>
        <w:rPr>
          <w:rFonts w:ascii="Aptos" w:hAnsi="Aptos"/>
        </w:rPr>
        <w:t>Citizen Profile -&gt; load profile/claims</w:t>
      </w:r>
    </w:p>
    <w:p>
      <w:pPr>
        <w:pStyle w:val="ListNumber"/>
        <w:spacing w:after="40"/>
      </w:pPr>
      <w:r>
        <w:rPr>
          <w:rFonts w:ascii="Aptos" w:hAnsi="Aptos"/>
        </w:rPr>
        <w:t>Optional DigiLocker -&gt; identity/claim verification</w:t>
      </w:r>
    </w:p>
    <w:p>
      <w:pPr>
        <w:pStyle w:val="ListNumber"/>
        <w:spacing w:after="40"/>
      </w:pPr>
      <w:r>
        <w:rPr>
          <w:rFonts w:ascii="Aptos" w:hAnsi="Aptos"/>
        </w:rPr>
        <w:t>Consent/Privacy -&gt; persist purpose/consent references</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INT-002  Service design and publication</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CMP-050, CMP-040, CMP-033, CMP-043, CMP-051, CMP-052, CMP-048, CMP-016</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Tenant maker opens ServiceForm Studio</w:t>
      </w:r>
    </w:p>
    <w:p>
      <w:pPr>
        <w:pStyle w:val="ListNumber"/>
        <w:spacing w:after="40"/>
      </w:pPr>
      <w:r>
        <w:rPr>
          <w:rFonts w:ascii="Aptos" w:hAnsi="Aptos"/>
        </w:rPr>
        <w:t>AI Service Designer optionally generates/imports draft</w:t>
      </w:r>
    </w:p>
    <w:p>
      <w:pPr>
        <w:pStyle w:val="ListNumber"/>
        <w:spacing w:after="40"/>
      </w:pPr>
      <w:r>
        <w:rPr>
          <w:rFonts w:ascii="Aptos" w:hAnsi="Aptos"/>
        </w:rPr>
        <w:t>Metadata Service stores draft form/rules/evidence/workflow/access configuration</w:t>
      </w:r>
    </w:p>
    <w:p>
      <w:pPr>
        <w:pStyle w:val="ListNumber"/>
        <w:spacing w:after="40"/>
      </w:pPr>
      <w:r>
        <w:rPr>
          <w:rFonts w:ascii="Aptos" w:hAnsi="Aptos"/>
        </w:rPr>
        <w:t>Validation Agent + deterministic validators run</w:t>
      </w:r>
    </w:p>
    <w:p>
      <w:pPr>
        <w:pStyle w:val="ListNumber"/>
        <w:spacing w:after="40"/>
      </w:pPr>
      <w:r>
        <w:rPr>
          <w:rFonts w:ascii="Aptos" w:hAnsi="Aptos"/>
        </w:rPr>
        <w:t>Maker submits publication package</w:t>
      </w:r>
    </w:p>
    <w:p>
      <w:pPr>
        <w:pStyle w:val="ListNumber"/>
        <w:spacing w:after="40"/>
      </w:pPr>
      <w:r>
        <w:rPr>
          <w:rFonts w:ascii="Aptos" w:hAnsi="Aptos"/>
        </w:rPr>
        <w:t>Checker approves</w:t>
      </w:r>
    </w:p>
    <w:p>
      <w:pPr>
        <w:pStyle w:val="ListNumber"/>
        <w:spacing w:after="40"/>
      </w:pPr>
      <w:r>
        <w:rPr>
          <w:rFonts w:ascii="Aptos" w:hAnsi="Aptos"/>
        </w:rPr>
        <w:t>Version Registry creates immutable versions and TenantServiceBinding</w:t>
      </w:r>
    </w:p>
    <w:p>
      <w:pPr>
        <w:pStyle w:val="ListNumber"/>
        <w:spacing w:after="40"/>
      </w:pPr>
      <w:r>
        <w:rPr>
          <w:rFonts w:ascii="Aptos" w:hAnsi="Aptos"/>
        </w:rPr>
        <w:t>Publishing Engine activates binding atomically</w:t>
      </w:r>
    </w:p>
    <w:p>
      <w:pPr>
        <w:pStyle w:val="ListNumber"/>
        <w:spacing w:after="40"/>
      </w:pPr>
      <w:r>
        <w:rPr>
          <w:rFonts w:ascii="Aptos" w:hAnsi="Aptos"/>
        </w:rPr>
        <w:t>OPA bundle data/workflow metadata/cache refresh events propagate</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INT-003  Service discovery to application draft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CMP-006, CMP-001, CMP-007, CMP-008, CMP-009, CMP-005, CMP-012, CMP-015</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Citizen searches/discovers service</w:t>
      </w:r>
    </w:p>
    <w:p>
      <w:pPr>
        <w:pStyle w:val="ListNumber"/>
        <w:spacing w:after="40"/>
      </w:pPr>
      <w:r>
        <w:rPr>
          <w:rFonts w:ascii="Aptos" w:hAnsi="Aptos"/>
        </w:rPr>
        <w:t>Catalogue/Discovery filter by jurisdiction and publication</w:t>
      </w:r>
    </w:p>
    <w:p>
      <w:pPr>
        <w:pStyle w:val="ListNumber"/>
        <w:spacing w:after="40"/>
      </w:pPr>
      <w:r>
        <w:rPr>
          <w:rFonts w:ascii="Aptos" w:hAnsi="Aptos"/>
        </w:rPr>
        <w:t>Recommendation may suggest service but does not determine eligibility</w:t>
      </w:r>
    </w:p>
    <w:p>
      <w:pPr>
        <w:pStyle w:val="ListNumber"/>
        <w:spacing w:after="40"/>
      </w:pPr>
      <w:r>
        <w:rPr>
          <w:rFonts w:ascii="Aptos" w:hAnsi="Aptos"/>
        </w:rPr>
        <w:t>Rules Engine runs optional pre-check</w:t>
      </w:r>
    </w:p>
    <w:p>
      <w:pPr>
        <w:pStyle w:val="ListNumber"/>
        <w:spacing w:after="40"/>
      </w:pPr>
      <w:r>
        <w:rPr>
          <w:rFonts w:ascii="Aptos" w:hAnsi="Aptos"/>
        </w:rPr>
        <w:t>Forms Engine loads form version from active TenantServiceBinding</w:t>
      </w:r>
    </w:p>
    <w:p>
      <w:pPr>
        <w:pStyle w:val="ListNumber"/>
        <w:spacing w:after="40"/>
      </w:pPr>
      <w:r>
        <w:rPr>
          <w:rFonts w:ascii="Aptos" w:hAnsi="Aptos"/>
        </w:rPr>
        <w:t>Citizen Profile/DigiLocker claims prefill permitted fields</w:t>
      </w:r>
    </w:p>
    <w:p>
      <w:pPr>
        <w:pStyle w:val="ListNumber"/>
        <w:spacing w:after="40"/>
      </w:pPr>
      <w:r>
        <w:rPr>
          <w:rFonts w:ascii="Aptos" w:hAnsi="Aptos"/>
        </w:rPr>
        <w:t>Application Service creates DRAFT with binding reference</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INT-004  Application submission hot path</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CMP-004, CMP-003, CMP-048, CMP-009, CMP-008, CMP-015, CMP-031, CMP-038</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Validate citizen token locally</w:t>
      </w:r>
    </w:p>
    <w:p>
      <w:pPr>
        <w:pStyle w:val="ListNumber"/>
        <w:spacing w:after="40"/>
      </w:pPr>
      <w:r>
        <w:rPr>
          <w:rFonts w:ascii="Aptos" w:hAnsi="Aptos"/>
        </w:rPr>
        <w:t>Resolve tenant/service/jurisdiction context</w:t>
      </w:r>
    </w:p>
    <w:p>
      <w:pPr>
        <w:pStyle w:val="ListNumber"/>
        <w:spacing w:after="40"/>
      </w:pPr>
      <w:r>
        <w:rPr>
          <w:rFonts w:ascii="Aptos" w:hAnsi="Aptos"/>
        </w:rPr>
        <w:t>OPA/authorization where needed for protected action</w:t>
      </w:r>
    </w:p>
    <w:p>
      <w:pPr>
        <w:pStyle w:val="ListNumber"/>
        <w:spacing w:after="40"/>
      </w:pPr>
      <w:r>
        <w:rPr>
          <w:rFonts w:ascii="Aptos" w:hAnsi="Aptos"/>
        </w:rPr>
        <w:t>Forms Engine validates schema</w:t>
      </w:r>
    </w:p>
    <w:p>
      <w:pPr>
        <w:pStyle w:val="ListNumber"/>
        <w:spacing w:after="40"/>
      </w:pPr>
      <w:r>
        <w:rPr>
          <w:rFonts w:ascii="Aptos" w:hAnsi="Aptos"/>
        </w:rPr>
        <w:t>Rules Engine evaluates essential deterministic rules</w:t>
      </w:r>
    </w:p>
    <w:p>
      <w:pPr>
        <w:pStyle w:val="ListNumber"/>
        <w:spacing w:after="40"/>
      </w:pPr>
      <w:r>
        <w:rPr>
          <w:rFonts w:ascii="Aptos" w:hAnsi="Aptos"/>
        </w:rPr>
        <w:t>Application Service starts short PostgreSQL transaction</w:t>
      </w:r>
    </w:p>
    <w:p>
      <w:pPr>
        <w:pStyle w:val="ListNumber"/>
        <w:spacing w:after="40"/>
      </w:pPr>
      <w:r>
        <w:rPr>
          <w:rFonts w:ascii="Aptos" w:hAnsi="Aptos"/>
        </w:rPr>
        <w:t>Persist application, pinned versions, audit metadata and outbox event</w:t>
      </w:r>
    </w:p>
    <w:p>
      <w:pPr>
        <w:pStyle w:val="ListNumber"/>
        <w:spacing w:after="40"/>
      </w:pPr>
      <w:r>
        <w:rPr>
          <w:rFonts w:ascii="Aptos" w:hAnsi="Aptos"/>
        </w:rPr>
        <w:t>Commit and return 201/202</w:t>
      </w:r>
    </w:p>
    <w:p>
      <w:pPr>
        <w:pStyle w:val="ListNumber"/>
        <w:spacing w:after="40"/>
      </w:pPr>
      <w:r>
        <w:rPr>
          <w:rFonts w:ascii="Aptos" w:hAnsi="Aptos"/>
        </w:rPr>
        <w:t>Outbox publisher sends ApplicationSubmitted to MSK asynchronously</w:t>
      </w:r>
    </w:p>
    <w:p>
      <w:pPr>
        <w:pStyle w:val="Heading3"/>
      </w:pPr>
      <w:r>
        <w:t>Flow invariants</w:t>
      </w:r>
    </w:p>
    <w:p>
      <w:pPr>
        <w:pStyle w:val="ListBullet"/>
        <w:spacing w:after="40" w:line="259" w:lineRule="auto"/>
      </w:pPr>
      <w:r>
        <w:rPr>
          <w:rFonts w:ascii="Aptos" w:hAnsi="Aptos"/>
        </w:rPr>
        <w:t>No external network call inside the authoritative PostgreSQL transaction.</w:t>
      </w:r>
    </w:p>
    <w:p>
      <w:pPr>
        <w:pStyle w:val="ListBullet"/>
        <w:spacing w:after="40" w:line="259" w:lineRule="auto"/>
      </w:pPr>
      <w:r>
        <w:rPr>
          <w:rFonts w:ascii="Aptos" w:hAnsi="Aptos"/>
        </w:rPr>
        <w:t>Outbox event committed in same transaction as application state.</w:t>
      </w:r>
    </w:p>
    <w:p>
      <w:pPr>
        <w:pStyle w:val="ListBullet"/>
        <w:spacing w:after="40" w:line="259" w:lineRule="auto"/>
      </w:pPr>
      <w:r>
        <w:rPr>
          <w:rFonts w:ascii="Aptos" w:hAnsi="Aptos"/>
        </w:rPr>
        <w:t>Return success only after durable DB commit.</w:t>
      </w:r>
    </w:p>
    <w:p>
      <w:pPr>
        <w:pStyle w:val="Heading2"/>
      </w:pPr>
      <w:r>
        <w:t>INT-005  Workflow and officer task</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CMP-038, CMP-016, CMP-017, CMP-048, CMP-015, CMP-003</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ApplicationSubmitted consumer requests workflow start</w:t>
      </w:r>
    </w:p>
    <w:p>
      <w:pPr>
        <w:pStyle w:val="ListNumber"/>
        <w:spacing w:after="40"/>
      </w:pPr>
      <w:r>
        <w:rPr>
          <w:rFonts w:ascii="Aptos" w:hAnsi="Aptos"/>
        </w:rPr>
        <w:t>Temporal generic workflow loads pinned workflow version</w:t>
      </w:r>
    </w:p>
    <w:p>
      <w:pPr>
        <w:pStyle w:val="ListNumber"/>
        <w:spacing w:after="40"/>
      </w:pPr>
      <w:r>
        <w:rPr>
          <w:rFonts w:ascii="Aptos" w:hAnsi="Aptos"/>
        </w:rPr>
        <w:t>Human-task node emits task creation command</w:t>
      </w:r>
    </w:p>
    <w:p>
      <w:pPr>
        <w:pStyle w:val="ListNumber"/>
        <w:spacing w:after="40"/>
      </w:pPr>
      <w:r>
        <w:rPr>
          <w:rFonts w:ascii="Aptos" w:hAnsi="Aptos"/>
        </w:rPr>
        <w:t>Work Queue creates tenant/role/jurisdiction task</w:t>
      </w:r>
    </w:p>
    <w:p>
      <w:pPr>
        <w:pStyle w:val="ListNumber"/>
        <w:spacing w:after="40"/>
      </w:pPr>
      <w:r>
        <w:rPr>
          <w:rFonts w:ascii="Aptos" w:hAnsi="Aptos"/>
        </w:rPr>
        <w:t>Officer queries own queue</w:t>
      </w:r>
    </w:p>
    <w:p>
      <w:pPr>
        <w:pStyle w:val="ListNumber"/>
        <w:spacing w:after="40"/>
      </w:pPr>
      <w:r>
        <w:rPr>
          <w:rFonts w:ascii="Aptos" w:hAnsi="Aptos"/>
        </w:rPr>
        <w:t>OPA validates claim/action</w:t>
      </w:r>
    </w:p>
    <w:p>
      <w:pPr>
        <w:pStyle w:val="ListNumber"/>
        <w:spacing w:after="40"/>
      </w:pPr>
      <w:r>
        <w:rPr>
          <w:rFonts w:ascii="Aptos" w:hAnsi="Aptos"/>
        </w:rPr>
        <w:t>Task completion emits event/signal</w:t>
      </w:r>
    </w:p>
    <w:p>
      <w:pPr>
        <w:pStyle w:val="ListNumber"/>
        <w:spacing w:after="40"/>
      </w:pPr>
      <w:r>
        <w:rPr>
          <w:rFonts w:ascii="Aptos" w:hAnsi="Aptos"/>
        </w:rPr>
        <w:t>Temporal advances to next node</w:t>
      </w:r>
    </w:p>
    <w:p>
      <w:pPr>
        <w:pStyle w:val="ListNumber"/>
        <w:spacing w:after="40"/>
      </w:pPr>
      <w:r>
        <w:rPr>
          <w:rFonts w:ascii="Aptos" w:hAnsi="Aptos"/>
        </w:rPr>
        <w:t>Application service records resulting authoritative state transition</w:t>
      </w:r>
    </w:p>
    <w:p>
      <w:pPr>
        <w:pStyle w:val="Heading3"/>
      </w:pPr>
      <w:r>
        <w:t>Flow invariants</w:t>
      </w:r>
    </w:p>
    <w:p>
      <w:pPr>
        <w:pStyle w:val="ListBullet"/>
        <w:spacing w:after="40" w:line="259" w:lineRule="auto"/>
      </w:pPr>
      <w:r>
        <w:rPr>
          <w:rFonts w:ascii="Aptos" w:hAnsi="Aptos"/>
        </w:rPr>
        <w:t>Temporal does not own legal case state.</w:t>
      </w:r>
    </w:p>
    <w:p>
      <w:pPr>
        <w:pStyle w:val="ListBullet"/>
        <w:spacing w:after="40" w:line="259" w:lineRule="auto"/>
      </w:pPr>
      <w:r>
        <w:rPr>
          <w:rFonts w:ascii="Aptos" w:hAnsi="Aptos"/>
        </w:rPr>
        <w:t>Task completion is authorized before workflow signal.</w:t>
      </w:r>
    </w:p>
    <w:p>
      <w:pPr>
        <w:pStyle w:val="ListBullet"/>
        <w:spacing w:after="40" w:line="259" w:lineRule="auto"/>
      </w:pPr>
      <w:r>
        <w:rPr>
          <w:rFonts w:ascii="Aptos" w:hAnsi="Aptos"/>
        </w:rPr>
        <w:t>Activities are idempotent.</w:t>
      </w:r>
    </w:p>
    <w:p>
      <w:pPr>
        <w:pStyle w:val="Heading2"/>
      </w:pPr>
      <w:r>
        <w:t>INT-006  Evidence and verification</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CMP-011, CMP-013, CMP-032, CMP-012, CMP-014, CMP-018, CMP-017, CMP-048, CMP-016</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Evidence Engine resolves requirements from pinned policy/rules</w:t>
      </w:r>
    </w:p>
    <w:p>
      <w:pPr>
        <w:pStyle w:val="ListNumber"/>
        <w:spacing w:after="40"/>
      </w:pPr>
      <w:r>
        <w:rPr>
          <w:rFonts w:ascii="Aptos" w:hAnsi="Aptos"/>
        </w:rPr>
        <w:t>Citizen chooses DigiLocker or upload</w:t>
      </w:r>
    </w:p>
    <w:p>
      <w:pPr>
        <w:pStyle w:val="ListNumber"/>
        <w:spacing w:after="40"/>
      </w:pPr>
      <w:r>
        <w:rPr>
          <w:rFonts w:ascii="Aptos" w:hAnsi="Aptos"/>
        </w:rPr>
        <w:t>Upload service writes directly to S3/quarantine OR DigiLocker connector fetches reference</w:t>
      </w:r>
    </w:p>
    <w:p>
      <w:pPr>
        <w:pStyle w:val="ListNumber"/>
        <w:spacing w:after="40"/>
      </w:pPr>
      <w:r>
        <w:rPr>
          <w:rFonts w:ascii="Aptos" w:hAnsi="Aptos"/>
        </w:rPr>
        <w:t>Security/OCR processing runs asynchronously</w:t>
      </w:r>
    </w:p>
    <w:p>
      <w:pPr>
        <w:pStyle w:val="ListNumber"/>
        <w:spacing w:after="40"/>
      </w:pPr>
      <w:r>
        <w:rPr>
          <w:rFonts w:ascii="Aptos" w:hAnsi="Aptos"/>
        </w:rPr>
        <w:t>Authorized verifier task created</w:t>
      </w:r>
    </w:p>
    <w:p>
      <w:pPr>
        <w:pStyle w:val="ListNumber"/>
        <w:spacing w:after="40"/>
      </w:pPr>
      <w:r>
        <w:rPr>
          <w:rFonts w:ascii="Aptos" w:hAnsi="Aptos"/>
        </w:rPr>
        <w:t>OPA validates verifier scope</w:t>
      </w:r>
    </w:p>
    <w:p>
      <w:pPr>
        <w:pStyle w:val="ListNumber"/>
        <w:spacing w:after="40"/>
      </w:pPr>
      <w:r>
        <w:rPr>
          <w:rFonts w:ascii="Aptos" w:hAnsi="Aptos"/>
        </w:rPr>
        <w:t>Verification Service records outcome</w:t>
      </w:r>
    </w:p>
    <w:p>
      <w:pPr>
        <w:pStyle w:val="ListNumber"/>
        <w:spacing w:after="40"/>
      </w:pPr>
      <w:r>
        <w:rPr>
          <w:rFonts w:ascii="Aptos" w:hAnsi="Aptos"/>
        </w:rPr>
        <w:t>Workflow receives verified/rejected signal</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INT-007  Fee and payment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CMP-020, CMP-021, CMP-037, CMP-038, CMP-016, CMP-015</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Fee Engine calculates payable breakdown from pinned fee policy</w:t>
      </w:r>
    </w:p>
    <w:p>
      <w:pPr>
        <w:pStyle w:val="ListNumber"/>
        <w:spacing w:after="40"/>
      </w:pPr>
      <w:r>
        <w:rPr>
          <w:rFonts w:ascii="Aptos" w:hAnsi="Aptos"/>
        </w:rPr>
        <w:t>Payment Service creates idempotent intent</w:t>
      </w:r>
    </w:p>
    <w:p>
      <w:pPr>
        <w:pStyle w:val="ListNumber"/>
        <w:spacing w:after="40"/>
      </w:pPr>
      <w:r>
        <w:rPr>
          <w:rFonts w:ascii="Aptos" w:hAnsi="Aptos"/>
        </w:rPr>
        <w:t>Integration Hub invokes provider</w:t>
      </w:r>
    </w:p>
    <w:p>
      <w:pPr>
        <w:pStyle w:val="ListNumber"/>
        <w:spacing w:after="40"/>
      </w:pPr>
      <w:r>
        <w:rPr>
          <w:rFonts w:ascii="Aptos" w:hAnsi="Aptos"/>
        </w:rPr>
        <w:t>Citizen completes provider flow</w:t>
      </w:r>
    </w:p>
    <w:p>
      <w:pPr>
        <w:pStyle w:val="ListNumber"/>
        <w:spacing w:after="40"/>
      </w:pPr>
      <w:r>
        <w:rPr>
          <w:rFonts w:ascii="Aptos" w:hAnsi="Aptos"/>
        </w:rPr>
        <w:t>Provider webhook validated server-side</w:t>
      </w:r>
    </w:p>
    <w:p>
      <w:pPr>
        <w:pStyle w:val="ListNumber"/>
        <w:spacing w:after="40"/>
      </w:pPr>
      <w:r>
        <w:rPr>
          <w:rFonts w:ascii="Aptos" w:hAnsi="Aptos"/>
        </w:rPr>
        <w:t>Payment Service reconciles amount/reference</w:t>
      </w:r>
    </w:p>
    <w:p>
      <w:pPr>
        <w:pStyle w:val="ListNumber"/>
        <w:spacing w:after="40"/>
      </w:pPr>
      <w:r>
        <w:rPr>
          <w:rFonts w:ascii="Aptos" w:hAnsi="Aptos"/>
        </w:rPr>
        <w:t>PaymentSucceeded event emitted</w:t>
      </w:r>
    </w:p>
    <w:p>
      <w:pPr>
        <w:pStyle w:val="ListNumber"/>
        <w:spacing w:after="40"/>
      </w:pPr>
      <w:r>
        <w:rPr>
          <w:rFonts w:ascii="Aptos" w:hAnsi="Aptos"/>
        </w:rPr>
        <w:t>Workflow advances; Application state updated as configured</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INT-008  Approval to credential issuance</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CMP-016, CMP-017, CMP-048, CMP-015, CMP-022, CMP-037, CMP-024, CMP-023, CMP-012, CMP-025</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Workflow reaches approval task</w:t>
      </w:r>
    </w:p>
    <w:p>
      <w:pPr>
        <w:pStyle w:val="ListNumber"/>
        <w:spacing w:after="40"/>
      </w:pPr>
      <w:r>
        <w:rPr>
          <w:rFonts w:ascii="Aptos" w:hAnsi="Aptos"/>
        </w:rPr>
        <w:t>Work Queue exposes task to authorized role/jurisdiction</w:t>
      </w:r>
    </w:p>
    <w:p>
      <w:pPr>
        <w:pStyle w:val="ListNumber"/>
        <w:spacing w:after="40"/>
      </w:pPr>
      <w:r>
        <w:rPr>
          <w:rFonts w:ascii="Aptos" w:hAnsi="Aptos"/>
        </w:rPr>
        <w:t>OPA validates APPROVE/REJECT action</w:t>
      </w:r>
    </w:p>
    <w:p>
      <w:pPr>
        <w:pStyle w:val="ListNumber"/>
        <w:spacing w:after="40"/>
      </w:pPr>
      <w:r>
        <w:rPr>
          <w:rFonts w:ascii="Aptos" w:hAnsi="Aptos"/>
        </w:rPr>
        <w:t>Officer decision stored by Application/decision domain</w:t>
      </w:r>
    </w:p>
    <w:p>
      <w:pPr>
        <w:pStyle w:val="ListNumber"/>
        <w:spacing w:after="40"/>
      </w:pPr>
      <w:r>
        <w:rPr>
          <w:rFonts w:ascii="Aptos" w:hAnsi="Aptos"/>
        </w:rPr>
        <w:t>Workflow transitions to signing/issuance path</w:t>
      </w:r>
    </w:p>
    <w:p>
      <w:pPr>
        <w:pStyle w:val="ListNumber"/>
        <w:spacing w:after="40"/>
      </w:pPr>
      <w:r>
        <w:rPr>
          <w:rFonts w:ascii="Aptos" w:hAnsi="Aptos"/>
        </w:rPr>
        <w:t>Credential Engine renders credential</w:t>
      </w:r>
    </w:p>
    <w:p>
      <w:pPr>
        <w:pStyle w:val="ListNumber"/>
        <w:spacing w:after="40"/>
      </w:pPr>
      <w:r>
        <w:rPr>
          <w:rFonts w:ascii="Aptos" w:hAnsi="Aptos"/>
        </w:rPr>
        <w:t>Signing connector signs</w:t>
      </w:r>
    </w:p>
    <w:p>
      <w:pPr>
        <w:pStyle w:val="ListNumber"/>
        <w:spacing w:after="40"/>
      </w:pPr>
      <w:r>
        <w:rPr>
          <w:rFonts w:ascii="Aptos" w:hAnsi="Aptos"/>
        </w:rPr>
        <w:t>Credential Registry registers status</w:t>
      </w:r>
    </w:p>
    <w:p>
      <w:pPr>
        <w:pStyle w:val="ListNumber"/>
        <w:spacing w:after="40"/>
      </w:pPr>
      <w:r>
        <w:rPr>
          <w:rFonts w:ascii="Aptos" w:hAnsi="Aptos"/>
        </w:rPr>
        <w:t>QR verification token generated</w:t>
      </w:r>
    </w:p>
    <w:p>
      <w:pPr>
        <w:pStyle w:val="ListNumber"/>
        <w:spacing w:after="40"/>
      </w:pPr>
      <w:r>
        <w:rPr>
          <w:rFonts w:ascii="Aptos" w:hAnsi="Aptos"/>
        </w:rPr>
        <w:t>DigiLocker publication queued</w:t>
      </w:r>
    </w:p>
    <w:p>
      <w:pPr>
        <w:pStyle w:val="ListNumber"/>
        <w:spacing w:after="40"/>
      </w:pPr>
      <w:r>
        <w:rPr>
          <w:rFonts w:ascii="Aptos" w:hAnsi="Aptos"/>
        </w:rPr>
        <w:t>Citizen notified</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INT-009  Deficiency and SLA</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CMP-019, CMP-029, CMP-025, CMP-011, CMP-016</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Officer raises structured deficiency through authorized task</w:t>
      </w:r>
    </w:p>
    <w:p>
      <w:pPr>
        <w:pStyle w:val="ListNumber"/>
        <w:spacing w:after="40"/>
      </w:pPr>
      <w:r>
        <w:rPr>
          <w:rFonts w:ascii="Aptos" w:hAnsi="Aptos"/>
        </w:rPr>
        <w:t>Deficiency Service records requested items</w:t>
      </w:r>
    </w:p>
    <w:p>
      <w:pPr>
        <w:pStyle w:val="ListNumber"/>
        <w:spacing w:after="40"/>
      </w:pPr>
      <w:r>
        <w:rPr>
          <w:rFonts w:ascii="Aptos" w:hAnsi="Aptos"/>
        </w:rPr>
        <w:t>SLA Engine applies configured pause/resume rule</w:t>
      </w:r>
    </w:p>
    <w:p>
      <w:pPr>
        <w:pStyle w:val="ListNumber"/>
        <w:spacing w:after="40"/>
      </w:pPr>
      <w:r>
        <w:rPr>
          <w:rFonts w:ascii="Aptos" w:hAnsi="Aptos"/>
        </w:rPr>
        <w:t>Citizen notified</w:t>
      </w:r>
    </w:p>
    <w:p>
      <w:pPr>
        <w:pStyle w:val="ListNumber"/>
        <w:spacing w:after="40"/>
      </w:pPr>
      <w:r>
        <w:rPr>
          <w:rFonts w:ascii="Aptos" w:hAnsi="Aptos"/>
        </w:rPr>
        <w:t>Citizen responds with data/evidence</w:t>
      </w:r>
    </w:p>
    <w:p>
      <w:pPr>
        <w:pStyle w:val="ListNumber"/>
        <w:spacing w:after="40"/>
      </w:pPr>
      <w:r>
        <w:rPr>
          <w:rFonts w:ascii="Aptos" w:hAnsi="Aptos"/>
        </w:rPr>
        <w:t>Deficiency Service closes response cycle</w:t>
      </w:r>
    </w:p>
    <w:p>
      <w:pPr>
        <w:pStyle w:val="ListNumber"/>
        <w:spacing w:after="40"/>
      </w:pPr>
      <w:r>
        <w:rPr>
          <w:rFonts w:ascii="Aptos" w:hAnsi="Aptos"/>
        </w:rPr>
        <w:t>SLA resumes if configured</w:t>
      </w:r>
    </w:p>
    <w:p>
      <w:pPr>
        <w:pStyle w:val="ListNumber"/>
        <w:spacing w:after="40"/>
      </w:pPr>
      <w:r>
        <w:rPr>
          <w:rFonts w:ascii="Aptos" w:hAnsi="Aptos"/>
        </w:rPr>
        <w:t>Workflow signals return to scrutiny</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INT-010  Search, analytics and projections</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CMP-038, CMP-035, CMP-046, CMP-045, CMP-015, CMP-001</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Authoritative services emit versioned domain events</w:t>
      </w:r>
    </w:p>
    <w:p>
      <w:pPr>
        <w:pStyle w:val="ListNumber"/>
        <w:spacing w:after="40"/>
      </w:pPr>
      <w:r>
        <w:rPr>
          <w:rFonts w:ascii="Aptos" w:hAnsi="Aptos"/>
        </w:rPr>
        <w:t>MSK consumers update OpenSearch/read models/analytics</w:t>
      </w:r>
    </w:p>
    <w:p>
      <w:pPr>
        <w:pStyle w:val="ListNumber"/>
        <w:spacing w:after="40"/>
      </w:pPr>
      <w:r>
        <w:rPr>
          <w:rFonts w:ascii="Aptos" w:hAnsi="Aptos"/>
        </w:rPr>
        <w:t>Search service serves tenant-filtered queries</w:t>
      </w:r>
    </w:p>
    <w:p>
      <w:pPr>
        <w:pStyle w:val="ListNumber"/>
        <w:spacing w:after="40"/>
      </w:pPr>
      <w:r>
        <w:rPr>
          <w:rFonts w:ascii="Aptos" w:hAnsi="Aptos"/>
        </w:rPr>
        <w:t>Operational dashboard reads derived health/backlog/SLA views</w:t>
      </w:r>
    </w:p>
    <w:p>
      <w:pPr>
        <w:pStyle w:val="ListNumber"/>
        <w:spacing w:after="40"/>
      </w:pPr>
      <w:r>
        <w:rPr>
          <w:rFonts w:ascii="Aptos" w:hAnsi="Aptos"/>
        </w:rPr>
        <w:t>Analytics platform builds MIS without heavy OLTP queries</w:t>
      </w:r>
    </w:p>
    <w:p>
      <w:pPr>
        <w:pStyle w:val="ListNumber"/>
        <w:spacing w:after="40"/>
      </w:pPr>
      <w:r>
        <w:rPr>
          <w:rFonts w:ascii="Aptos" w:hAnsi="Aptos"/>
        </w:rPr>
        <w:t>If derived stores fail they are rebuildable from authoritative data/events</w:t>
      </w:r>
    </w:p>
    <w:p>
      <w:pPr>
        <w:pStyle w:val="Heading3"/>
      </w:pPr>
      <w:r>
        <w:t>Flow invariants</w:t>
      </w:r>
    </w:p>
    <w:p>
      <w:pPr>
        <w:pStyle w:val="ListBullet"/>
        <w:spacing w:after="40" w:line="259" w:lineRule="auto"/>
      </w:pPr>
      <w:r>
        <w:rPr>
          <w:rFonts w:ascii="Aptos" w:hAnsi="Aptos"/>
        </w:rPr>
        <w:t>Every request/event carries correlation context.</w:t>
      </w:r>
    </w:p>
    <w:p>
      <w:pPr>
        <w:pStyle w:val="ListBullet"/>
        <w:spacing w:after="40" w:line="259" w:lineRule="auto"/>
      </w:pPr>
      <w:r>
        <w:rPr>
          <w:rFonts w:ascii="Aptos" w:hAnsi="Aptos"/>
        </w:rPr>
        <w:t>Each component writes only its own authoritative data.</w:t>
      </w:r>
    </w:p>
    <w:p>
      <w:pPr>
        <w:pStyle w:val="ListBullet"/>
        <w:spacing w:after="40" w:line="259" w:lineRule="auto"/>
      </w:pPr>
      <w:r>
        <w:rPr>
          <w:rFonts w:ascii="Aptos" w:hAnsi="Aptos"/>
        </w:rPr>
        <w:t>Retries and duplicate delivery must not create duplicate business effect.</w:t>
      </w:r>
    </w:p>
    <w:p>
      <w:pPr>
        <w:pStyle w:val="Heading2"/>
      </w:pPr>
      <w:r>
        <w:t>INT-011  Tenant isolation enforcement</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CMP-004, CMP-048, CMP-015, CMP-032, CMP-035, CMP-038, CMP-016, CMP-031</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Identity resolves trusted tenant/organisation/role</w:t>
      </w:r>
    </w:p>
    <w:p>
      <w:pPr>
        <w:pStyle w:val="ListNumber"/>
        <w:spacing w:after="40"/>
      </w:pPr>
      <w:r>
        <w:rPr>
          <w:rFonts w:ascii="Aptos" w:hAnsi="Aptos"/>
        </w:rPr>
        <w:t>OPA evaluates action against tenant/org/jurisdiction/service/task</w:t>
      </w:r>
    </w:p>
    <w:p>
      <w:pPr>
        <w:pStyle w:val="ListNumber"/>
        <w:spacing w:after="40"/>
      </w:pPr>
      <w:r>
        <w:rPr>
          <w:rFonts w:ascii="Aptos" w:hAnsi="Aptos"/>
        </w:rPr>
        <w:t>Repository sets transaction-local tenant context</w:t>
      </w:r>
    </w:p>
    <w:p>
      <w:pPr>
        <w:pStyle w:val="ListNumber"/>
        <w:spacing w:after="40"/>
      </w:pPr>
      <w:r>
        <w:rPr>
          <w:rFonts w:ascii="Aptos" w:hAnsi="Aptos"/>
        </w:rPr>
        <w:t>PostgreSQL FORCE RLS filters rows</w:t>
      </w:r>
    </w:p>
    <w:p>
      <w:pPr>
        <w:pStyle w:val="ListNumber"/>
        <w:spacing w:after="40"/>
      </w:pPr>
      <w:r>
        <w:rPr>
          <w:rFonts w:ascii="Aptos" w:hAnsi="Aptos"/>
        </w:rPr>
        <w:t>S3 access broker validates object ownership</w:t>
      </w:r>
    </w:p>
    <w:p>
      <w:pPr>
        <w:pStyle w:val="ListNumber"/>
        <w:spacing w:after="40"/>
      </w:pPr>
      <w:r>
        <w:rPr>
          <w:rFonts w:ascii="Aptos" w:hAnsi="Aptos"/>
        </w:rPr>
        <w:t>Search injects server-side tenant filter</w:t>
      </w:r>
    </w:p>
    <w:p>
      <w:pPr>
        <w:pStyle w:val="ListNumber"/>
        <w:spacing w:after="40"/>
      </w:pPr>
      <w:r>
        <w:rPr>
          <w:rFonts w:ascii="Aptos" w:hAnsi="Aptos"/>
        </w:rPr>
        <w:t>Events/tasks/workflows retain immutable tenant context</w:t>
      </w:r>
    </w:p>
    <w:p>
      <w:pPr>
        <w:pStyle w:val="ListNumber"/>
        <w:spacing w:after="40"/>
      </w:pPr>
      <w:r>
        <w:rPr>
          <w:rFonts w:ascii="Aptos" w:hAnsi="Aptos"/>
        </w:rPr>
        <w:t>Audit captures privileged/cross-tenant attempts</w:t>
      </w:r>
    </w:p>
    <w:p>
      <w:pPr>
        <w:pStyle w:val="Heading3"/>
      </w:pPr>
      <w:r>
        <w:t>Flow invariants</w:t>
      </w:r>
    </w:p>
    <w:p>
      <w:pPr>
        <w:pStyle w:val="ListBullet"/>
        <w:spacing w:after="40" w:line="259" w:lineRule="auto"/>
      </w:pPr>
      <w:r>
        <w:rPr>
          <w:rFonts w:ascii="Aptos" w:hAnsi="Aptos"/>
        </w:rPr>
        <w:t>No client-supplied tenant value is accepted as authoritative.</w:t>
      </w:r>
    </w:p>
    <w:p>
      <w:pPr>
        <w:pStyle w:val="ListBullet"/>
        <w:spacing w:after="40" w:line="259" w:lineRule="auto"/>
      </w:pPr>
      <w:r>
        <w:rPr>
          <w:rFonts w:ascii="Aptos" w:hAnsi="Aptos"/>
        </w:rPr>
        <w:t>OPA and FORCE RLS both remain active.</w:t>
      </w:r>
    </w:p>
    <w:p>
      <w:pPr>
        <w:pStyle w:val="ListBullet"/>
        <w:spacing w:after="40" w:line="259" w:lineRule="auto"/>
      </w:pPr>
      <w:r>
        <w:rPr>
          <w:rFonts w:ascii="Aptos" w:hAnsi="Aptos"/>
        </w:rPr>
        <w:t>Cross-tenant denial is tested at API, repository and DB levels.</w:t>
      </w:r>
    </w:p>
    <w:p>
      <w:pPr>
        <w:pStyle w:val="Heading2"/>
      </w:pPr>
      <w:r>
        <w:t>INT-012  AI guarded execution</w:t>
      </w:r>
    </w:p>
    <w:tbl>
      <w:tblPr>
        <w:tblW w:type="auto" w:w="0"/>
        <w:jc w:val="center"/>
        <w:tblLayout w:type="fixed"/>
        <w:tblLook w:firstColumn="1" w:firstRow="1" w:lastColumn="0" w:lastRow="0" w:noHBand="0" w:noVBand="1" w:val="04A0"/>
      </w:tblPr>
      <w:tblGrid>
        <w:gridCol w:w="2664"/>
        <w:gridCol w:w="7128"/>
      </w:tblGrid>
      <w:tr>
        <w:tc>
          <w:tcPr>
            <w:tcW w:type="dxa" w:w="2664"/>
            <w:shd w:fill="F3F4F6"/>
            <w:tcMar>
              <w:top w:w="90" w:type="dxa"/>
              <w:start w:w="100" w:type="dxa"/>
              <w:bottom w:w="90" w:type="dxa"/>
              <w:end w:w="100" w:type="dxa"/>
            </w:tcMar>
            <w:vAlign w:val="center"/>
          </w:tcPr>
          <w:p>
            <w:r>
              <w:rPr>
                <w:rFonts w:ascii="Aptos" w:hAnsi="Aptos"/>
                <w:b/>
                <w:color w:val="1F2937"/>
                <w:sz w:val="19"/>
              </w:rPr>
              <w:t>Participating blocks</w:t>
            </w:r>
          </w:p>
        </w:tc>
        <w:tc>
          <w:tcPr>
            <w:tcW w:type="dxa" w:w="7128"/>
            <w:tcMar>
              <w:top w:w="90" w:type="dxa"/>
              <w:start w:w="100" w:type="dxa"/>
              <w:bottom w:w="90" w:type="dxa"/>
              <w:end w:w="100" w:type="dxa"/>
            </w:tcMar>
            <w:vAlign w:val="center"/>
          </w:tcPr>
          <w:p>
            <w:r>
              <w:rPr>
                <w:rFonts w:ascii="Aptos" w:hAnsi="Aptos"/>
                <w:sz w:val="19"/>
              </w:rPr>
              <w:t>CMP-030, CMP-039, CMP-040, CMP-041, CMP-042, CMP-043, CMP-044, CMP-031</w:t>
            </w:r>
          </w:p>
        </w:tc>
      </w:tr>
      <w:tr>
        <w:tc>
          <w:tcPr>
            <w:tcW w:type="dxa" w:w="2664"/>
            <w:shd w:fill="F3F4F6"/>
            <w:tcMar>
              <w:top w:w="90" w:type="dxa"/>
              <w:start w:w="100" w:type="dxa"/>
              <w:bottom w:w="90" w:type="dxa"/>
              <w:end w:w="100" w:type="dxa"/>
            </w:tcMar>
            <w:vAlign w:val="center"/>
          </w:tcPr>
          <w:p>
            <w:r>
              <w:rPr>
                <w:rFonts w:ascii="Aptos" w:hAnsi="Aptos"/>
                <w:b/>
                <w:color w:val="1F2937"/>
                <w:sz w:val="19"/>
              </w:rPr>
              <w:t>Pattern</w:t>
            </w:r>
          </w:p>
        </w:tc>
        <w:tc>
          <w:tcPr>
            <w:tcW w:type="dxa" w:w="7128"/>
            <w:tcMar>
              <w:top w:w="90" w:type="dxa"/>
              <w:start w:w="100" w:type="dxa"/>
              <w:bottom w:w="90" w:type="dxa"/>
              <w:end w:w="100" w:type="dxa"/>
            </w:tcMar>
            <w:vAlign w:val="center"/>
          </w:tcPr>
          <w:p>
            <w:r>
              <w:rPr>
                <w:rFonts w:ascii="Aptos" w:hAnsi="Aptos"/>
                <w:sz w:val="19"/>
              </w:rPr>
              <w:t>API + domain events + versioned metadata; authoritative writes remain with owning component</w:t>
            </w:r>
          </w:p>
        </w:tc>
      </w:tr>
    </w:tbl>
    <w:p>
      <w:pPr>
        <w:spacing w:after="40"/>
      </w:pPr>
    </w:p>
    <w:p>
      <w:pPr>
        <w:pStyle w:val="ListNumber"/>
        <w:spacing w:after="40"/>
      </w:pPr>
      <w:r>
        <w:rPr>
          <w:rFonts w:ascii="Aptos" w:hAnsi="Aptos"/>
        </w:rPr>
        <w:t>Domain service prepares minimum allowed context</w:t>
      </w:r>
    </w:p>
    <w:p>
      <w:pPr>
        <w:pStyle w:val="ListNumber"/>
        <w:spacing w:after="40"/>
      </w:pPr>
      <w:r>
        <w:rPr>
          <w:rFonts w:ascii="Aptos" w:hAnsi="Aptos"/>
        </w:rPr>
        <w:t>Consent/Privacy validates purpose where required</w:t>
      </w:r>
    </w:p>
    <w:p>
      <w:pPr>
        <w:pStyle w:val="ListNumber"/>
        <w:spacing w:after="40"/>
      </w:pPr>
      <w:r>
        <w:rPr>
          <w:rFonts w:ascii="Aptos" w:hAnsi="Aptos"/>
        </w:rPr>
        <w:t>AI Gateway applies provider/model policy, redaction and quota</w:t>
      </w:r>
    </w:p>
    <w:p>
      <w:pPr>
        <w:pStyle w:val="ListNumber"/>
        <w:spacing w:after="40"/>
      </w:pPr>
      <w:r>
        <w:rPr>
          <w:rFonts w:ascii="Aptos" w:hAnsi="Aptos"/>
        </w:rPr>
        <w:t>AI capability generates advisory output</w:t>
      </w:r>
    </w:p>
    <w:p>
      <w:pPr>
        <w:pStyle w:val="ListNumber"/>
        <w:spacing w:after="40"/>
      </w:pPr>
      <w:r>
        <w:rPr>
          <w:rFonts w:ascii="Aptos" w:hAnsi="Aptos"/>
        </w:rPr>
        <w:t>Deterministic validators/rules remain authoritative</w:t>
      </w:r>
    </w:p>
    <w:p>
      <w:pPr>
        <w:pStyle w:val="ListNumber"/>
        <w:spacing w:after="40"/>
      </w:pPr>
      <w:r>
        <w:rPr>
          <w:rFonts w:ascii="Aptos" w:hAnsi="Aptos"/>
        </w:rPr>
        <w:t>Human approval required for statutory decisions/publishing</w:t>
      </w:r>
    </w:p>
    <w:p>
      <w:pPr>
        <w:pStyle w:val="ListNumber"/>
        <w:spacing w:after="40"/>
      </w:pPr>
      <w:r>
        <w:rPr>
          <w:rFonts w:ascii="Aptos" w:hAnsi="Aptos"/>
        </w:rPr>
        <w:t>Audit stores AI provenance and decision boundary</w:t>
      </w:r>
    </w:p>
    <w:p>
      <w:pPr>
        <w:pStyle w:val="Heading3"/>
      </w:pPr>
      <w:r>
        <w:t>Flow invariants</w:t>
      </w:r>
    </w:p>
    <w:p>
      <w:pPr>
        <w:pStyle w:val="ListBullet"/>
        <w:spacing w:after="40" w:line="259" w:lineRule="auto"/>
      </w:pPr>
      <w:r>
        <w:rPr>
          <w:rFonts w:ascii="Aptos" w:hAnsi="Aptos"/>
        </w:rPr>
        <w:t>AI output is advisory unless an explicitly approved deterministic use case says otherwise.</w:t>
      </w:r>
    </w:p>
    <w:p>
      <w:pPr>
        <w:pStyle w:val="ListBullet"/>
        <w:spacing w:after="40" w:line="259" w:lineRule="auto"/>
      </w:pPr>
      <w:r>
        <w:rPr>
          <w:rFonts w:ascii="Aptos" w:hAnsi="Aptos"/>
        </w:rPr>
        <w:t>Human/statutory decision boundaries remain intact.</w:t>
      </w:r>
    </w:p>
    <w:p>
      <w:pPr>
        <w:pStyle w:val="ListBullet"/>
        <w:spacing w:after="40" w:line="259" w:lineRule="auto"/>
      </w:pPr>
      <w:r>
        <w:rPr>
          <w:rFonts w:ascii="Aptos" w:hAnsi="Aptos"/>
        </w:rPr>
        <w:t>Prompt context is purpose-limited and audited.</w:t>
      </w:r>
    </w:p>
    <w:p>
      <w:pPr>
        <w:pStyle w:val="Heading1"/>
      </w:pPr>
      <w:r>
        <w:t>6. Integration Rules and Dependency Governance</w:t>
      </w:r>
    </w:p>
    <w:tbl>
      <w:tblPr>
        <w:tblW w:type="auto" w:w="0"/>
        <w:jc w:val="center"/>
        <w:tblLayout w:type="fixed"/>
        <w:tblLook w:firstColumn="1" w:firstRow="1" w:lastColumn="0" w:lastRow="0" w:noHBand="0" w:noVBand="1" w:val="04A0"/>
      </w:tblPr>
      <w:tblGrid>
        <w:gridCol w:w="3024"/>
        <w:gridCol w:w="6768"/>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Integration mechanism</w:t>
            </w:r>
          </w:p>
        </w:tc>
        <w:tc>
          <w:tcPr>
            <w:tcW w:type="dxa" w:w="5083"/>
            <w:shd w:fill="1F4E78"/>
            <w:tcMar>
              <w:top w:w="90" w:type="dxa"/>
              <w:start w:w="90" w:type="dxa"/>
              <w:bottom w:w="90" w:type="dxa"/>
              <w:end w:w="90" w:type="dxa"/>
            </w:tcMar>
          </w:tcPr>
          <w:p>
            <w:pPr>
              <w:jc w:val="center"/>
            </w:pPr>
            <w:r>
              <w:rPr>
                <w:rFonts w:ascii="Aptos" w:hAnsi="Aptos"/>
                <w:b/>
                <w:color w:val="FFFFFF"/>
                <w:sz w:val="18"/>
              </w:rPr>
              <w:t>When to use</w:t>
            </w:r>
          </w:p>
        </w:tc>
      </w:tr>
      <w:tr>
        <w:tc>
          <w:tcPr>
            <w:tcW w:type="dxa" w:w="3024"/>
            <w:tcMar>
              <w:top w:w="90" w:type="dxa"/>
              <w:start w:w="90" w:type="dxa"/>
              <w:bottom w:w="90" w:type="dxa"/>
              <w:end w:w="90" w:type="dxa"/>
            </w:tcMar>
          </w:tcPr>
          <w:p>
            <w:r>
              <w:rPr>
                <w:rFonts w:ascii="Aptos" w:hAnsi="Aptos"/>
                <w:sz w:val="17"/>
              </w:rPr>
              <w:t>Synchronous API</w:t>
            </w:r>
          </w:p>
        </w:tc>
        <w:tc>
          <w:tcPr>
            <w:tcW w:type="dxa" w:w="6768"/>
            <w:tcMar>
              <w:top w:w="90" w:type="dxa"/>
              <w:start w:w="90" w:type="dxa"/>
              <w:bottom w:w="90" w:type="dxa"/>
              <w:end w:w="90" w:type="dxa"/>
            </w:tcMar>
          </w:tcPr>
          <w:p>
            <w:r>
              <w:rPr>
                <w:rFonts w:ascii="Aptos" w:hAnsi="Aptos"/>
                <w:sz w:val="17"/>
              </w:rPr>
              <w:t>Use when the caller needs an immediate result to complete the user request and the dependency is low-latency/reliable. Timeouts are mandatory.</w:t>
            </w:r>
          </w:p>
        </w:tc>
      </w:tr>
      <w:tr>
        <w:tc>
          <w:tcPr>
            <w:tcW w:type="dxa" w:w="3024"/>
            <w:tcMar>
              <w:top w:w="90" w:type="dxa"/>
              <w:start w:w="90" w:type="dxa"/>
              <w:bottom w:w="90" w:type="dxa"/>
              <w:end w:w="90" w:type="dxa"/>
            </w:tcMar>
          </w:tcPr>
          <w:p>
            <w:r>
              <w:rPr>
                <w:rFonts w:ascii="Aptos" w:hAnsi="Aptos"/>
                <w:sz w:val="17"/>
              </w:rPr>
              <w:t>Domain event</w:t>
            </w:r>
          </w:p>
        </w:tc>
        <w:tc>
          <w:tcPr>
            <w:tcW w:type="dxa" w:w="6768"/>
            <w:tcMar>
              <w:top w:w="90" w:type="dxa"/>
              <w:start w:w="90" w:type="dxa"/>
              <w:bottom w:w="90" w:type="dxa"/>
              <w:end w:w="90" w:type="dxa"/>
            </w:tcMar>
          </w:tcPr>
          <w:p>
            <w:r>
              <w:rPr>
                <w:rFonts w:ascii="Aptos" w:hAnsi="Aptos"/>
                <w:sz w:val="17"/>
              </w:rPr>
              <w:t>Use after durable commit for decoupled side effects, read models, analytics, notifications and workflow triggers.</w:t>
            </w:r>
          </w:p>
        </w:tc>
      </w:tr>
      <w:tr>
        <w:tc>
          <w:tcPr>
            <w:tcW w:type="dxa" w:w="3024"/>
            <w:tcMar>
              <w:top w:w="90" w:type="dxa"/>
              <w:start w:w="90" w:type="dxa"/>
              <w:bottom w:w="90" w:type="dxa"/>
              <w:end w:w="90" w:type="dxa"/>
            </w:tcMar>
          </w:tcPr>
          <w:p>
            <w:r>
              <w:rPr>
                <w:rFonts w:ascii="Aptos" w:hAnsi="Aptos"/>
                <w:sz w:val="17"/>
              </w:rPr>
              <w:t>Temporal activity</w:t>
            </w:r>
          </w:p>
        </w:tc>
        <w:tc>
          <w:tcPr>
            <w:tcW w:type="dxa" w:w="6768"/>
            <w:tcMar>
              <w:top w:w="90" w:type="dxa"/>
              <w:start w:w="90" w:type="dxa"/>
              <w:bottom w:w="90" w:type="dxa"/>
              <w:end w:w="90" w:type="dxa"/>
            </w:tcMar>
          </w:tcPr>
          <w:p>
            <w:r>
              <w:rPr>
                <w:rFonts w:ascii="Aptos" w:hAnsi="Aptos"/>
                <w:sz w:val="17"/>
              </w:rPr>
              <w:t>Use for durable process steps requiring retry/wait/signal semantics. Activities must be idempotent.</w:t>
            </w:r>
          </w:p>
        </w:tc>
      </w:tr>
      <w:tr>
        <w:tc>
          <w:tcPr>
            <w:tcW w:type="dxa" w:w="3024"/>
            <w:tcMar>
              <w:top w:w="90" w:type="dxa"/>
              <w:start w:w="90" w:type="dxa"/>
              <w:bottom w:w="90" w:type="dxa"/>
              <w:end w:w="90" w:type="dxa"/>
            </w:tcMar>
          </w:tcPr>
          <w:p>
            <w:r>
              <w:rPr>
                <w:rFonts w:ascii="Aptos" w:hAnsi="Aptos"/>
                <w:sz w:val="17"/>
              </w:rPr>
              <w:t>Shared library</w:t>
            </w:r>
          </w:p>
        </w:tc>
        <w:tc>
          <w:tcPr>
            <w:tcW w:type="dxa" w:w="6768"/>
            <w:tcMar>
              <w:top w:w="90" w:type="dxa"/>
              <w:start w:w="90" w:type="dxa"/>
              <w:bottom w:w="90" w:type="dxa"/>
              <w:end w:w="90" w:type="dxa"/>
            </w:tcMar>
          </w:tcPr>
          <w:p>
            <w:r>
              <w:rPr>
                <w:rFonts w:ascii="Aptos" w:hAnsi="Aptos"/>
                <w:sz w:val="17"/>
              </w:rPr>
              <w:t>Allowed only for stable cross-cutting primitives such as error envelopes, tenant context types or telemetry; never for domain-table access.</w:t>
            </w:r>
          </w:p>
        </w:tc>
      </w:tr>
      <w:tr>
        <w:tc>
          <w:tcPr>
            <w:tcW w:type="dxa" w:w="3024"/>
            <w:tcMar>
              <w:top w:w="90" w:type="dxa"/>
              <w:start w:w="90" w:type="dxa"/>
              <w:bottom w:w="90" w:type="dxa"/>
              <w:end w:w="90" w:type="dxa"/>
            </w:tcMar>
          </w:tcPr>
          <w:p>
            <w:r>
              <w:rPr>
                <w:rFonts w:ascii="Aptos" w:hAnsi="Aptos"/>
                <w:sz w:val="17"/>
              </w:rPr>
              <w:t>Direct database access</w:t>
            </w:r>
          </w:p>
        </w:tc>
        <w:tc>
          <w:tcPr>
            <w:tcW w:type="dxa" w:w="6768"/>
            <w:tcMar>
              <w:top w:w="90" w:type="dxa"/>
              <w:start w:w="90" w:type="dxa"/>
              <w:bottom w:w="90" w:type="dxa"/>
              <w:end w:w="90" w:type="dxa"/>
            </w:tcMar>
          </w:tcPr>
          <w:p>
            <w:r>
              <w:rPr>
                <w:rFonts w:ascii="Aptos" w:hAnsi="Aptos"/>
                <w:sz w:val="17"/>
              </w:rPr>
              <w:t>Only the owning component may write its authoritative tables. Cross-component direct SQL is prohibited.</w:t>
            </w:r>
          </w:p>
        </w:tc>
      </w:tr>
      <w:tr>
        <w:tc>
          <w:tcPr>
            <w:tcW w:type="dxa" w:w="3024"/>
            <w:tcMar>
              <w:top w:w="90" w:type="dxa"/>
              <w:start w:w="90" w:type="dxa"/>
              <w:bottom w:w="90" w:type="dxa"/>
              <w:end w:w="90" w:type="dxa"/>
            </w:tcMar>
          </w:tcPr>
          <w:p>
            <w:r>
              <w:rPr>
                <w:rFonts w:ascii="Aptos" w:hAnsi="Aptos"/>
                <w:sz w:val="17"/>
              </w:rPr>
              <w:t>Search/read projection</w:t>
            </w:r>
          </w:p>
        </w:tc>
        <w:tc>
          <w:tcPr>
            <w:tcW w:type="dxa" w:w="6768"/>
            <w:tcMar>
              <w:top w:w="90" w:type="dxa"/>
              <w:start w:w="90" w:type="dxa"/>
              <w:bottom w:w="90" w:type="dxa"/>
              <w:end w:w="90" w:type="dxa"/>
            </w:tcMar>
          </w:tcPr>
          <w:p>
            <w:r>
              <w:rPr>
                <w:rFonts w:ascii="Aptos" w:hAnsi="Aptos"/>
                <w:sz w:val="17"/>
              </w:rPr>
              <w:t>Derived, tenant-filtered and rebuildable. Never authoritative.</w:t>
            </w:r>
          </w:p>
        </w:tc>
      </w:tr>
      <w:tr>
        <w:tc>
          <w:tcPr>
            <w:tcW w:type="dxa" w:w="3024"/>
            <w:tcMar>
              <w:top w:w="90" w:type="dxa"/>
              <w:start w:w="90" w:type="dxa"/>
              <w:bottom w:w="90" w:type="dxa"/>
              <w:end w:w="90" w:type="dxa"/>
            </w:tcMar>
          </w:tcPr>
          <w:p>
            <w:r>
              <w:rPr>
                <w:rFonts w:ascii="Aptos" w:hAnsi="Aptos"/>
                <w:sz w:val="17"/>
              </w:rPr>
              <w:t>Cache</w:t>
            </w:r>
          </w:p>
        </w:tc>
        <w:tc>
          <w:tcPr>
            <w:tcW w:type="dxa" w:w="6768"/>
            <w:tcMar>
              <w:top w:w="90" w:type="dxa"/>
              <w:start w:w="90" w:type="dxa"/>
              <w:bottom w:w="90" w:type="dxa"/>
              <w:end w:w="90" w:type="dxa"/>
            </w:tcMar>
          </w:tcPr>
          <w:p>
            <w:r>
              <w:rPr>
                <w:rFonts w:ascii="Aptos" w:hAnsi="Aptos"/>
                <w:sz w:val="17"/>
              </w:rPr>
              <w:t>Ephemeral acceleration only. Never the sole source of truth.</w:t>
            </w:r>
          </w:p>
        </w:tc>
      </w:tr>
      <w:tr>
        <w:tc>
          <w:tcPr>
            <w:tcW w:type="dxa" w:w="3024"/>
            <w:tcMar>
              <w:top w:w="90" w:type="dxa"/>
              <w:start w:w="90" w:type="dxa"/>
              <w:bottom w:w="90" w:type="dxa"/>
              <w:end w:w="90" w:type="dxa"/>
            </w:tcMar>
          </w:tcPr>
          <w:p>
            <w:r>
              <w:rPr>
                <w:rFonts w:ascii="Aptos" w:hAnsi="Aptos"/>
                <w:sz w:val="17"/>
              </w:rPr>
              <w:t>External connector</w:t>
            </w:r>
          </w:p>
        </w:tc>
        <w:tc>
          <w:tcPr>
            <w:tcW w:type="dxa" w:w="6768"/>
            <w:tcMar>
              <w:top w:w="90" w:type="dxa"/>
              <w:start w:w="90" w:type="dxa"/>
              <w:bottom w:w="90" w:type="dxa"/>
              <w:end w:w="90" w:type="dxa"/>
            </w:tcMar>
          </w:tcPr>
          <w:p>
            <w:r>
              <w:rPr>
                <w:rFonts w:ascii="Aptos" w:hAnsi="Aptos"/>
                <w:sz w:val="17"/>
              </w:rPr>
              <w:t>Invoked through Integration Hub/adapter with secrets, retry, audit and circuit-breaker policy.</w:t>
            </w:r>
          </w:p>
        </w:tc>
      </w:tr>
    </w:tbl>
    <w:p>
      <w:pPr>
        <w:spacing w:after="40"/>
      </w:pPr>
    </w:p>
    <w:p>
      <w:pPr>
        <w:pStyle w:val="Heading2"/>
      </w:pPr>
      <w:r>
        <w:t>6.1 Dependency direction rules</w:t>
      </w:r>
    </w:p>
    <w:p>
      <w:pPr>
        <w:pStyle w:val="ListBullet"/>
        <w:spacing w:after="40" w:line="259" w:lineRule="auto"/>
      </w:pPr>
      <w:r>
        <w:rPr>
          <w:rFonts w:ascii="Aptos" w:hAnsi="Aptos"/>
        </w:rPr>
        <w:t>Experience components depend on domain contracts; domain components must not depend on UI implementations.</w:t>
      </w:r>
    </w:p>
    <w:p>
      <w:pPr>
        <w:pStyle w:val="ListBullet"/>
        <w:spacing w:after="40" w:line="259" w:lineRule="auto"/>
      </w:pPr>
      <w:r>
        <w:rPr>
          <w:rFonts w:ascii="Aptos" w:hAnsi="Aptos"/>
        </w:rPr>
        <w:t>Core domain components may depend on shared platform abstractions but not on AI capabilities for correctness.</w:t>
      </w:r>
    </w:p>
    <w:p>
      <w:pPr>
        <w:pStyle w:val="ListBullet"/>
        <w:spacing w:after="40" w:line="259" w:lineRule="auto"/>
      </w:pPr>
      <w:r>
        <w:rPr>
          <w:rFonts w:ascii="Aptos" w:hAnsi="Aptos"/>
        </w:rPr>
        <w:t>AI capabilities may read authorized domain context but must not become a required dependency for statutory correctness.</w:t>
      </w:r>
    </w:p>
    <w:p>
      <w:pPr>
        <w:pStyle w:val="ListBullet"/>
        <w:spacing w:after="40" w:line="259" w:lineRule="auto"/>
      </w:pPr>
      <w:r>
        <w:rPr>
          <w:rFonts w:ascii="Aptos" w:hAnsi="Aptos"/>
        </w:rPr>
        <w:t>Control-plane publishing/versioning may configure runtime components; runtime hot paths must not synchronously depend on the control plane.</w:t>
      </w:r>
    </w:p>
    <w:p>
      <w:pPr>
        <w:pStyle w:val="ListBullet"/>
        <w:spacing w:after="40" w:line="259" w:lineRule="auto"/>
      </w:pPr>
      <w:r>
        <w:rPr>
          <w:rFonts w:ascii="Aptos" w:hAnsi="Aptos"/>
        </w:rPr>
        <w:t>Derived analytics/search/operational views depend on domain events, never the reverse.</w:t>
      </w:r>
    </w:p>
    <w:p>
      <w:pPr>
        <w:pStyle w:val="ListBullet"/>
        <w:spacing w:after="40" w:line="259" w:lineRule="auto"/>
      </w:pPr>
      <w:r>
        <w:rPr>
          <w:rFonts w:ascii="Aptos" w:hAnsi="Aptos"/>
        </w:rPr>
        <w:t>Connector/provider-specific code stays behind adapter contracts so provider replacement does not change domain logic.</w:t>
      </w:r>
    </w:p>
    <w:p>
      <w:pPr>
        <w:pStyle w:val="Heading1"/>
      </w:pPr>
      <w:r>
        <w:t>7. Implementation Wave Plan</w:t>
      </w:r>
    </w:p>
    <w:tbl>
      <w:tblPr>
        <w:tblW w:type="auto" w:w="0"/>
        <w:jc w:val="center"/>
        <w:tblLayout w:type="fixed"/>
        <w:tblLook w:firstColumn="1" w:firstRow="1" w:lastColumn="0" w:lastRow="0" w:noHBand="0" w:noVBand="1" w:val="04A0"/>
      </w:tblPr>
      <w:tblGrid>
        <w:gridCol w:w="1656"/>
        <w:gridCol w:w="2952"/>
        <w:gridCol w:w="5256"/>
      </w:tblGrid>
      <w:tr>
        <w:trPr>
          <w:tblHeader w:val="true"/>
        </w:trPr>
        <w:tc>
          <w:tcPr>
            <w:tcW w:type="dxa" w:w="3389"/>
            <w:shd w:fill="1F4E78"/>
            <w:tcMar>
              <w:top w:w="80" w:type="dxa"/>
              <w:start w:w="90" w:type="dxa"/>
              <w:bottom w:w="80" w:type="dxa"/>
              <w:end w:w="90" w:type="dxa"/>
            </w:tcMar>
          </w:tcPr>
          <w:p>
            <w:pPr>
              <w:jc w:val="center"/>
            </w:pPr>
            <w:r>
              <w:rPr>
                <w:rFonts w:ascii="Aptos" w:hAnsi="Aptos"/>
                <w:b/>
                <w:color w:val="FFFFFF"/>
                <w:sz w:val="18"/>
              </w:rPr>
              <w:t>Wave</w:t>
            </w:r>
          </w:p>
        </w:tc>
        <w:tc>
          <w:tcPr>
            <w:tcW w:type="dxa" w:w="3389"/>
            <w:shd w:fill="1F4E78"/>
            <w:tcMar>
              <w:top w:w="80" w:type="dxa"/>
              <w:start w:w="90" w:type="dxa"/>
              <w:bottom w:w="80" w:type="dxa"/>
              <w:end w:w="90" w:type="dxa"/>
            </w:tcMar>
          </w:tcPr>
          <w:p>
            <w:pPr>
              <w:jc w:val="center"/>
            </w:pPr>
            <w:r>
              <w:rPr>
                <w:rFonts w:ascii="Aptos" w:hAnsi="Aptos"/>
                <w:b/>
                <w:color w:val="FFFFFF"/>
                <w:sz w:val="18"/>
              </w:rPr>
              <w:t>Blocks</w:t>
            </w:r>
          </w:p>
        </w:tc>
        <w:tc>
          <w:tcPr>
            <w:tcW w:type="dxa" w:w="3389"/>
            <w:shd w:fill="1F4E78"/>
            <w:tcMar>
              <w:top w:w="80" w:type="dxa"/>
              <w:start w:w="90" w:type="dxa"/>
              <w:bottom w:w="80" w:type="dxa"/>
              <w:end w:w="90" w:type="dxa"/>
            </w:tcMar>
          </w:tcPr>
          <w:p>
            <w:pPr>
              <w:jc w:val="center"/>
            </w:pPr>
            <w:r>
              <w:rPr>
                <w:rFonts w:ascii="Aptos" w:hAnsi="Aptos"/>
                <w:b/>
                <w:color w:val="FFFFFF"/>
                <w:sz w:val="18"/>
              </w:rPr>
              <w:t>Exit outcome</w:t>
            </w:r>
          </w:p>
        </w:tc>
      </w:tr>
      <w:tr>
        <w:tc>
          <w:tcPr>
            <w:tcW w:type="dxa" w:w="1656"/>
            <w:tcMar>
              <w:top w:w="80" w:type="dxa"/>
              <w:start w:w="90" w:type="dxa"/>
              <w:bottom w:w="80" w:type="dxa"/>
              <w:end w:w="90" w:type="dxa"/>
            </w:tcMar>
            <w:vAlign w:val="center"/>
          </w:tcPr>
          <w:p>
            <w:r>
              <w:rPr>
                <w:rFonts w:ascii="Aptos" w:hAnsi="Aptos"/>
                <w:sz w:val="17"/>
              </w:rPr>
              <w:t>Wave 0 - Engineering foundation</w:t>
            </w:r>
          </w:p>
        </w:tc>
        <w:tc>
          <w:tcPr>
            <w:tcW w:type="dxa" w:w="2952"/>
            <w:tcMar>
              <w:top w:w="80" w:type="dxa"/>
              <w:start w:w="90" w:type="dxa"/>
              <w:bottom w:w="80" w:type="dxa"/>
              <w:end w:w="90" w:type="dxa"/>
            </w:tcMar>
            <w:vAlign w:val="center"/>
          </w:tcPr>
          <w:p>
            <w:r>
              <w:rPr>
                <w:rFonts w:ascii="Aptos" w:hAnsi="Aptos"/>
                <w:sz w:val="17"/>
              </w:rPr>
              <w:t>CMP-055, 047, 048, 031, shared contracts</w:t>
            </w:r>
          </w:p>
        </w:tc>
        <w:tc>
          <w:tcPr>
            <w:tcW w:type="dxa" w:w="5256"/>
            <w:tcMar>
              <w:top w:w="80" w:type="dxa"/>
              <w:start w:w="90" w:type="dxa"/>
              <w:bottom w:w="80" w:type="dxa"/>
              <w:end w:w="90" w:type="dxa"/>
            </w:tcMar>
            <w:vAlign w:val="center"/>
          </w:tcPr>
          <w:p>
            <w:r>
              <w:rPr>
                <w:rFonts w:ascii="Aptos" w:hAnsi="Aptos"/>
                <w:sz w:val="17"/>
              </w:rPr>
              <w:t>Repository, CI, telemetry, security baseline, audit, error/event envelopes.</w:t>
            </w:r>
          </w:p>
        </w:tc>
      </w:tr>
      <w:tr>
        <w:tc>
          <w:tcPr>
            <w:tcW w:type="dxa" w:w="1656"/>
            <w:tcMar>
              <w:top w:w="80" w:type="dxa"/>
              <w:start w:w="90" w:type="dxa"/>
              <w:bottom w:w="80" w:type="dxa"/>
              <w:end w:w="90" w:type="dxa"/>
            </w:tcMar>
            <w:vAlign w:val="center"/>
          </w:tcPr>
          <w:p>
            <w:r>
              <w:rPr>
                <w:rFonts w:ascii="Aptos" w:hAnsi="Aptos"/>
                <w:sz w:val="17"/>
              </w:rPr>
              <w:t>Wave 1 - Tenancy and identity</w:t>
            </w:r>
          </w:p>
        </w:tc>
        <w:tc>
          <w:tcPr>
            <w:tcW w:type="dxa" w:w="2952"/>
            <w:tcMar>
              <w:top w:w="80" w:type="dxa"/>
              <w:start w:w="90" w:type="dxa"/>
              <w:bottom w:w="80" w:type="dxa"/>
              <w:end w:w="90" w:type="dxa"/>
            </w:tcMar>
            <w:vAlign w:val="center"/>
          </w:tcPr>
          <w:p>
            <w:r>
              <w:rPr>
                <w:rFonts w:ascii="Aptos" w:hAnsi="Aptos"/>
                <w:sz w:val="17"/>
              </w:rPr>
              <w:t>CMP-002, 003, 004, 005, 030</w:t>
            </w:r>
          </w:p>
        </w:tc>
        <w:tc>
          <w:tcPr>
            <w:tcW w:type="dxa" w:w="5256"/>
            <w:tcMar>
              <w:top w:w="80" w:type="dxa"/>
              <w:start w:w="90" w:type="dxa"/>
              <w:bottom w:w="80" w:type="dxa"/>
              <w:end w:w="90" w:type="dxa"/>
            </w:tcMar>
            <w:vAlign w:val="center"/>
          </w:tcPr>
          <w:p>
            <w:r>
              <w:rPr>
                <w:rFonts w:ascii="Aptos" w:hAnsi="Aptos"/>
                <w:sz w:val="17"/>
              </w:rPr>
              <w:t>Tenant/org/jurisdiction, citizen/officer identity, privacy/consent.</w:t>
            </w:r>
          </w:p>
        </w:tc>
      </w:tr>
      <w:tr>
        <w:tc>
          <w:tcPr>
            <w:tcW w:type="dxa" w:w="1656"/>
            <w:tcMar>
              <w:top w:w="80" w:type="dxa"/>
              <w:start w:w="90" w:type="dxa"/>
              <w:bottom w:w="80" w:type="dxa"/>
              <w:end w:w="90" w:type="dxa"/>
            </w:tcMar>
            <w:vAlign w:val="center"/>
          </w:tcPr>
          <w:p>
            <w:r>
              <w:rPr>
                <w:rFonts w:ascii="Aptos" w:hAnsi="Aptos"/>
                <w:sz w:val="17"/>
              </w:rPr>
              <w:t>Wave 2 - Service design control plane</w:t>
            </w:r>
          </w:p>
        </w:tc>
        <w:tc>
          <w:tcPr>
            <w:tcW w:type="dxa" w:w="2952"/>
            <w:tcMar>
              <w:top w:w="80" w:type="dxa"/>
              <w:start w:w="90" w:type="dxa"/>
              <w:bottom w:w="80" w:type="dxa"/>
              <w:end w:w="90" w:type="dxa"/>
            </w:tcMar>
            <w:vAlign w:val="center"/>
          </w:tcPr>
          <w:p>
            <w:r>
              <w:rPr>
                <w:rFonts w:ascii="Aptos" w:hAnsi="Aptos"/>
                <w:sz w:val="17"/>
              </w:rPr>
              <w:t>CMP-001, 033, 034, 050, 051, 052, 053, 054</w:t>
            </w:r>
          </w:p>
        </w:tc>
        <w:tc>
          <w:tcPr>
            <w:tcW w:type="dxa" w:w="5256"/>
            <w:tcMar>
              <w:top w:w="80" w:type="dxa"/>
              <w:start w:w="90" w:type="dxa"/>
              <w:bottom w:w="80" w:type="dxa"/>
              <w:end w:w="90" w:type="dxa"/>
            </w:tcMar>
            <w:vAlign w:val="center"/>
          </w:tcPr>
          <w:p>
            <w:r>
              <w:rPr>
                <w:rFonts w:ascii="Aptos" w:hAnsi="Aptos"/>
                <w:sz w:val="17"/>
              </w:rPr>
              <w:t>Studio, metadata, template/versioning, localization/design system.</w:t>
            </w:r>
          </w:p>
        </w:tc>
      </w:tr>
      <w:tr>
        <w:tc>
          <w:tcPr>
            <w:tcW w:type="dxa" w:w="1656"/>
            <w:tcMar>
              <w:top w:w="80" w:type="dxa"/>
              <w:start w:w="90" w:type="dxa"/>
              <w:bottom w:w="80" w:type="dxa"/>
              <w:end w:w="90" w:type="dxa"/>
            </w:tcMar>
            <w:vAlign w:val="center"/>
          </w:tcPr>
          <w:p>
            <w:r>
              <w:rPr>
                <w:rFonts w:ascii="Aptos" w:hAnsi="Aptos"/>
                <w:sz w:val="17"/>
              </w:rPr>
              <w:t>Wave 3 - Form/rule/evidence runtime</w:t>
            </w:r>
          </w:p>
        </w:tc>
        <w:tc>
          <w:tcPr>
            <w:tcW w:type="dxa" w:w="2952"/>
            <w:tcMar>
              <w:top w:w="80" w:type="dxa"/>
              <w:start w:w="90" w:type="dxa"/>
              <w:bottom w:w="80" w:type="dxa"/>
              <w:end w:w="90" w:type="dxa"/>
            </w:tcMar>
            <w:vAlign w:val="center"/>
          </w:tcPr>
          <w:p>
            <w:r>
              <w:rPr>
                <w:rFonts w:ascii="Aptos" w:hAnsi="Aptos"/>
                <w:sz w:val="17"/>
              </w:rPr>
              <w:t>CMP-008, 009, 010, 011, 013, 014, 032</w:t>
            </w:r>
          </w:p>
        </w:tc>
        <w:tc>
          <w:tcPr>
            <w:tcW w:type="dxa" w:w="5256"/>
            <w:tcMar>
              <w:top w:w="80" w:type="dxa"/>
              <w:start w:w="90" w:type="dxa"/>
              <w:bottom w:w="80" w:type="dxa"/>
              <w:end w:w="90" w:type="dxa"/>
            </w:tcMar>
            <w:vAlign w:val="center"/>
          </w:tcPr>
          <w:p>
            <w:r>
              <w:rPr>
                <w:rFonts w:ascii="Aptos" w:hAnsi="Aptos"/>
                <w:sz w:val="17"/>
              </w:rPr>
              <w:t>Dynamic forms, rules, evidence, secure document handling.</w:t>
            </w:r>
          </w:p>
        </w:tc>
      </w:tr>
      <w:tr>
        <w:tc>
          <w:tcPr>
            <w:tcW w:type="dxa" w:w="1656"/>
            <w:tcMar>
              <w:top w:w="80" w:type="dxa"/>
              <w:start w:w="90" w:type="dxa"/>
              <w:bottom w:w="80" w:type="dxa"/>
              <w:end w:w="90" w:type="dxa"/>
            </w:tcMar>
            <w:vAlign w:val="center"/>
          </w:tcPr>
          <w:p>
            <w:r>
              <w:rPr>
                <w:rFonts w:ascii="Aptos" w:hAnsi="Aptos"/>
                <w:sz w:val="17"/>
              </w:rPr>
              <w:t>Wave 4 - Core case execution</w:t>
            </w:r>
          </w:p>
        </w:tc>
        <w:tc>
          <w:tcPr>
            <w:tcW w:type="dxa" w:w="2952"/>
            <w:tcMar>
              <w:top w:w="80" w:type="dxa"/>
              <w:start w:w="90" w:type="dxa"/>
              <w:bottom w:w="80" w:type="dxa"/>
              <w:end w:w="90" w:type="dxa"/>
            </w:tcMar>
            <w:vAlign w:val="center"/>
          </w:tcPr>
          <w:p>
            <w:r>
              <w:rPr>
                <w:rFonts w:ascii="Aptos" w:hAnsi="Aptos"/>
                <w:sz w:val="17"/>
              </w:rPr>
              <w:t>CMP-015, 016, 017, 018, 019, 029</w:t>
            </w:r>
          </w:p>
        </w:tc>
        <w:tc>
          <w:tcPr>
            <w:tcW w:type="dxa" w:w="5256"/>
            <w:tcMar>
              <w:top w:w="80" w:type="dxa"/>
              <w:start w:w="90" w:type="dxa"/>
              <w:bottom w:w="80" w:type="dxa"/>
              <w:end w:w="90" w:type="dxa"/>
            </w:tcMar>
            <w:vAlign w:val="center"/>
          </w:tcPr>
          <w:p>
            <w:r>
              <w:rPr>
                <w:rFonts w:ascii="Aptos" w:hAnsi="Aptos"/>
                <w:sz w:val="17"/>
              </w:rPr>
              <w:t>Application state machine, Temporal, task queue, verification, deficiency, SLA.</w:t>
            </w:r>
          </w:p>
        </w:tc>
      </w:tr>
      <w:tr>
        <w:tc>
          <w:tcPr>
            <w:tcW w:type="dxa" w:w="1656"/>
            <w:tcMar>
              <w:top w:w="80" w:type="dxa"/>
              <w:start w:w="90" w:type="dxa"/>
              <w:bottom w:w="80" w:type="dxa"/>
              <w:end w:w="90" w:type="dxa"/>
            </w:tcMar>
            <w:vAlign w:val="center"/>
          </w:tcPr>
          <w:p>
            <w:r>
              <w:rPr>
                <w:rFonts w:ascii="Aptos" w:hAnsi="Aptos"/>
                <w:sz w:val="17"/>
              </w:rPr>
              <w:t>Wave 5 - Money and credential</w:t>
            </w:r>
          </w:p>
        </w:tc>
        <w:tc>
          <w:tcPr>
            <w:tcW w:type="dxa" w:w="2952"/>
            <w:tcMar>
              <w:top w:w="80" w:type="dxa"/>
              <w:start w:w="90" w:type="dxa"/>
              <w:bottom w:w="80" w:type="dxa"/>
              <w:end w:w="90" w:type="dxa"/>
            </w:tcMar>
            <w:vAlign w:val="center"/>
          </w:tcPr>
          <w:p>
            <w:r>
              <w:rPr>
                <w:rFonts w:ascii="Aptos" w:hAnsi="Aptos"/>
                <w:sz w:val="17"/>
              </w:rPr>
              <w:t>CMP-020, 021, 022, 023, 024</w:t>
            </w:r>
          </w:p>
        </w:tc>
        <w:tc>
          <w:tcPr>
            <w:tcW w:type="dxa" w:w="5256"/>
            <w:tcMar>
              <w:top w:w="80" w:type="dxa"/>
              <w:start w:w="90" w:type="dxa"/>
              <w:bottom w:w="80" w:type="dxa"/>
              <w:end w:w="90" w:type="dxa"/>
            </w:tcMar>
            <w:vAlign w:val="center"/>
          </w:tcPr>
          <w:p>
            <w:r>
              <w:rPr>
                <w:rFonts w:ascii="Aptos" w:hAnsi="Aptos"/>
                <w:sz w:val="17"/>
              </w:rPr>
              <w:t>Fee, payment, credential, verification and registry.</w:t>
            </w:r>
          </w:p>
        </w:tc>
      </w:tr>
      <w:tr>
        <w:tc>
          <w:tcPr>
            <w:tcW w:type="dxa" w:w="1656"/>
            <w:tcMar>
              <w:top w:w="80" w:type="dxa"/>
              <w:start w:w="90" w:type="dxa"/>
              <w:bottom w:w="80" w:type="dxa"/>
              <w:end w:w="90" w:type="dxa"/>
            </w:tcMar>
            <w:vAlign w:val="center"/>
          </w:tcPr>
          <w:p>
            <w:r>
              <w:rPr>
                <w:rFonts w:ascii="Aptos" w:hAnsi="Aptos"/>
                <w:sz w:val="17"/>
              </w:rPr>
              <w:t>Wave 6 - Communication and integrations</w:t>
            </w:r>
          </w:p>
        </w:tc>
        <w:tc>
          <w:tcPr>
            <w:tcW w:type="dxa" w:w="2952"/>
            <w:tcMar>
              <w:top w:w="80" w:type="dxa"/>
              <w:start w:w="90" w:type="dxa"/>
              <w:bottom w:w="80" w:type="dxa"/>
              <w:end w:w="90" w:type="dxa"/>
            </w:tcMar>
            <w:vAlign w:val="center"/>
          </w:tcPr>
          <w:p>
            <w:r>
              <w:rPr>
                <w:rFonts w:ascii="Aptos" w:hAnsi="Aptos"/>
                <w:sz w:val="17"/>
              </w:rPr>
              <w:t>CMP-012, 025, 026, 037, 038</w:t>
            </w:r>
          </w:p>
        </w:tc>
        <w:tc>
          <w:tcPr>
            <w:tcW w:type="dxa" w:w="5256"/>
            <w:tcMar>
              <w:top w:w="80" w:type="dxa"/>
              <w:start w:w="90" w:type="dxa"/>
              <w:bottom w:w="80" w:type="dxa"/>
              <w:end w:w="90" w:type="dxa"/>
            </w:tcMar>
            <w:vAlign w:val="center"/>
          </w:tcPr>
          <w:p>
            <w:r>
              <w:rPr>
                <w:rFonts w:ascii="Aptos" w:hAnsi="Aptos"/>
                <w:sz w:val="17"/>
              </w:rPr>
              <w:t>DigiLocker, notifications, messaging, connectors and events.</w:t>
            </w:r>
          </w:p>
        </w:tc>
      </w:tr>
      <w:tr>
        <w:tc>
          <w:tcPr>
            <w:tcW w:type="dxa" w:w="1656"/>
            <w:tcMar>
              <w:top w:w="80" w:type="dxa"/>
              <w:start w:w="90" w:type="dxa"/>
              <w:bottom w:w="80" w:type="dxa"/>
              <w:end w:w="90" w:type="dxa"/>
            </w:tcMar>
            <w:vAlign w:val="center"/>
          </w:tcPr>
          <w:p>
            <w:r>
              <w:rPr>
                <w:rFonts w:ascii="Aptos" w:hAnsi="Aptos"/>
                <w:sz w:val="17"/>
              </w:rPr>
              <w:t>Wave 7 - Search/recommendation/AI</w:t>
            </w:r>
          </w:p>
        </w:tc>
        <w:tc>
          <w:tcPr>
            <w:tcW w:type="dxa" w:w="2952"/>
            <w:tcMar>
              <w:top w:w="80" w:type="dxa"/>
              <w:start w:w="90" w:type="dxa"/>
              <w:bottom w:w="80" w:type="dxa"/>
              <w:end w:w="90" w:type="dxa"/>
            </w:tcMar>
            <w:vAlign w:val="center"/>
          </w:tcPr>
          <w:p>
            <w:r>
              <w:rPr>
                <w:rFonts w:ascii="Aptos" w:hAnsi="Aptos"/>
                <w:sz w:val="17"/>
              </w:rPr>
              <w:t>CMP-006, 007, 035, 039-044</w:t>
            </w:r>
          </w:p>
        </w:tc>
        <w:tc>
          <w:tcPr>
            <w:tcW w:type="dxa" w:w="5256"/>
            <w:tcMar>
              <w:top w:w="80" w:type="dxa"/>
              <w:start w:w="90" w:type="dxa"/>
              <w:bottom w:w="80" w:type="dxa"/>
              <w:end w:w="90" w:type="dxa"/>
            </w:tcMar>
            <w:vAlign w:val="center"/>
          </w:tcPr>
          <w:p>
            <w:r>
              <w:rPr>
                <w:rFonts w:ascii="Aptos" w:hAnsi="Aptos"/>
                <w:sz w:val="17"/>
              </w:rPr>
              <w:t>Discovery, recommendation, AI gateway and assistants/agents.</w:t>
            </w:r>
          </w:p>
        </w:tc>
      </w:tr>
      <w:tr>
        <w:tc>
          <w:tcPr>
            <w:tcW w:type="dxa" w:w="1656"/>
            <w:tcMar>
              <w:top w:w="80" w:type="dxa"/>
              <w:start w:w="90" w:type="dxa"/>
              <w:bottom w:w="80" w:type="dxa"/>
              <w:end w:w="90" w:type="dxa"/>
            </w:tcMar>
            <w:vAlign w:val="center"/>
          </w:tcPr>
          <w:p>
            <w:r>
              <w:rPr>
                <w:rFonts w:ascii="Aptos" w:hAnsi="Aptos"/>
                <w:sz w:val="17"/>
              </w:rPr>
              <w:t>Wave 8 - Oversight and analytics</w:t>
            </w:r>
          </w:p>
        </w:tc>
        <w:tc>
          <w:tcPr>
            <w:tcW w:type="dxa" w:w="2952"/>
            <w:tcMar>
              <w:top w:w="80" w:type="dxa"/>
              <w:start w:w="90" w:type="dxa"/>
              <w:bottom w:w="80" w:type="dxa"/>
              <w:end w:w="90" w:type="dxa"/>
            </w:tcMar>
            <w:vAlign w:val="center"/>
          </w:tcPr>
          <w:p>
            <w:r>
              <w:rPr>
                <w:rFonts w:ascii="Aptos" w:hAnsi="Aptos"/>
                <w:sz w:val="17"/>
              </w:rPr>
              <w:t>CMP-027, 028, 045, 046, 049</w:t>
            </w:r>
          </w:p>
        </w:tc>
        <w:tc>
          <w:tcPr>
            <w:tcW w:type="dxa" w:w="5256"/>
            <w:tcMar>
              <w:top w:w="80" w:type="dxa"/>
              <w:start w:w="90" w:type="dxa"/>
              <w:bottom w:w="80" w:type="dxa"/>
              <w:end w:w="90" w:type="dxa"/>
            </w:tcMar>
            <w:vAlign w:val="center"/>
          </w:tcPr>
          <w:p>
            <w:r>
              <w:rPr>
                <w:rFonts w:ascii="Aptos" w:hAnsi="Aptos"/>
                <w:sz w:val="17"/>
              </w:rPr>
              <w:t>Grievance, appeal, analytics, operations, retention/archival.</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AF4EA"/>
            <w:tcMar>
              <w:top w:w="130" w:type="dxa"/>
              <w:start w:w="150" w:type="dxa"/>
              <w:bottom w:w="130" w:type="dxa"/>
              <w:end w:w="150" w:type="dxa"/>
            </w:tcMar>
          </w:tcPr>
          <w:p>
            <w:pPr>
              <w:spacing w:after="60"/>
            </w:pPr>
            <w:r>
              <w:rPr>
                <w:rFonts w:ascii="Aptos" w:hAnsi="Aptos"/>
                <w:b/>
                <w:color w:val="1F4E78"/>
              </w:rPr>
              <w:t>Golden vertical slice gate</w:t>
            </w:r>
          </w:p>
          <w:p>
            <w:pPr>
              <w:spacing w:after="0"/>
            </w:pPr>
            <w:r>
              <w:rPr>
                <w:rFonts w:ascii="Aptos" w:hAnsi="Aptos"/>
                <w:sz w:val="21"/>
              </w:rPr>
              <w:t>Before Wave 7 is considered production-ready, Residence Certificate must be created through ServiceForm Studio, published as metadata, executed end to end through the generic engines and pass the defined E2E/tenant/security/performance test suite. A second service must be onboarded primarily through configuration to prove reuse.</w:t>
            </w:r>
          </w:p>
        </w:tc>
      </w:tr>
    </w:tbl>
    <w:p>
      <w:pPr>
        <w:spacing w:after="20"/>
      </w:pPr>
    </w:p>
    <w:p>
      <w:pPr>
        <w:pStyle w:val="Heading1"/>
      </w:pPr>
      <w:r>
        <w:t>8. Definition of Done for a Building Block</w:t>
      </w:r>
    </w:p>
    <w:p>
      <w:pPr>
        <w:pStyle w:val="ListBullet"/>
        <w:spacing w:after="40" w:line="259" w:lineRule="auto"/>
      </w:pPr>
      <w:r>
        <w:rPr>
          <w:rFonts w:ascii="Aptos" w:hAnsi="Aptos"/>
        </w:rPr>
        <w:t>Purpose, ownership and non-responsibilities match this specification and accepted ADRs.</w:t>
      </w:r>
    </w:p>
    <w:p>
      <w:pPr>
        <w:pStyle w:val="ListBullet"/>
        <w:spacing w:after="40" w:line="259" w:lineRule="auto"/>
      </w:pPr>
      <w:r>
        <w:rPr>
          <w:rFonts w:ascii="Aptos" w:hAnsi="Aptos"/>
        </w:rPr>
        <w:t>OpenAPI/AsyncAPI or library contract is versioned and reviewed.</w:t>
      </w:r>
    </w:p>
    <w:p>
      <w:pPr>
        <w:pStyle w:val="ListBullet"/>
        <w:spacing w:after="40" w:line="259" w:lineRule="auto"/>
      </w:pPr>
      <w:r>
        <w:rPr>
          <w:rFonts w:ascii="Aptos" w:hAnsi="Aptos"/>
        </w:rPr>
        <w:t>Authoritative data schema and migrations exist; tenant classification/RLS defined where applicable.</w:t>
      </w:r>
    </w:p>
    <w:p>
      <w:pPr>
        <w:pStyle w:val="ListBullet"/>
        <w:spacing w:after="40" w:line="259" w:lineRule="auto"/>
      </w:pPr>
      <w:r>
        <w:rPr>
          <w:rFonts w:ascii="Aptos" w:hAnsi="Aptos"/>
        </w:rPr>
        <w:t>OPA authorization points are explicit for privileged actions.</w:t>
      </w:r>
    </w:p>
    <w:p>
      <w:pPr>
        <w:pStyle w:val="ListBullet"/>
        <w:spacing w:after="40" w:line="259" w:lineRule="auto"/>
      </w:pPr>
      <w:r>
        <w:rPr>
          <w:rFonts w:ascii="Aptos" w:hAnsi="Aptos"/>
        </w:rPr>
        <w:t>Transactional outbox/events exist for material state changes.</w:t>
      </w:r>
    </w:p>
    <w:p>
      <w:pPr>
        <w:pStyle w:val="ListBullet"/>
        <w:spacing w:after="40" w:line="259" w:lineRule="auto"/>
      </w:pPr>
      <w:r>
        <w:rPr>
          <w:rFonts w:ascii="Aptos" w:hAnsi="Aptos"/>
        </w:rPr>
        <w:t>Idempotency implemented for duplicate-prone commands, callbacks and consumers.</w:t>
      </w:r>
    </w:p>
    <w:p>
      <w:pPr>
        <w:pStyle w:val="ListBullet"/>
        <w:spacing w:after="40" w:line="259" w:lineRule="auto"/>
      </w:pPr>
      <w:r>
        <w:rPr>
          <w:rFonts w:ascii="Aptos" w:hAnsi="Aptos"/>
        </w:rPr>
        <w:t>Unit, contract, integration and negative tenant/security tests pass.</w:t>
      </w:r>
    </w:p>
    <w:p>
      <w:pPr>
        <w:pStyle w:val="ListBullet"/>
        <w:spacing w:after="40" w:line="259" w:lineRule="auto"/>
      </w:pPr>
      <w:r>
        <w:rPr>
          <w:rFonts w:ascii="Aptos" w:hAnsi="Aptos"/>
        </w:rPr>
        <w:t>Failure behavior, timeouts, retry and circuit-breaker policy tested.</w:t>
      </w:r>
    </w:p>
    <w:p>
      <w:pPr>
        <w:pStyle w:val="ListBullet"/>
        <w:spacing w:after="40" w:line="259" w:lineRule="auto"/>
      </w:pPr>
      <w:r>
        <w:rPr>
          <w:rFonts w:ascii="Aptos" w:hAnsi="Aptos"/>
        </w:rPr>
        <w:t>Metrics, logs, traces, SLOs and alerts implemented without leaking PII.</w:t>
      </w:r>
    </w:p>
    <w:p>
      <w:pPr>
        <w:pStyle w:val="ListBullet"/>
        <w:spacing w:after="40" w:line="259" w:lineRule="auto"/>
      </w:pPr>
      <w:r>
        <w:rPr>
          <w:rFonts w:ascii="Aptos" w:hAnsi="Aptos"/>
        </w:rPr>
        <w:t>Privacy/retention/audit requirements mapped.</w:t>
      </w:r>
    </w:p>
    <w:p>
      <w:pPr>
        <w:pStyle w:val="ListBullet"/>
        <w:spacing w:after="40" w:line="259" w:lineRule="auto"/>
      </w:pPr>
      <w:r>
        <w:rPr>
          <w:rFonts w:ascii="Aptos" w:hAnsi="Aptos"/>
        </w:rPr>
        <w:t>Runbook and operational ownership defined.</w:t>
      </w:r>
    </w:p>
    <w:p>
      <w:pPr>
        <w:pStyle w:val="ListBullet"/>
        <w:spacing w:after="40" w:line="259" w:lineRule="auto"/>
      </w:pPr>
      <w:r>
        <w:rPr>
          <w:rFonts w:ascii="Aptos" w:hAnsi="Aptos"/>
        </w:rPr>
        <w:t>No AI agent has introduced a new database, infrastructure service, tenant-specific Rego or tenant-specific Temporal workflow class without an approved ADR.</w:t>
      </w:r>
    </w:p>
    <w:p>
      <w:pPr>
        <w:pStyle w:val="ListBullet"/>
        <w:spacing w:after="40" w:line="259" w:lineRule="auto"/>
      </w:pPr>
      <w:r>
        <w:rPr>
          <w:rFonts w:ascii="Aptos" w:hAnsi="Aptos"/>
        </w:rPr>
        <w:t>Runtime verification evidence is attached to the milestone; generated code/tests alone are not proof.</w:t>
      </w:r>
    </w:p>
    <w:p>
      <w:pPr>
        <w:pStyle w:val="Heading1"/>
      </w:pPr>
      <w:r>
        <w:t>Appendix A. Canonical API/Event Envelopes</w:t>
      </w:r>
    </w:p>
    <w:tbl>
      <w:tblPr>
        <w:tblW w:type="auto" w:w="0"/>
        <w:jc w:val="center"/>
        <w:tblLayout w:type="fixed"/>
        <w:tblLook w:firstColumn="1" w:firstRow="1" w:lastColumn="0" w:lastRow="0" w:noHBand="0" w:noVBand="1" w:val="04A0"/>
      </w:tblPr>
      <w:tblGrid>
        <w:gridCol w:w="9792"/>
      </w:tblGrid>
      <w:tr>
        <w:tc>
          <w:tcPr>
            <w:tcW w:type="dxa" w:w="10166"/>
            <w:shd w:fill="F8FAFC"/>
            <w:tcMar>
              <w:top w:w="130" w:type="dxa"/>
              <w:start w:w="150" w:type="dxa"/>
              <w:bottom w:w="130" w:type="dxa"/>
              <w:end w:w="150" w:type="dxa"/>
            </w:tcMar>
          </w:tcPr>
          <w:p>
            <w:pPr>
              <w:spacing w:after="60"/>
            </w:pPr>
            <w:r>
              <w:rPr>
                <w:rFonts w:ascii="Aptos" w:hAnsi="Aptos"/>
                <w:b/>
                <w:color w:val="1F4E78"/>
              </w:rPr>
              <w:t>API response envelope</w:t>
            </w:r>
          </w:p>
          <w:p>
            <w:pPr>
              <w:spacing w:after="0"/>
            </w:pPr>
            <w:r>
              <w:rPr>
                <w:rFonts w:ascii="Aptos" w:hAnsi="Aptos"/>
                <w:sz w:val="21"/>
              </w:rPr>
              <w:t>Success responses return the resource/command result plus correlationId where useful. Error responses use stable SF-* errorCode, human-safe message, correlationId and structured details. Never expose internal stack traces or SQL.</w:t>
            </w:r>
          </w:p>
        </w:tc>
      </w:tr>
    </w:tbl>
    <w:p>
      <w:pPr>
        <w:spacing w:after="20"/>
      </w:pPr>
    </w:p>
    <w:tbl>
      <w:tblPr>
        <w:tblW w:type="auto" w:w="0"/>
        <w:jc w:val="center"/>
        <w:tblLayout w:type="fixed"/>
        <w:tblLook w:firstColumn="1" w:firstRow="1" w:lastColumn="0" w:lastRow="0" w:noHBand="0" w:noVBand="1" w:val="04A0"/>
      </w:tblPr>
      <w:tblGrid>
        <w:gridCol w:w="3024"/>
        <w:gridCol w:w="6768"/>
      </w:tblGrid>
      <w:tr>
        <w:trPr>
          <w:tblHeader w:val="true"/>
        </w:trPr>
        <w:tc>
          <w:tcPr>
            <w:tcW w:type="dxa" w:w="5083"/>
            <w:shd w:fill="1F4E78"/>
            <w:tcMar>
              <w:top w:w="90" w:type="dxa"/>
              <w:start w:w="90" w:type="dxa"/>
              <w:bottom w:w="90" w:type="dxa"/>
              <w:end w:w="90" w:type="dxa"/>
            </w:tcMar>
          </w:tcPr>
          <w:p>
            <w:pPr>
              <w:jc w:val="center"/>
            </w:pPr>
            <w:r>
              <w:rPr>
                <w:rFonts w:ascii="Aptos" w:hAnsi="Aptos"/>
                <w:b/>
                <w:color w:val="FFFFFF"/>
                <w:sz w:val="18"/>
              </w:rPr>
              <w:t>Field</w:t>
            </w:r>
          </w:p>
        </w:tc>
        <w:tc>
          <w:tcPr>
            <w:tcW w:type="dxa" w:w="5083"/>
            <w:shd w:fill="1F4E78"/>
            <w:tcMar>
              <w:top w:w="90" w:type="dxa"/>
              <w:start w:w="90" w:type="dxa"/>
              <w:bottom w:w="90" w:type="dxa"/>
              <w:end w:w="90" w:type="dxa"/>
            </w:tcMar>
          </w:tcPr>
          <w:p>
            <w:pPr>
              <w:jc w:val="center"/>
            </w:pPr>
            <w:r>
              <w:rPr>
                <w:rFonts w:ascii="Aptos" w:hAnsi="Aptos"/>
                <w:b/>
                <w:color w:val="FFFFFF"/>
                <w:sz w:val="18"/>
              </w:rPr>
              <w:t>Domain event requirement</w:t>
            </w:r>
          </w:p>
        </w:tc>
      </w:tr>
      <w:tr>
        <w:tc>
          <w:tcPr>
            <w:tcW w:type="dxa" w:w="3024"/>
            <w:tcMar>
              <w:top w:w="90" w:type="dxa"/>
              <w:start w:w="90" w:type="dxa"/>
              <w:bottom w:w="90" w:type="dxa"/>
              <w:end w:w="90" w:type="dxa"/>
            </w:tcMar>
          </w:tcPr>
          <w:p>
            <w:r>
              <w:rPr>
                <w:rFonts w:ascii="Aptos" w:hAnsi="Aptos"/>
                <w:sz w:val="17"/>
              </w:rPr>
              <w:t>eventId</w:t>
            </w:r>
          </w:p>
        </w:tc>
        <w:tc>
          <w:tcPr>
            <w:tcW w:type="dxa" w:w="6768"/>
            <w:tcMar>
              <w:top w:w="90" w:type="dxa"/>
              <w:start w:w="90" w:type="dxa"/>
              <w:bottom w:w="90" w:type="dxa"/>
              <w:end w:w="90" w:type="dxa"/>
            </w:tcMar>
          </w:tcPr>
          <w:p>
            <w:r>
              <w:rPr>
                <w:rFonts w:ascii="Aptos" w:hAnsi="Aptos"/>
                <w:sz w:val="17"/>
              </w:rPr>
              <w:t>Globally unique immutable UUID/ULID.</w:t>
            </w:r>
          </w:p>
        </w:tc>
      </w:tr>
      <w:tr>
        <w:tc>
          <w:tcPr>
            <w:tcW w:type="dxa" w:w="3024"/>
            <w:tcMar>
              <w:top w:w="90" w:type="dxa"/>
              <w:start w:w="90" w:type="dxa"/>
              <w:bottom w:w="90" w:type="dxa"/>
              <w:end w:w="90" w:type="dxa"/>
            </w:tcMar>
          </w:tcPr>
          <w:p>
            <w:r>
              <w:rPr>
                <w:rFonts w:ascii="Aptos" w:hAnsi="Aptos"/>
                <w:sz w:val="17"/>
              </w:rPr>
              <w:t>eventType</w:t>
            </w:r>
          </w:p>
        </w:tc>
        <w:tc>
          <w:tcPr>
            <w:tcW w:type="dxa" w:w="6768"/>
            <w:tcMar>
              <w:top w:w="90" w:type="dxa"/>
              <w:start w:w="90" w:type="dxa"/>
              <w:bottom w:w="90" w:type="dxa"/>
              <w:end w:w="90" w:type="dxa"/>
            </w:tcMar>
          </w:tcPr>
          <w:p>
            <w:r>
              <w:rPr>
                <w:rFonts w:ascii="Aptos" w:hAnsi="Aptos"/>
                <w:sz w:val="17"/>
              </w:rPr>
              <w:t>Stable versioned business event name.</w:t>
            </w:r>
          </w:p>
        </w:tc>
      </w:tr>
      <w:tr>
        <w:tc>
          <w:tcPr>
            <w:tcW w:type="dxa" w:w="3024"/>
            <w:tcMar>
              <w:top w:w="90" w:type="dxa"/>
              <w:start w:w="90" w:type="dxa"/>
              <w:bottom w:w="90" w:type="dxa"/>
              <w:end w:w="90" w:type="dxa"/>
            </w:tcMar>
          </w:tcPr>
          <w:p>
            <w:r>
              <w:rPr>
                <w:rFonts w:ascii="Aptos" w:hAnsi="Aptos"/>
                <w:sz w:val="17"/>
              </w:rPr>
              <w:t>eventVersion</w:t>
            </w:r>
          </w:p>
        </w:tc>
        <w:tc>
          <w:tcPr>
            <w:tcW w:type="dxa" w:w="6768"/>
            <w:tcMar>
              <w:top w:w="90" w:type="dxa"/>
              <w:start w:w="90" w:type="dxa"/>
              <w:bottom w:w="90" w:type="dxa"/>
              <w:end w:w="90" w:type="dxa"/>
            </w:tcMar>
          </w:tcPr>
          <w:p>
            <w:r>
              <w:rPr>
                <w:rFonts w:ascii="Aptos" w:hAnsi="Aptos"/>
                <w:sz w:val="17"/>
              </w:rPr>
              <w:t>Schema version.</w:t>
            </w:r>
          </w:p>
        </w:tc>
      </w:tr>
      <w:tr>
        <w:tc>
          <w:tcPr>
            <w:tcW w:type="dxa" w:w="3024"/>
            <w:tcMar>
              <w:top w:w="90" w:type="dxa"/>
              <w:start w:w="90" w:type="dxa"/>
              <w:bottom w:w="90" w:type="dxa"/>
              <w:end w:w="90" w:type="dxa"/>
            </w:tcMar>
          </w:tcPr>
          <w:p>
            <w:r>
              <w:rPr>
                <w:rFonts w:ascii="Aptos" w:hAnsi="Aptos"/>
                <w:sz w:val="17"/>
              </w:rPr>
              <w:t>tenantId</w:t>
            </w:r>
          </w:p>
        </w:tc>
        <w:tc>
          <w:tcPr>
            <w:tcW w:type="dxa" w:w="6768"/>
            <w:tcMar>
              <w:top w:w="90" w:type="dxa"/>
              <w:start w:w="90" w:type="dxa"/>
              <w:bottom w:w="90" w:type="dxa"/>
              <w:end w:w="90" w:type="dxa"/>
            </w:tcMar>
          </w:tcPr>
          <w:p>
            <w:r>
              <w:rPr>
                <w:rFonts w:ascii="Aptos" w:hAnsi="Aptos"/>
                <w:sz w:val="17"/>
              </w:rPr>
              <w:t>Required for tenant-owned events.</w:t>
            </w:r>
          </w:p>
        </w:tc>
      </w:tr>
      <w:tr>
        <w:tc>
          <w:tcPr>
            <w:tcW w:type="dxa" w:w="3024"/>
            <w:tcMar>
              <w:top w:w="90" w:type="dxa"/>
              <w:start w:w="90" w:type="dxa"/>
              <w:bottom w:w="90" w:type="dxa"/>
              <w:end w:w="90" w:type="dxa"/>
            </w:tcMar>
          </w:tcPr>
          <w:p>
            <w:r>
              <w:rPr>
                <w:rFonts w:ascii="Aptos" w:hAnsi="Aptos"/>
                <w:sz w:val="17"/>
              </w:rPr>
              <w:t>cellId</w:t>
            </w:r>
          </w:p>
        </w:tc>
        <w:tc>
          <w:tcPr>
            <w:tcW w:type="dxa" w:w="6768"/>
            <w:tcMar>
              <w:top w:w="90" w:type="dxa"/>
              <w:start w:w="90" w:type="dxa"/>
              <w:bottom w:w="90" w:type="dxa"/>
              <w:end w:w="90" w:type="dxa"/>
            </w:tcMar>
          </w:tcPr>
          <w:p>
            <w:r>
              <w:rPr>
                <w:rFonts w:ascii="Aptos" w:hAnsi="Aptos"/>
                <w:sz w:val="17"/>
              </w:rPr>
              <w:t>Execution/data-cell identity.</w:t>
            </w:r>
          </w:p>
        </w:tc>
      </w:tr>
      <w:tr>
        <w:tc>
          <w:tcPr>
            <w:tcW w:type="dxa" w:w="3024"/>
            <w:tcMar>
              <w:top w:w="90" w:type="dxa"/>
              <w:start w:w="90" w:type="dxa"/>
              <w:bottom w:w="90" w:type="dxa"/>
              <w:end w:w="90" w:type="dxa"/>
            </w:tcMar>
          </w:tcPr>
          <w:p>
            <w:r>
              <w:rPr>
                <w:rFonts w:ascii="Aptos" w:hAnsi="Aptos"/>
                <w:sz w:val="17"/>
              </w:rPr>
              <w:t>aggregateType / aggregateId</w:t>
            </w:r>
          </w:p>
        </w:tc>
        <w:tc>
          <w:tcPr>
            <w:tcW w:type="dxa" w:w="6768"/>
            <w:tcMar>
              <w:top w:w="90" w:type="dxa"/>
              <w:start w:w="90" w:type="dxa"/>
              <w:bottom w:w="90" w:type="dxa"/>
              <w:end w:w="90" w:type="dxa"/>
            </w:tcMar>
          </w:tcPr>
          <w:p>
            <w:r>
              <w:rPr>
                <w:rFonts w:ascii="Aptos" w:hAnsi="Aptos"/>
                <w:sz w:val="17"/>
              </w:rPr>
              <w:t>Ordering/deduplication context.</w:t>
            </w:r>
          </w:p>
        </w:tc>
      </w:tr>
      <w:tr>
        <w:tc>
          <w:tcPr>
            <w:tcW w:type="dxa" w:w="3024"/>
            <w:tcMar>
              <w:top w:w="90" w:type="dxa"/>
              <w:start w:w="90" w:type="dxa"/>
              <w:bottom w:w="90" w:type="dxa"/>
              <w:end w:w="90" w:type="dxa"/>
            </w:tcMar>
          </w:tcPr>
          <w:p>
            <w:r>
              <w:rPr>
                <w:rFonts w:ascii="Aptos" w:hAnsi="Aptos"/>
                <w:sz w:val="17"/>
              </w:rPr>
              <w:t>aggregateVersion</w:t>
            </w:r>
          </w:p>
        </w:tc>
        <w:tc>
          <w:tcPr>
            <w:tcW w:type="dxa" w:w="6768"/>
            <w:tcMar>
              <w:top w:w="90" w:type="dxa"/>
              <w:start w:w="90" w:type="dxa"/>
              <w:bottom w:w="90" w:type="dxa"/>
              <w:end w:w="90" w:type="dxa"/>
            </w:tcMar>
          </w:tcPr>
          <w:p>
            <w:r>
              <w:rPr>
                <w:rFonts w:ascii="Aptos" w:hAnsi="Aptos"/>
                <w:sz w:val="17"/>
              </w:rPr>
              <w:t>Monotonic version where ordering matters.</w:t>
            </w:r>
          </w:p>
        </w:tc>
      </w:tr>
      <w:tr>
        <w:tc>
          <w:tcPr>
            <w:tcW w:type="dxa" w:w="3024"/>
            <w:tcMar>
              <w:top w:w="90" w:type="dxa"/>
              <w:start w:w="90" w:type="dxa"/>
              <w:bottom w:w="90" w:type="dxa"/>
              <w:end w:w="90" w:type="dxa"/>
            </w:tcMar>
          </w:tcPr>
          <w:p>
            <w:r>
              <w:rPr>
                <w:rFonts w:ascii="Aptos" w:hAnsi="Aptos"/>
                <w:sz w:val="17"/>
              </w:rPr>
              <w:t>occurredAt</w:t>
            </w:r>
          </w:p>
        </w:tc>
        <w:tc>
          <w:tcPr>
            <w:tcW w:type="dxa" w:w="6768"/>
            <w:tcMar>
              <w:top w:w="90" w:type="dxa"/>
              <w:start w:w="90" w:type="dxa"/>
              <w:bottom w:w="90" w:type="dxa"/>
              <w:end w:w="90" w:type="dxa"/>
            </w:tcMar>
          </w:tcPr>
          <w:p>
            <w:r>
              <w:rPr>
                <w:rFonts w:ascii="Aptos" w:hAnsi="Aptos"/>
                <w:sz w:val="17"/>
              </w:rPr>
              <w:t>UTC timestamp.</w:t>
            </w:r>
          </w:p>
        </w:tc>
      </w:tr>
      <w:tr>
        <w:tc>
          <w:tcPr>
            <w:tcW w:type="dxa" w:w="3024"/>
            <w:tcMar>
              <w:top w:w="90" w:type="dxa"/>
              <w:start w:w="90" w:type="dxa"/>
              <w:bottom w:w="90" w:type="dxa"/>
              <w:end w:w="90" w:type="dxa"/>
            </w:tcMar>
          </w:tcPr>
          <w:p>
            <w:r>
              <w:rPr>
                <w:rFonts w:ascii="Aptos" w:hAnsi="Aptos"/>
                <w:sz w:val="17"/>
              </w:rPr>
              <w:t>correlationId / causationId</w:t>
            </w:r>
          </w:p>
        </w:tc>
        <w:tc>
          <w:tcPr>
            <w:tcW w:type="dxa" w:w="6768"/>
            <w:tcMar>
              <w:top w:w="90" w:type="dxa"/>
              <w:start w:w="90" w:type="dxa"/>
              <w:bottom w:w="90" w:type="dxa"/>
              <w:end w:w="90" w:type="dxa"/>
            </w:tcMar>
          </w:tcPr>
          <w:p>
            <w:r>
              <w:rPr>
                <w:rFonts w:ascii="Aptos" w:hAnsi="Aptos"/>
                <w:sz w:val="17"/>
              </w:rPr>
              <w:t>Trace business causality.</w:t>
            </w:r>
          </w:p>
        </w:tc>
      </w:tr>
      <w:tr>
        <w:tc>
          <w:tcPr>
            <w:tcW w:type="dxa" w:w="3024"/>
            <w:tcMar>
              <w:top w:w="90" w:type="dxa"/>
              <w:start w:w="90" w:type="dxa"/>
              <w:bottom w:w="90" w:type="dxa"/>
              <w:end w:w="90" w:type="dxa"/>
            </w:tcMar>
          </w:tcPr>
          <w:p>
            <w:r>
              <w:rPr>
                <w:rFonts w:ascii="Aptos" w:hAnsi="Aptos"/>
                <w:sz w:val="17"/>
              </w:rPr>
              <w:t>payload</w:t>
            </w:r>
          </w:p>
        </w:tc>
        <w:tc>
          <w:tcPr>
            <w:tcW w:type="dxa" w:w="6768"/>
            <w:tcMar>
              <w:top w:w="90" w:type="dxa"/>
              <w:start w:w="90" w:type="dxa"/>
              <w:bottom w:w="90" w:type="dxa"/>
              <w:end w:w="90" w:type="dxa"/>
            </w:tcMar>
          </w:tcPr>
          <w:p>
            <w:r>
              <w:rPr>
                <w:rFonts w:ascii="Aptos" w:hAnsi="Aptos"/>
                <w:sz w:val="17"/>
              </w:rPr>
              <w:t>Minimal business payload; large binary/data referenced, not embedded.</w:t>
            </w:r>
          </w:p>
        </w:tc>
      </w:tr>
    </w:tbl>
    <w:p>
      <w:pPr>
        <w:spacing w:after="40"/>
      </w:pPr>
    </w:p>
    <w:p>
      <w:pPr>
        <w:pStyle w:val="Heading1"/>
      </w:pPr>
      <w:r>
        <w:t>Appendix B. Ownership and Data-Access Rules</w:t>
      </w:r>
    </w:p>
    <w:p>
      <w:pPr>
        <w:pStyle w:val="ListBullet"/>
        <w:spacing w:after="40" w:line="259" w:lineRule="auto"/>
      </w:pPr>
      <w:r>
        <w:rPr>
          <w:rFonts w:ascii="Aptos" w:hAnsi="Aptos"/>
        </w:rPr>
        <w:t>Application Service owns application/case authoritative state; Workflow only orchestrates progression.</w:t>
      </w:r>
    </w:p>
    <w:p>
      <w:pPr>
        <w:pStyle w:val="ListBullet"/>
        <w:spacing w:after="40" w:line="259" w:lineRule="auto"/>
      </w:pPr>
      <w:r>
        <w:rPr>
          <w:rFonts w:ascii="Aptos" w:hAnsi="Aptos"/>
        </w:rPr>
        <w:t>Payment Service owns provider/payment state; Application consumes payment outcomes through contracts.</w:t>
      </w:r>
    </w:p>
    <w:p>
      <w:pPr>
        <w:pStyle w:val="ListBullet"/>
        <w:spacing w:after="40" w:line="259" w:lineRule="auto"/>
      </w:pPr>
      <w:r>
        <w:rPr>
          <w:rFonts w:ascii="Aptos" w:hAnsi="Aptos"/>
        </w:rPr>
        <w:t>Credential Registry owns credential status; QR Verification reads that status but cannot mutate it.</w:t>
      </w:r>
    </w:p>
    <w:p>
      <w:pPr>
        <w:pStyle w:val="ListBullet"/>
        <w:spacing w:after="40" w:line="259" w:lineRule="auto"/>
      </w:pPr>
      <w:r>
        <w:rPr>
          <w:rFonts w:ascii="Aptos" w:hAnsi="Aptos"/>
        </w:rPr>
        <w:t>Catalogue owns service taxonomy; Metadata/Version Registry owns executable configuration artifacts and their versions.</w:t>
      </w:r>
    </w:p>
    <w:p>
      <w:pPr>
        <w:pStyle w:val="ListBullet"/>
        <w:spacing w:after="40" w:line="259" w:lineRule="auto"/>
      </w:pPr>
      <w:r>
        <w:rPr>
          <w:rFonts w:ascii="Aptos" w:hAnsi="Aptos"/>
        </w:rPr>
        <w:t>Identity authenticates and normalizes context; OPA authorizes actions; PostgreSQL RLS enforces row isolation; Rules Engine evaluates business rules.</w:t>
      </w:r>
    </w:p>
    <w:p>
      <w:pPr>
        <w:pStyle w:val="ListBullet"/>
        <w:spacing w:after="40" w:line="259" w:lineRule="auto"/>
      </w:pPr>
      <w:r>
        <w:rPr>
          <w:rFonts w:ascii="Aptos" w:hAnsi="Aptos"/>
        </w:rPr>
        <w:t>Storage owns binary/object lifecycle; evidence/credential/application services own the business meaning of object references.</w:t>
      </w:r>
    </w:p>
    <w:p>
      <w:pPr>
        <w:pStyle w:val="ListBullet"/>
        <w:spacing w:after="40" w:line="259" w:lineRule="auto"/>
      </w:pPr>
      <w:r>
        <w:rPr>
          <w:rFonts w:ascii="Aptos" w:hAnsi="Aptos"/>
        </w:rPr>
        <w:t>OpenSearch, caches, dashboards and analytics are derived. If destroyed, the platform must be able to rebuild them.</w:t>
      </w:r>
    </w:p>
    <w:p>
      <w:pPr>
        <w:pStyle w:val="ListBullet"/>
        <w:spacing w:after="40" w:line="259" w:lineRule="auto"/>
      </w:pPr>
      <w:r>
        <w:rPr>
          <w:rFonts w:ascii="Aptos" w:hAnsi="Aptos"/>
        </w:rPr>
        <w:t>AI agents may propose or assist, but deterministic validation and authorized human decisions remain authoritative where required.</w:t>
      </w:r>
    </w:p>
    <w:p>
      <w:r>
        <w:br w:type="page"/>
      </w:r>
    </w:p>
    <w:p>
      <w:pPr>
        <w:pStyle w:val="Heading1"/>
        <w:keepNext/>
      </w:pPr>
      <w:r>
        <w:t>PART II - AI-Assisted Design, Development, Verification &amp; Certification</w:t>
      </w:r>
    </w:p>
    <w:tbl>
      <w:tblPr>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pPr>
              <w:spacing w:after="80"/>
            </w:pPr>
            <w:r>
              <w:rPr>
                <w:b/>
                <w:color w:val="1F4E78"/>
                <w:sz w:val="21"/>
              </w:rPr>
              <w:t>Normative status</w:t>
            </w:r>
          </w:p>
          <w:p>
            <w:pPr>
              <w:spacing w:after="0"/>
            </w:pPr>
            <w:r>
              <w:rPr>
                <w:color w:val="1F2937"/>
                <w:sz w:val="20"/>
              </w:rPr>
              <w:t>This Part II is normative for any ServiceForm AI code substantially produced or modified by Cursor, GitHub Copilot, Claude Code, or another coding agent. It defines internal engineering certification, not a statutory or third-party product certification. An AI agent may generate evidence and reports, but it may never self-certify its own output.</w:t>
            </w:r>
          </w:p>
        </w:tc>
      </w:tr>
    </w:tbl>
    <w:p>
      <w:pPr>
        <w:spacing w:after="40"/>
      </w:pPr>
    </w:p>
    <w:p>
      <w:pPr>
        <w:pStyle w:val="Heading1"/>
        <w:keepNext/>
      </w:pPr>
      <w:r>
        <w:t>9. AI-Assisted Development Operating Model</w:t>
      </w:r>
    </w:p>
    <w:p>
      <w:pPr>
        <w:spacing w:after="100"/>
      </w:pPr>
      <w:r>
        <w:t>The engineering objective is not merely to generate code quickly. The objective is to produce traceable, reproducible, secure and test-evidenced software in which AI-generated changes are held to the same or higher release gates as human-authored changes. The certification unit is a component, integration contract, module, and ultimately a release.</w:t>
      </w:r>
    </w:p>
    <w:p>
      <w:pPr>
        <w:pStyle w:val="Heading2"/>
        <w:keepNext/>
      </w:pPr>
      <w:r>
        <w:t>9.1 Certification gate model</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79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1728"/>
            <w:tcMar>
              <w:top w:w="80" w:type="dxa"/>
              <w:start w:w="100" w:type="dxa"/>
              <w:bottom w:w="80" w:type="dxa"/>
              <w:end w:w="100" w:type="dxa"/>
            </w:tcMar>
            <w:vAlign w:val="center"/>
            <w:shd w:fill="1F4E78"/>
          </w:tcPr>
          <w:p>
            <w:pPr>
              <w:spacing w:after="0" w:before="0"/>
            </w:pPr>
            <w:r/>
            <w:r>
              <w:rPr>
                <w:rFonts w:ascii="Aptos" w:hAnsi="Aptos"/>
                <w:b/>
                <w:color w:val="FFFFFF"/>
                <w:sz w:val="17"/>
              </w:rPr>
              <w:t>Status</w:t>
            </w:r>
          </w:p>
        </w:tc>
        <w:tc>
          <w:tcPr>
            <w:tcW w:type="dxa" w:w="4464"/>
            <w:tcMar>
              <w:top w:w="80" w:type="dxa"/>
              <w:start w:w="100" w:type="dxa"/>
              <w:bottom w:w="80" w:type="dxa"/>
              <w:end w:w="100" w:type="dxa"/>
            </w:tcMar>
            <w:vAlign w:val="center"/>
            <w:shd w:fill="1F4E78"/>
          </w:tcPr>
          <w:p>
            <w:pPr>
              <w:spacing w:after="0" w:before="0"/>
            </w:pPr>
            <w:r/>
            <w:r>
              <w:rPr>
                <w:rFonts w:ascii="Aptos" w:hAnsi="Aptos"/>
                <w:b/>
                <w:color w:val="FFFFFF"/>
                <w:sz w:val="17"/>
              </w:rPr>
              <w:t>Required outcome</w:t>
            </w:r>
          </w:p>
        </w:tc>
        <w:tc>
          <w:tcPr>
            <w:tcW w:type="dxa" w:w="3312"/>
            <w:tcMar>
              <w:top w:w="80" w:type="dxa"/>
              <w:start w:w="100" w:type="dxa"/>
              <w:bottom w:w="80" w:type="dxa"/>
              <w:end w:w="100" w:type="dxa"/>
            </w:tcMar>
            <w:vAlign w:val="center"/>
            <w:shd w:fill="1F4E78"/>
          </w:tcPr>
          <w:p>
            <w:pPr>
              <w:spacing w:after="0" w:before="0"/>
            </w:pPr>
            <w:r/>
            <w:r>
              <w:rPr>
                <w:rFonts w:ascii="Aptos" w:hAnsi="Aptos"/>
                <w:b/>
                <w:color w:val="FFFFFF"/>
                <w:sz w:val="17"/>
              </w:rPr>
              <w:t>Authoritative evidence</w:t>
            </w:r>
          </w:p>
        </w:tc>
      </w:tr>
      <w:tr>
        <w:trPr>
          <w:cantSplit/>
        </w:trPr>
        <w:tc>
          <w:tcPr>
            <w:tcW w:type="dxa" w:w="792"/>
            <w:tcMar>
              <w:top w:w="80" w:type="dxa"/>
              <w:start w:w="100" w:type="dxa"/>
              <w:bottom w:w="80" w:type="dxa"/>
              <w:end w:w="100" w:type="dxa"/>
            </w:tcMar>
            <w:vAlign w:val="center"/>
          </w:tcPr>
          <w:p>
            <w:pPr>
              <w:spacing w:after="0" w:before="0"/>
            </w:pPr>
            <w:r/>
            <w:r>
              <w:rPr>
                <w:rFonts w:ascii="Aptos" w:hAnsi="Aptos"/>
                <w:b/>
                <w:color w:val="1F2937"/>
                <w:sz w:val="17"/>
              </w:rPr>
              <w:t>G0</w:t>
            </w:r>
          </w:p>
        </w:tc>
        <w:tc>
          <w:tcPr>
            <w:tcW w:type="dxa" w:w="1728"/>
            <w:tcMar>
              <w:top w:w="80" w:type="dxa"/>
              <w:start w:w="100" w:type="dxa"/>
              <w:bottom w:w="80" w:type="dxa"/>
              <w:end w:w="100" w:type="dxa"/>
            </w:tcMar>
            <w:vAlign w:val="center"/>
          </w:tcPr>
          <w:p>
            <w:pPr>
              <w:spacing w:after="0" w:before="0"/>
            </w:pPr>
            <w:r/>
            <w:r>
              <w:rPr>
                <w:rFonts w:ascii="Aptos" w:hAnsi="Aptos"/>
                <w:sz w:val="17"/>
              </w:rPr>
              <w:t>DESIGN_READY</w:t>
            </w:r>
          </w:p>
        </w:tc>
        <w:tc>
          <w:tcPr>
            <w:tcW w:type="dxa" w:w="4464"/>
            <w:tcMar>
              <w:top w:w="80" w:type="dxa"/>
              <w:start w:w="100" w:type="dxa"/>
              <w:bottom w:w="80" w:type="dxa"/>
              <w:end w:w="100" w:type="dxa"/>
            </w:tcMar>
            <w:vAlign w:val="center"/>
          </w:tcPr>
          <w:p>
            <w:pPr>
              <w:spacing w:after="0" w:before="0"/>
            </w:pPr>
            <w:r/>
            <w:r>
              <w:rPr>
                <w:rFonts w:ascii="Aptos" w:hAnsi="Aptos"/>
                <w:sz w:val="17"/>
              </w:rPr>
              <w:t>Requirements, boundaries, data ownership, contracts, tenant/privacy classification and failure behavior are approved.</w:t>
            </w:r>
          </w:p>
        </w:tc>
        <w:tc>
          <w:tcPr>
            <w:tcW w:type="dxa" w:w="3312"/>
            <w:tcMar>
              <w:top w:w="80" w:type="dxa"/>
              <w:start w:w="100" w:type="dxa"/>
              <w:bottom w:w="80" w:type="dxa"/>
              <w:end w:w="100" w:type="dxa"/>
            </w:tcMar>
            <w:vAlign w:val="center"/>
          </w:tcPr>
          <w:p>
            <w:pPr>
              <w:spacing w:after="0" w:before="0"/>
            </w:pPr>
            <w:r/>
            <w:r>
              <w:rPr>
                <w:rFonts w:ascii="Aptos" w:hAnsi="Aptos"/>
                <w:sz w:val="17"/>
              </w:rPr>
              <w:t>Requirement IDs, design note/ADR, API/event/schema drafts, threat notes.</w:t>
            </w:r>
          </w:p>
        </w:tc>
      </w:tr>
      <w:tr>
        <w:trPr>
          <w:cantSplit/>
        </w:trPr>
        <w:tc>
          <w:tcPr>
            <w:tcW w:type="dxa" w:w="792"/>
            <w:tcMar>
              <w:top w:w="80" w:type="dxa"/>
              <w:start w:w="100" w:type="dxa"/>
              <w:bottom w:w="80" w:type="dxa"/>
              <w:end w:w="100" w:type="dxa"/>
            </w:tcMar>
            <w:vAlign w:val="center"/>
          </w:tcPr>
          <w:p>
            <w:pPr>
              <w:spacing w:after="0" w:before="0"/>
            </w:pPr>
            <w:r/>
            <w:r>
              <w:rPr>
                <w:rFonts w:ascii="Aptos" w:hAnsi="Aptos"/>
                <w:b/>
                <w:color w:val="1F2937"/>
                <w:sz w:val="17"/>
              </w:rPr>
              <w:t>G1</w:t>
            </w:r>
          </w:p>
        </w:tc>
        <w:tc>
          <w:tcPr>
            <w:tcW w:type="dxa" w:w="1728"/>
            <w:tcMar>
              <w:top w:w="80" w:type="dxa"/>
              <w:start w:w="100" w:type="dxa"/>
              <w:bottom w:w="80" w:type="dxa"/>
              <w:end w:w="100" w:type="dxa"/>
            </w:tcMar>
            <w:vAlign w:val="center"/>
          </w:tcPr>
          <w:p>
            <w:pPr>
              <w:spacing w:after="0" w:before="0"/>
            </w:pPr>
            <w:r/>
            <w:r>
              <w:rPr>
                <w:rFonts w:ascii="Aptos" w:hAnsi="Aptos"/>
                <w:sz w:val="17"/>
              </w:rPr>
              <w:t>BUILD_READY</w:t>
            </w:r>
          </w:p>
        </w:tc>
        <w:tc>
          <w:tcPr>
            <w:tcW w:type="dxa" w:w="4464"/>
            <w:tcMar>
              <w:top w:w="80" w:type="dxa"/>
              <w:start w:w="100" w:type="dxa"/>
              <w:bottom w:w="80" w:type="dxa"/>
              <w:end w:w="100" w:type="dxa"/>
            </w:tcMar>
            <w:vAlign w:val="center"/>
          </w:tcPr>
          <w:p>
            <w:pPr>
              <w:spacing w:after="0" w:before="0"/>
            </w:pPr>
            <w:r/>
            <w:r>
              <w:rPr>
                <w:rFonts w:ascii="Aptos" w:hAnsi="Aptos"/>
                <w:sz w:val="17"/>
              </w:rPr>
              <w:t>Implementation plan maps files/tasks/tests to approved design; external dependencies have sandbox/simulator path.</w:t>
            </w:r>
          </w:p>
        </w:tc>
        <w:tc>
          <w:tcPr>
            <w:tcW w:type="dxa" w:w="3312"/>
            <w:tcMar>
              <w:top w:w="80" w:type="dxa"/>
              <w:start w:w="100" w:type="dxa"/>
              <w:bottom w:w="80" w:type="dxa"/>
              <w:end w:w="100" w:type="dxa"/>
            </w:tcMar>
            <w:vAlign w:val="center"/>
          </w:tcPr>
          <w:p>
            <w:pPr>
              <w:spacing w:after="0" w:before="0"/>
            </w:pPr>
            <w:r/>
            <w:r>
              <w:rPr>
                <w:rFonts w:ascii="Aptos" w:hAnsi="Aptos"/>
                <w:sz w:val="17"/>
              </w:rPr>
              <w:t>Agent plan, task checklist, migration plan, test plan.</w:t>
            </w:r>
          </w:p>
        </w:tc>
      </w:tr>
      <w:tr>
        <w:trPr>
          <w:cantSplit/>
        </w:trPr>
        <w:tc>
          <w:tcPr>
            <w:tcW w:type="dxa" w:w="792"/>
            <w:tcMar>
              <w:top w:w="80" w:type="dxa"/>
              <w:start w:w="100" w:type="dxa"/>
              <w:bottom w:w="80" w:type="dxa"/>
              <w:end w:w="100" w:type="dxa"/>
            </w:tcMar>
            <w:vAlign w:val="center"/>
          </w:tcPr>
          <w:p>
            <w:pPr>
              <w:spacing w:after="0" w:before="0"/>
            </w:pPr>
            <w:r/>
            <w:r>
              <w:rPr>
                <w:rFonts w:ascii="Aptos" w:hAnsi="Aptos"/>
                <w:b/>
                <w:color w:val="1F2937"/>
                <w:sz w:val="17"/>
              </w:rPr>
              <w:t>G2</w:t>
            </w:r>
          </w:p>
        </w:tc>
        <w:tc>
          <w:tcPr>
            <w:tcW w:type="dxa" w:w="1728"/>
            <w:tcMar>
              <w:top w:w="80" w:type="dxa"/>
              <w:start w:w="100" w:type="dxa"/>
              <w:bottom w:w="80" w:type="dxa"/>
              <w:end w:w="100" w:type="dxa"/>
            </w:tcMar>
            <w:vAlign w:val="center"/>
          </w:tcPr>
          <w:p>
            <w:pPr>
              <w:spacing w:after="0" w:before="0"/>
            </w:pPr>
            <w:r/>
            <w:r>
              <w:rPr>
                <w:rFonts w:ascii="Aptos" w:hAnsi="Aptos"/>
                <w:sz w:val="17"/>
              </w:rPr>
              <w:t>COMPONENT_VERIFIED</w:t>
            </w:r>
          </w:p>
        </w:tc>
        <w:tc>
          <w:tcPr>
            <w:tcW w:type="dxa" w:w="4464"/>
            <w:tcMar>
              <w:top w:w="80" w:type="dxa"/>
              <w:start w:w="100" w:type="dxa"/>
              <w:bottom w:w="80" w:type="dxa"/>
              <w:end w:w="100" w:type="dxa"/>
            </w:tcMar>
            <w:vAlign w:val="center"/>
          </w:tcPr>
          <w:p>
            <w:pPr>
              <w:spacing w:after="0" w:before="0"/>
            </w:pPr>
            <w:r/>
            <w:r>
              <w:rPr>
                <w:rFonts w:ascii="Aptos" w:hAnsi="Aptos"/>
                <w:sz w:val="17"/>
              </w:rPr>
              <w:t>Component compiles and passes unit, state-machine, contract, data/RLS and negative tests.</w:t>
            </w:r>
          </w:p>
        </w:tc>
        <w:tc>
          <w:tcPr>
            <w:tcW w:type="dxa" w:w="3312"/>
            <w:tcMar>
              <w:top w:w="80" w:type="dxa"/>
              <w:start w:w="100" w:type="dxa"/>
              <w:bottom w:w="80" w:type="dxa"/>
              <w:end w:w="100" w:type="dxa"/>
            </w:tcMar>
            <w:vAlign w:val="center"/>
          </w:tcPr>
          <w:p>
            <w:pPr>
              <w:spacing w:after="0" w:before="0"/>
            </w:pPr>
            <w:r/>
            <w:r>
              <w:rPr>
                <w:rFonts w:ascii="Aptos" w:hAnsi="Aptos"/>
                <w:sz w:val="17"/>
              </w:rPr>
              <w:t>CI run, test report, coverage/branch evidence for critical paths, migration evidence.</w:t>
            </w:r>
          </w:p>
        </w:tc>
      </w:tr>
      <w:tr>
        <w:trPr>
          <w:cantSplit/>
        </w:trPr>
        <w:tc>
          <w:tcPr>
            <w:tcW w:type="dxa" w:w="792"/>
            <w:tcMar>
              <w:top w:w="80" w:type="dxa"/>
              <w:start w:w="100" w:type="dxa"/>
              <w:bottom w:w="80" w:type="dxa"/>
              <w:end w:w="100" w:type="dxa"/>
            </w:tcMar>
            <w:vAlign w:val="center"/>
          </w:tcPr>
          <w:p>
            <w:pPr>
              <w:spacing w:after="0" w:before="0"/>
            </w:pPr>
            <w:r/>
            <w:r>
              <w:rPr>
                <w:rFonts w:ascii="Aptos" w:hAnsi="Aptos"/>
                <w:b/>
                <w:color w:val="1F2937"/>
                <w:sz w:val="17"/>
              </w:rPr>
              <w:t>G3</w:t>
            </w:r>
          </w:p>
        </w:tc>
        <w:tc>
          <w:tcPr>
            <w:tcW w:type="dxa" w:w="1728"/>
            <w:tcMar>
              <w:top w:w="80" w:type="dxa"/>
              <w:start w:w="100" w:type="dxa"/>
              <w:bottom w:w="80" w:type="dxa"/>
              <w:end w:w="100" w:type="dxa"/>
            </w:tcMar>
            <w:vAlign w:val="center"/>
          </w:tcPr>
          <w:p>
            <w:pPr>
              <w:spacing w:after="0" w:before="0"/>
            </w:pPr>
            <w:r/>
            <w:r>
              <w:rPr>
                <w:rFonts w:ascii="Aptos" w:hAnsi="Aptos"/>
                <w:sz w:val="17"/>
              </w:rPr>
              <w:t>INTEGRATION_VERIFIED</w:t>
            </w:r>
          </w:p>
        </w:tc>
        <w:tc>
          <w:tcPr>
            <w:tcW w:type="dxa" w:w="4464"/>
            <w:tcMar>
              <w:top w:w="80" w:type="dxa"/>
              <w:start w:w="100" w:type="dxa"/>
              <w:bottom w:w="80" w:type="dxa"/>
              <w:end w:w="100" w:type="dxa"/>
            </w:tcMar>
            <w:vAlign w:val="center"/>
          </w:tcPr>
          <w:p>
            <w:pPr>
              <w:spacing w:after="0" w:before="0"/>
            </w:pPr>
            <w:r/>
            <w:r>
              <w:rPr>
                <w:rFonts w:ascii="Aptos" w:hAnsi="Aptos"/>
                <w:sz w:val="17"/>
              </w:rPr>
              <w:t>Published APIs/events work with real peer services or contract-compatible simulators; retries/idempotency verified.</w:t>
            </w:r>
          </w:p>
        </w:tc>
        <w:tc>
          <w:tcPr>
            <w:tcW w:type="dxa" w:w="3312"/>
            <w:tcMar>
              <w:top w:w="80" w:type="dxa"/>
              <w:start w:w="100" w:type="dxa"/>
              <w:bottom w:w="80" w:type="dxa"/>
              <w:end w:w="100" w:type="dxa"/>
            </w:tcMar>
            <w:vAlign w:val="center"/>
          </w:tcPr>
          <w:p>
            <w:pPr>
              <w:spacing w:after="0" w:before="0"/>
            </w:pPr>
            <w:r/>
            <w:r>
              <w:rPr>
                <w:rFonts w:ascii="Aptos" w:hAnsi="Aptos"/>
                <w:sz w:val="17"/>
              </w:rPr>
              <w:t>Integration/E2E reports, contract-test evidence, event traces.</w:t>
            </w:r>
          </w:p>
        </w:tc>
      </w:tr>
      <w:tr>
        <w:trPr>
          <w:cantSplit/>
        </w:trPr>
        <w:tc>
          <w:tcPr>
            <w:tcW w:type="dxa" w:w="792"/>
            <w:tcMar>
              <w:top w:w="80" w:type="dxa"/>
              <w:start w:w="100" w:type="dxa"/>
              <w:bottom w:w="80" w:type="dxa"/>
              <w:end w:w="100" w:type="dxa"/>
            </w:tcMar>
            <w:vAlign w:val="center"/>
          </w:tcPr>
          <w:p>
            <w:pPr>
              <w:spacing w:after="0" w:before="0"/>
            </w:pPr>
            <w:r/>
            <w:r>
              <w:rPr>
                <w:rFonts w:ascii="Aptos" w:hAnsi="Aptos"/>
                <w:b/>
                <w:color w:val="1F2937"/>
                <w:sz w:val="17"/>
              </w:rPr>
              <w:t>G4</w:t>
            </w:r>
          </w:p>
        </w:tc>
        <w:tc>
          <w:tcPr>
            <w:tcW w:type="dxa" w:w="1728"/>
            <w:tcMar>
              <w:top w:w="80" w:type="dxa"/>
              <w:start w:w="100" w:type="dxa"/>
              <w:bottom w:w="80" w:type="dxa"/>
              <w:end w:w="100" w:type="dxa"/>
            </w:tcMar>
            <w:vAlign w:val="center"/>
          </w:tcPr>
          <w:p>
            <w:pPr>
              <w:spacing w:after="0" w:before="0"/>
            </w:pPr>
            <w:r/>
            <w:r>
              <w:rPr>
                <w:rFonts w:ascii="Aptos" w:hAnsi="Aptos"/>
                <w:sz w:val="17"/>
              </w:rPr>
              <w:t>SECURITY_VERIFIED</w:t>
            </w:r>
          </w:p>
        </w:tc>
        <w:tc>
          <w:tcPr>
            <w:tcW w:type="dxa" w:w="4464"/>
            <w:tcMar>
              <w:top w:w="80" w:type="dxa"/>
              <w:start w:w="100" w:type="dxa"/>
              <w:bottom w:w="80" w:type="dxa"/>
              <w:end w:w="100" w:type="dxa"/>
            </w:tcMar>
            <w:vAlign w:val="center"/>
          </w:tcPr>
          <w:p>
            <w:pPr>
              <w:spacing w:after="0" w:before="0"/>
            </w:pPr>
            <w:r/>
            <w:r>
              <w:rPr>
                <w:rFonts w:ascii="Aptos" w:hAnsi="Aptos"/>
                <w:sz w:val="17"/>
              </w:rPr>
              <w:t>Tenant isolation, authorization, secret/PII handling and security scans pass.</w:t>
            </w:r>
          </w:p>
        </w:tc>
        <w:tc>
          <w:tcPr>
            <w:tcW w:type="dxa" w:w="3312"/>
            <w:tcMar>
              <w:top w:w="80" w:type="dxa"/>
              <w:start w:w="100" w:type="dxa"/>
              <w:bottom w:w="80" w:type="dxa"/>
              <w:end w:w="100" w:type="dxa"/>
            </w:tcMar>
            <w:vAlign w:val="center"/>
          </w:tcPr>
          <w:p>
            <w:pPr>
              <w:spacing w:after="0" w:before="0"/>
            </w:pPr>
            <w:r/>
            <w:r>
              <w:rPr>
                <w:rFonts w:ascii="Aptos" w:hAnsi="Aptos"/>
                <w:sz w:val="17"/>
              </w:rPr>
              <w:t>RLS/OPA negative tests, SAST/SCA/secret/IaC/container scan reports.</w:t>
            </w:r>
          </w:p>
        </w:tc>
      </w:tr>
      <w:tr>
        <w:trPr>
          <w:cantSplit/>
        </w:trPr>
        <w:tc>
          <w:tcPr>
            <w:tcW w:type="dxa" w:w="792"/>
            <w:tcMar>
              <w:top w:w="80" w:type="dxa"/>
              <w:start w:w="100" w:type="dxa"/>
              <w:bottom w:w="80" w:type="dxa"/>
              <w:end w:w="100" w:type="dxa"/>
            </w:tcMar>
            <w:vAlign w:val="center"/>
          </w:tcPr>
          <w:p>
            <w:pPr>
              <w:spacing w:after="0" w:before="0"/>
            </w:pPr>
            <w:r/>
            <w:r>
              <w:rPr>
                <w:rFonts w:ascii="Aptos" w:hAnsi="Aptos"/>
                <w:b/>
                <w:color w:val="1F2937"/>
                <w:sz w:val="17"/>
              </w:rPr>
              <w:t>G5</w:t>
            </w:r>
          </w:p>
        </w:tc>
        <w:tc>
          <w:tcPr>
            <w:tcW w:type="dxa" w:w="1728"/>
            <w:tcMar>
              <w:top w:w="80" w:type="dxa"/>
              <w:start w:w="100" w:type="dxa"/>
              <w:bottom w:w="80" w:type="dxa"/>
              <w:end w:w="100" w:type="dxa"/>
            </w:tcMar>
            <w:vAlign w:val="center"/>
          </w:tcPr>
          <w:p>
            <w:pPr>
              <w:spacing w:after="0" w:before="0"/>
            </w:pPr>
            <w:r/>
            <w:r>
              <w:rPr>
                <w:rFonts w:ascii="Aptos" w:hAnsi="Aptos"/>
                <w:sz w:val="17"/>
              </w:rPr>
              <w:t>PERFORMANCE_RESILIENCE_VERIFIED</w:t>
            </w:r>
          </w:p>
        </w:tc>
        <w:tc>
          <w:tcPr>
            <w:tcW w:type="dxa" w:w="4464"/>
            <w:tcMar>
              <w:top w:w="80" w:type="dxa"/>
              <w:start w:w="100" w:type="dxa"/>
              <w:bottom w:w="80" w:type="dxa"/>
              <w:end w:w="100" w:type="dxa"/>
            </w:tcMar>
            <w:vAlign w:val="center"/>
          </w:tcPr>
          <w:p>
            <w:pPr>
              <w:spacing w:after="0" w:before="0"/>
            </w:pPr>
            <w:r/>
            <w:r>
              <w:rPr>
                <w:rFonts w:ascii="Aptos" w:hAnsi="Aptos"/>
                <w:sz w:val="17"/>
              </w:rPr>
              <w:t>Applicable latency/load, failover, retry, backpressure and chaos targets pass.</w:t>
            </w:r>
          </w:p>
        </w:tc>
        <w:tc>
          <w:tcPr>
            <w:tcW w:type="dxa" w:w="3312"/>
            <w:tcMar>
              <w:top w:w="80" w:type="dxa"/>
              <w:start w:w="100" w:type="dxa"/>
              <w:bottom w:w="80" w:type="dxa"/>
              <w:end w:w="100" w:type="dxa"/>
            </w:tcMar>
            <w:vAlign w:val="center"/>
          </w:tcPr>
          <w:p>
            <w:pPr>
              <w:spacing w:after="0" w:before="0"/>
            </w:pPr>
            <w:r/>
            <w:r>
              <w:rPr>
                <w:rFonts w:ascii="Aptos" w:hAnsi="Aptos"/>
                <w:sz w:val="17"/>
              </w:rPr>
              <w:t>Load/soak/chaos/DR run IDs and dashboards.</w:t>
            </w:r>
          </w:p>
        </w:tc>
      </w:tr>
      <w:tr>
        <w:trPr>
          <w:cantSplit/>
        </w:trPr>
        <w:tc>
          <w:tcPr>
            <w:tcW w:type="dxa" w:w="792"/>
            <w:tcMar>
              <w:top w:w="80" w:type="dxa"/>
              <w:start w:w="100" w:type="dxa"/>
              <w:bottom w:w="80" w:type="dxa"/>
              <w:end w:w="100" w:type="dxa"/>
            </w:tcMar>
            <w:vAlign w:val="center"/>
          </w:tcPr>
          <w:p>
            <w:pPr>
              <w:spacing w:after="0" w:before="0"/>
            </w:pPr>
            <w:r/>
            <w:r>
              <w:rPr>
                <w:rFonts w:ascii="Aptos" w:hAnsi="Aptos"/>
                <w:b/>
                <w:color w:val="1F2937"/>
                <w:sz w:val="17"/>
              </w:rPr>
              <w:t>G6</w:t>
            </w:r>
          </w:p>
        </w:tc>
        <w:tc>
          <w:tcPr>
            <w:tcW w:type="dxa" w:w="1728"/>
            <w:tcMar>
              <w:top w:w="80" w:type="dxa"/>
              <w:start w:w="100" w:type="dxa"/>
              <w:bottom w:w="80" w:type="dxa"/>
              <w:end w:w="100" w:type="dxa"/>
            </w:tcMar>
            <w:vAlign w:val="center"/>
          </w:tcPr>
          <w:p>
            <w:pPr>
              <w:spacing w:after="0" w:before="0"/>
            </w:pPr>
            <w:r/>
            <w:r>
              <w:rPr>
                <w:rFonts w:ascii="Aptos" w:hAnsi="Aptos"/>
                <w:sz w:val="17"/>
              </w:rPr>
              <w:t>RELEASE_CERTIFIED</w:t>
            </w:r>
          </w:p>
        </w:tc>
        <w:tc>
          <w:tcPr>
            <w:tcW w:type="dxa" w:w="4464"/>
            <w:tcMar>
              <w:top w:w="80" w:type="dxa"/>
              <w:start w:w="100" w:type="dxa"/>
              <w:bottom w:w="80" w:type="dxa"/>
              <w:end w:w="100" w:type="dxa"/>
            </w:tcMar>
            <w:vAlign w:val="center"/>
          </w:tcPr>
          <w:p>
            <w:pPr>
              <w:spacing w:after="0" w:before="0"/>
            </w:pPr>
            <w:r/>
            <w:r>
              <w:rPr>
                <w:rFonts w:ascii="Aptos" w:hAnsi="Aptos"/>
                <w:sz w:val="17"/>
              </w:rPr>
              <w:t>Traceability complete; no blocking defects; independent reviewer and CI gates approve the artifact.</w:t>
            </w:r>
          </w:p>
        </w:tc>
        <w:tc>
          <w:tcPr>
            <w:tcW w:type="dxa" w:w="3312"/>
            <w:tcMar>
              <w:top w:w="80" w:type="dxa"/>
              <w:start w:w="100" w:type="dxa"/>
              <w:bottom w:w="80" w:type="dxa"/>
              <w:end w:w="100" w:type="dxa"/>
            </w:tcMar>
            <w:vAlign w:val="center"/>
          </w:tcPr>
          <w:p>
            <w:pPr>
              <w:spacing w:after="0" w:before="0"/>
            </w:pPr>
            <w:r/>
            <w:r>
              <w:rPr>
                <w:rFonts w:ascii="Aptos" w:hAnsi="Aptos"/>
                <w:sz w:val="17"/>
              </w:rPr>
              <w:t>Signed release record, commit/image digest, SBOM, approvals, evidence manifest.</w:t>
            </w:r>
          </w:p>
        </w:tc>
      </w:tr>
    </w:tbl>
    <w:p>
      <w:pPr>
        <w:spacing w:after="40"/>
      </w:pP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pPr>
              <w:spacing w:after="80"/>
            </w:pPr>
            <w:r>
              <w:rPr>
                <w:b/>
                <w:color w:val="8A5A00"/>
                <w:sz w:val="21"/>
              </w:rPr>
              <w:t>Certification rule</w:t>
            </w:r>
          </w:p>
          <w:p>
            <w:pPr>
              <w:spacing w:after="0"/>
            </w:pPr>
            <w:r>
              <w:rPr>
                <w:color w:val="1F2937"/>
                <w:sz w:val="20"/>
              </w:rPr>
              <w:t>Passing G6 means ServiceForm internal engineering certification for the specified version and environment. It does not mean every external provider has been production-certified unless REAL-provider tests are included in the evidence scope.</w:t>
            </w:r>
          </w:p>
        </w:tc>
      </w:tr>
    </w:tbl>
    <w:p>
      <w:pPr>
        <w:spacing w:after="40"/>
      </w:pPr>
    </w:p>
    <w:p>
      <w:pPr>
        <w:pStyle w:val="Heading2"/>
        <w:keepNext/>
      </w:pPr>
      <w:r>
        <w:t>9.2 Builder, verifier and certifier separation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Role</w:t>
            </w:r>
          </w:p>
        </w:tc>
        <w:tc>
          <w:tcPr>
            <w:tcW w:type="dxa" w:w="1584"/>
            <w:tcMar>
              <w:top w:w="80" w:type="dxa"/>
              <w:start w:w="100" w:type="dxa"/>
              <w:bottom w:w="80" w:type="dxa"/>
              <w:end w:w="100" w:type="dxa"/>
            </w:tcMar>
            <w:vAlign w:val="center"/>
            <w:shd w:fill="1F4E78"/>
          </w:tcPr>
          <w:p>
            <w:pPr>
              <w:spacing w:after="0" w:before="0"/>
            </w:pPr>
            <w:r/>
            <w:r>
              <w:rPr>
                <w:rFonts w:ascii="Aptos" w:hAnsi="Aptos"/>
                <w:b/>
                <w:color w:val="FFFFFF"/>
                <w:sz w:val="18"/>
              </w:rPr>
              <w:t>May use AI?</w:t>
            </w:r>
          </w:p>
        </w:tc>
        <w:tc>
          <w:tcPr>
            <w:tcW w:type="dxa" w:w="4176"/>
            <w:tcMar>
              <w:top w:w="80" w:type="dxa"/>
              <w:start w:w="100" w:type="dxa"/>
              <w:bottom w:w="80" w:type="dxa"/>
              <w:end w:w="100" w:type="dxa"/>
            </w:tcMar>
            <w:vAlign w:val="center"/>
            <w:shd w:fill="1F4E78"/>
          </w:tcPr>
          <w:p>
            <w:pPr>
              <w:spacing w:after="0" w:before="0"/>
            </w:pPr>
            <w:r/>
            <w:r>
              <w:rPr>
                <w:rFonts w:ascii="Aptos" w:hAnsi="Aptos"/>
                <w:b/>
                <w:color w:val="FFFFFF"/>
                <w:sz w:val="18"/>
              </w:rPr>
              <w:t>Responsibility</w:t>
            </w:r>
          </w:p>
        </w:tc>
        <w:tc>
          <w:tcPr>
            <w:tcW w:type="dxa" w:w="3168"/>
            <w:tcMar>
              <w:top w:w="80" w:type="dxa"/>
              <w:start w:w="100" w:type="dxa"/>
              <w:bottom w:w="80" w:type="dxa"/>
              <w:end w:w="100" w:type="dxa"/>
            </w:tcMar>
            <w:vAlign w:val="center"/>
            <w:shd w:fill="1F4E78"/>
          </w:tcPr>
          <w:p>
            <w:pPr>
              <w:spacing w:after="0" w:before="0"/>
            </w:pPr>
            <w:r/>
            <w:r>
              <w:rPr>
                <w:rFonts w:ascii="Aptos" w:hAnsi="Aptos"/>
                <w:b/>
                <w:color w:val="FFFFFF"/>
                <w:sz w:val="18"/>
              </w:rPr>
              <w:t>Prohibited</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Builder</w:t>
            </w:r>
          </w:p>
        </w:tc>
        <w:tc>
          <w:tcPr>
            <w:tcW w:type="dxa" w:w="1584"/>
            <w:tcMar>
              <w:top w:w="80" w:type="dxa"/>
              <w:start w:w="100" w:type="dxa"/>
              <w:bottom w:w="80" w:type="dxa"/>
              <w:end w:w="100" w:type="dxa"/>
            </w:tcMar>
            <w:vAlign w:val="center"/>
          </w:tcPr>
          <w:p>
            <w:pPr>
              <w:spacing w:after="0" w:before="0"/>
            </w:pPr>
            <w:r/>
            <w:r>
              <w:rPr>
                <w:rFonts w:ascii="Aptos" w:hAnsi="Aptos"/>
                <w:sz w:val="18"/>
              </w:rPr>
              <w:t>Yes</w:t>
            </w:r>
          </w:p>
        </w:tc>
        <w:tc>
          <w:tcPr>
            <w:tcW w:type="dxa" w:w="4176"/>
            <w:tcMar>
              <w:top w:w="80" w:type="dxa"/>
              <w:start w:w="100" w:type="dxa"/>
              <w:bottom w:w="80" w:type="dxa"/>
              <w:end w:w="100" w:type="dxa"/>
            </w:tcMar>
            <w:vAlign w:val="center"/>
          </w:tcPr>
          <w:p>
            <w:pPr>
              <w:spacing w:after="0" w:before="0"/>
            </w:pPr>
            <w:r/>
            <w:r>
              <w:rPr>
                <w:rFonts w:ascii="Aptos" w:hAnsi="Aptos"/>
                <w:sz w:val="18"/>
              </w:rPr>
              <w:t>Design/implement tests and code against an approved task.</w:t>
            </w:r>
          </w:p>
        </w:tc>
        <w:tc>
          <w:tcPr>
            <w:tcW w:type="dxa" w:w="3168"/>
            <w:tcMar>
              <w:top w:w="80" w:type="dxa"/>
              <w:start w:w="100" w:type="dxa"/>
              <w:bottom w:w="80" w:type="dxa"/>
              <w:end w:w="100" w:type="dxa"/>
            </w:tcMar>
            <w:vAlign w:val="center"/>
          </w:tcPr>
          <w:p>
            <w:pPr>
              <w:spacing w:after="0" w:before="0"/>
            </w:pPr>
            <w:r/>
            <w:r>
              <w:rPr>
                <w:rFonts w:ascii="Aptos" w:hAnsi="Aptos"/>
                <w:sz w:val="18"/>
              </w:rPr>
              <w:t>Cannot declare its own work RELEASE_CERTIFIED.</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Verifier</w:t>
            </w:r>
          </w:p>
        </w:tc>
        <w:tc>
          <w:tcPr>
            <w:tcW w:type="dxa" w:w="1584"/>
            <w:tcMar>
              <w:top w:w="80" w:type="dxa"/>
              <w:start w:w="100" w:type="dxa"/>
              <w:bottom w:w="80" w:type="dxa"/>
              <w:end w:w="100" w:type="dxa"/>
            </w:tcMar>
            <w:vAlign w:val="center"/>
          </w:tcPr>
          <w:p>
            <w:pPr>
              <w:spacing w:after="0" w:before="0"/>
            </w:pPr>
            <w:r/>
            <w:r>
              <w:rPr>
                <w:rFonts w:ascii="Aptos" w:hAnsi="Aptos"/>
                <w:sz w:val="18"/>
              </w:rPr>
              <w:t>Yes, preferably independent context/model/run</w:t>
            </w:r>
          </w:p>
        </w:tc>
        <w:tc>
          <w:tcPr>
            <w:tcW w:type="dxa" w:w="4176"/>
            <w:tcMar>
              <w:top w:w="80" w:type="dxa"/>
              <w:start w:w="100" w:type="dxa"/>
              <w:bottom w:w="80" w:type="dxa"/>
              <w:end w:w="100" w:type="dxa"/>
            </w:tcMar>
            <w:vAlign w:val="center"/>
          </w:tcPr>
          <w:p>
            <w:pPr>
              <w:spacing w:after="0" w:before="0"/>
            </w:pPr>
            <w:r/>
            <w:r>
              <w:rPr>
                <w:rFonts w:ascii="Aptos" w:hAnsi="Aptos"/>
                <w:sz w:val="18"/>
              </w:rPr>
              <w:t>Review diff, execute tests, reproduce failures, inspect security/tenant boundaries.</w:t>
            </w:r>
          </w:p>
        </w:tc>
        <w:tc>
          <w:tcPr>
            <w:tcW w:type="dxa" w:w="3168"/>
            <w:tcMar>
              <w:top w:w="80" w:type="dxa"/>
              <w:start w:w="100" w:type="dxa"/>
              <w:bottom w:w="80" w:type="dxa"/>
              <w:end w:w="100" w:type="dxa"/>
            </w:tcMar>
            <w:vAlign w:val="center"/>
          </w:tcPr>
          <w:p>
            <w:pPr>
              <w:spacing w:after="0" w:before="0"/>
            </w:pPr>
            <w:r/>
            <w:r>
              <w:rPr>
                <w:rFonts w:ascii="Aptos" w:hAnsi="Aptos"/>
                <w:sz w:val="18"/>
              </w:rPr>
              <w:t>Cannot accept generated prose as proof of test execution.</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 pipeline</w:t>
            </w:r>
          </w:p>
        </w:tc>
        <w:tc>
          <w:tcPr>
            <w:tcW w:type="dxa" w:w="1584"/>
            <w:tcMar>
              <w:top w:w="80" w:type="dxa"/>
              <w:start w:w="100" w:type="dxa"/>
              <w:bottom w:w="80" w:type="dxa"/>
              <w:end w:w="100" w:type="dxa"/>
            </w:tcMar>
            <w:vAlign w:val="center"/>
          </w:tcPr>
          <w:p>
            <w:pPr>
              <w:spacing w:after="0" w:before="0"/>
            </w:pPr>
            <w:r/>
            <w:r>
              <w:rPr>
                <w:rFonts w:ascii="Aptos" w:hAnsi="Aptos"/>
                <w:sz w:val="18"/>
              </w:rPr>
              <w:t>Automation</w:t>
            </w:r>
          </w:p>
        </w:tc>
        <w:tc>
          <w:tcPr>
            <w:tcW w:type="dxa" w:w="4176"/>
            <w:tcMar>
              <w:top w:w="80" w:type="dxa"/>
              <w:start w:w="100" w:type="dxa"/>
              <w:bottom w:w="80" w:type="dxa"/>
              <w:end w:w="100" w:type="dxa"/>
            </w:tcMar>
            <w:vAlign w:val="center"/>
          </w:tcPr>
          <w:p>
            <w:pPr>
              <w:spacing w:after="0" w:before="0"/>
            </w:pPr>
            <w:r/>
            <w:r>
              <w:rPr>
                <w:rFonts w:ascii="Aptos" w:hAnsi="Aptos"/>
                <w:sz w:val="18"/>
              </w:rPr>
              <w:t>Enforce build/test/security/policy gates and produce immutable evidence.</w:t>
            </w:r>
          </w:p>
        </w:tc>
        <w:tc>
          <w:tcPr>
            <w:tcW w:type="dxa" w:w="3168"/>
            <w:tcMar>
              <w:top w:w="80" w:type="dxa"/>
              <w:start w:w="100" w:type="dxa"/>
              <w:bottom w:w="80" w:type="dxa"/>
              <w:end w:w="100" w:type="dxa"/>
            </w:tcMar>
            <w:vAlign w:val="center"/>
          </w:tcPr>
          <w:p>
            <w:pPr>
              <w:spacing w:after="0" w:before="0"/>
            </w:pPr>
            <w:r/>
            <w:r>
              <w:rPr>
                <w:rFonts w:ascii="Aptos" w:hAnsi="Aptos"/>
                <w:sz w:val="18"/>
              </w:rPr>
              <w:t>Cannot waive a failed mandatory gate silently.</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Authorized reviewer</w:t>
            </w:r>
          </w:p>
        </w:tc>
        <w:tc>
          <w:tcPr>
            <w:tcW w:type="dxa" w:w="1584"/>
            <w:tcMar>
              <w:top w:w="80" w:type="dxa"/>
              <w:start w:w="100" w:type="dxa"/>
              <w:bottom w:w="80" w:type="dxa"/>
              <w:end w:w="100" w:type="dxa"/>
            </w:tcMar>
            <w:vAlign w:val="center"/>
          </w:tcPr>
          <w:p>
            <w:pPr>
              <w:spacing w:after="0" w:before="0"/>
            </w:pPr>
            <w:r/>
            <w:r>
              <w:rPr>
                <w:rFonts w:ascii="Aptos" w:hAnsi="Aptos"/>
                <w:sz w:val="18"/>
              </w:rPr>
              <w:t>Human accountable role</w:t>
            </w:r>
          </w:p>
        </w:tc>
        <w:tc>
          <w:tcPr>
            <w:tcW w:type="dxa" w:w="4176"/>
            <w:tcMar>
              <w:top w:w="80" w:type="dxa"/>
              <w:start w:w="100" w:type="dxa"/>
              <w:bottom w:w="80" w:type="dxa"/>
              <w:end w:w="100" w:type="dxa"/>
            </w:tcMar>
            <w:vAlign w:val="center"/>
          </w:tcPr>
          <w:p>
            <w:pPr>
              <w:spacing w:after="0" w:before="0"/>
            </w:pPr>
            <w:r/>
            <w:r>
              <w:rPr>
                <w:rFonts w:ascii="Aptos" w:hAnsi="Aptos"/>
                <w:sz w:val="18"/>
              </w:rPr>
              <w:t>Approve architecture/security exceptions, ADRs and final release certification.</w:t>
            </w:r>
          </w:p>
        </w:tc>
        <w:tc>
          <w:tcPr>
            <w:tcW w:type="dxa" w:w="3168"/>
            <w:tcMar>
              <w:top w:w="80" w:type="dxa"/>
              <w:start w:w="100" w:type="dxa"/>
              <w:bottom w:w="80" w:type="dxa"/>
              <w:end w:w="100" w:type="dxa"/>
            </w:tcMar>
            <w:vAlign w:val="center"/>
          </w:tcPr>
          <w:p>
            <w:pPr>
              <w:spacing w:after="0" w:before="0"/>
            </w:pPr>
            <w:r/>
            <w:r>
              <w:rPr>
                <w:rFonts w:ascii="Aptos" w:hAnsi="Aptos"/>
                <w:sz w:val="18"/>
              </w:rPr>
              <w:t>Cannot approve without evidence references or documented exception.</w:t>
            </w:r>
          </w:p>
        </w:tc>
      </w:tr>
    </w:tbl>
    <w:p>
      <w:pPr>
        <w:spacing w:after="40"/>
      </w:pPr>
    </w:p>
    <w:p>
      <w:pPr>
        <w:pStyle w:val="Heading2"/>
        <w:keepNext/>
      </w:pPr>
      <w:r>
        <w:t>9.3 AI-agent repository integration</w:t>
      </w:r>
    </w:p>
    <w:p>
      <w:pPr>
        <w:spacing w:after="100"/>
      </w:pPr>
      <w:r>
        <w:t>The repository must be tool-neutral at its core. AGENTS.md and the Architecture Constitution carry common rules; tool-specific instruction surfaces mirror those rules without changing acceptance criteria.</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7"/>
              </w:rPr>
              <w:t>Agent</w:t>
            </w:r>
          </w:p>
        </w:tc>
        <w:tc>
          <w:tcPr>
            <w:tcW w:type="dxa" w:w="3312"/>
            <w:tcMar>
              <w:top w:w="80" w:type="dxa"/>
              <w:start w:w="100" w:type="dxa"/>
              <w:bottom w:w="80" w:type="dxa"/>
              <w:end w:w="100" w:type="dxa"/>
            </w:tcMar>
            <w:vAlign w:val="center"/>
            <w:shd w:fill="1F4E78"/>
          </w:tcPr>
          <w:p>
            <w:pPr>
              <w:spacing w:after="0" w:before="0"/>
            </w:pPr>
            <w:r/>
            <w:r>
              <w:rPr>
                <w:rFonts w:ascii="Aptos" w:hAnsi="Aptos"/>
                <w:b/>
                <w:color w:val="FFFFFF"/>
                <w:sz w:val="17"/>
              </w:rPr>
              <w:t>Repository guidance</w:t>
            </w:r>
          </w:p>
        </w:tc>
        <w:tc>
          <w:tcPr>
            <w:tcW w:type="dxa" w:w="3168"/>
            <w:tcMar>
              <w:top w:w="80" w:type="dxa"/>
              <w:start w:w="100" w:type="dxa"/>
              <w:bottom w:w="80" w:type="dxa"/>
              <w:end w:w="100" w:type="dxa"/>
            </w:tcMar>
            <w:vAlign w:val="center"/>
            <w:shd w:fill="1F4E78"/>
          </w:tcPr>
          <w:p>
            <w:pPr>
              <w:spacing w:after="0" w:before="0"/>
            </w:pPr>
            <w:r/>
            <w:r>
              <w:rPr>
                <w:rFonts w:ascii="Aptos" w:hAnsi="Aptos"/>
                <w:b/>
                <w:color w:val="FFFFFF"/>
                <w:sz w:val="17"/>
              </w:rPr>
              <w:t>Deterministic enforcement</w:t>
            </w:r>
          </w:p>
        </w:tc>
        <w:tc>
          <w:tcPr>
            <w:tcW w:type="dxa" w:w="2736"/>
            <w:tcMar>
              <w:top w:w="80" w:type="dxa"/>
              <w:start w:w="100" w:type="dxa"/>
              <w:bottom w:w="80" w:type="dxa"/>
              <w:end w:w="100" w:type="dxa"/>
            </w:tcMar>
            <w:vAlign w:val="center"/>
            <w:shd w:fill="1F4E78"/>
          </w:tcPr>
          <w:p>
            <w:pPr>
              <w:spacing w:after="0" w:before="0"/>
            </w:pPr>
            <w:r/>
            <w:r>
              <w:rPr>
                <w:rFonts w:ascii="Aptos" w:hAnsi="Aptos"/>
                <w:b/>
                <w:color w:val="FFFFFF"/>
                <w:sz w:val="17"/>
              </w:rPr>
              <w:t>Certification behavior</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Cursor</w:t>
            </w:r>
          </w:p>
        </w:tc>
        <w:tc>
          <w:tcPr>
            <w:tcW w:type="dxa" w:w="3312"/>
            <w:tcMar>
              <w:top w:w="80" w:type="dxa"/>
              <w:start w:w="100" w:type="dxa"/>
              <w:bottom w:w="80" w:type="dxa"/>
              <w:end w:w="100" w:type="dxa"/>
            </w:tcMar>
            <w:vAlign w:val="center"/>
          </w:tcPr>
          <w:p>
            <w:pPr>
              <w:spacing w:after="0" w:before="0"/>
            </w:pPr>
            <w:r/>
            <w:r>
              <w:rPr>
                <w:rFonts w:ascii="Aptos" w:hAnsi="Aptos"/>
                <w:sz w:val="17"/>
              </w:rPr>
              <w:t>AGENTS.md + .cursor/rules/*.mdc for architecture, API, database, testing and path-scoped rules.</w:t>
            </w:r>
          </w:p>
        </w:tc>
        <w:tc>
          <w:tcPr>
            <w:tcW w:type="dxa" w:w="3168"/>
            <w:tcMar>
              <w:top w:w="80" w:type="dxa"/>
              <w:start w:w="100" w:type="dxa"/>
              <w:bottom w:w="80" w:type="dxa"/>
              <w:end w:w="100" w:type="dxa"/>
            </w:tcMar>
            <w:vAlign w:val="center"/>
          </w:tcPr>
          <w:p>
            <w:pPr>
              <w:spacing w:after="0" w:before="0"/>
            </w:pPr>
            <w:r/>
            <w:r>
              <w:rPr>
                <w:rFonts w:ascii="Aptos" w:hAnsi="Aptos"/>
                <w:sz w:val="17"/>
              </w:rPr>
              <w:t>CI hooks/scripts and protected branch rules, not prompt text alone.</w:t>
            </w:r>
          </w:p>
        </w:tc>
        <w:tc>
          <w:tcPr>
            <w:tcW w:type="dxa" w:w="2736"/>
            <w:tcMar>
              <w:top w:w="80" w:type="dxa"/>
              <w:start w:w="100" w:type="dxa"/>
              <w:bottom w:w="80" w:type="dxa"/>
              <w:end w:w="100" w:type="dxa"/>
            </w:tcMar>
            <w:vAlign w:val="center"/>
          </w:tcPr>
          <w:p>
            <w:pPr>
              <w:spacing w:after="0" w:before="0"/>
            </w:pPr>
            <w:r/>
            <w:r>
              <w:rPr>
                <w:rFonts w:ascii="Aptos" w:hAnsi="Aptos"/>
                <w:sz w:val="17"/>
              </w:rPr>
              <w:t>Cursor may implement/review, but certification is based on executed CI evidence.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GitHub Copilot</w:t>
            </w:r>
          </w:p>
        </w:tc>
        <w:tc>
          <w:tcPr>
            <w:tcW w:type="dxa" w:w="3312"/>
            <w:tcMar>
              <w:top w:w="80" w:type="dxa"/>
              <w:start w:w="100" w:type="dxa"/>
              <w:bottom w:w="80" w:type="dxa"/>
              <w:end w:w="100" w:type="dxa"/>
            </w:tcMar>
            <w:vAlign w:val="center"/>
          </w:tcPr>
          <w:p>
            <w:pPr>
              <w:spacing w:after="0" w:before="0"/>
            </w:pPr>
            <w:r/>
            <w:r>
              <w:rPr>
                <w:rFonts w:ascii="Aptos" w:hAnsi="Aptos"/>
                <w:sz w:val="17"/>
              </w:rPr>
              <w:t>AGENTS.md + .github/copilot-instructions.md + path-specific .github/instructions/*.instructions.md where useful.</w:t>
            </w:r>
          </w:p>
        </w:tc>
        <w:tc>
          <w:tcPr>
            <w:tcW w:type="dxa" w:w="3168"/>
            <w:tcMar>
              <w:top w:w="80" w:type="dxa"/>
              <w:start w:w="100" w:type="dxa"/>
              <w:bottom w:w="80" w:type="dxa"/>
              <w:end w:w="100" w:type="dxa"/>
            </w:tcMar>
            <w:vAlign w:val="center"/>
          </w:tcPr>
          <w:p>
            <w:pPr>
              <w:spacing w:after="0" w:before="0"/>
            </w:pPr>
            <w:r/>
            <w:r>
              <w:rPr>
                <w:rFonts w:ascii="Aptos" w:hAnsi="Aptos"/>
                <w:sz w:val="17"/>
              </w:rPr>
              <w:t>GitHub branch protection, required checks, CI/security workflows.</w:t>
            </w:r>
          </w:p>
        </w:tc>
        <w:tc>
          <w:tcPr>
            <w:tcW w:type="dxa" w:w="2736"/>
            <w:tcMar>
              <w:top w:w="80" w:type="dxa"/>
              <w:start w:w="100" w:type="dxa"/>
              <w:bottom w:w="80" w:type="dxa"/>
              <w:end w:w="100" w:type="dxa"/>
            </w:tcMar>
            <w:vAlign w:val="center"/>
          </w:tcPr>
          <w:p>
            <w:pPr>
              <w:spacing w:after="0" w:before="0"/>
            </w:pPr>
            <w:r/>
            <w:r>
              <w:rPr>
                <w:rFonts w:ascii="Aptos" w:hAnsi="Aptos"/>
                <w:sz w:val="17"/>
              </w:rPr>
              <w:t>Copilot PR or review output is advisory until required checks pass.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Claude Code</w:t>
            </w:r>
          </w:p>
        </w:tc>
        <w:tc>
          <w:tcPr>
            <w:tcW w:type="dxa" w:w="3312"/>
            <w:tcMar>
              <w:top w:w="80" w:type="dxa"/>
              <w:start w:w="100" w:type="dxa"/>
              <w:bottom w:w="80" w:type="dxa"/>
              <w:end w:w="100" w:type="dxa"/>
            </w:tcMar>
            <w:vAlign w:val="center"/>
          </w:tcPr>
          <w:p>
            <w:pPr>
              <w:spacing w:after="0" w:before="0"/>
            </w:pPr>
            <w:r/>
            <w:r>
              <w:rPr>
                <w:rFonts w:ascii="Aptos" w:hAnsi="Aptos"/>
                <w:sz w:val="17"/>
              </w:rPr>
              <w:t>CLAUDE.md for always-on project instructions; .claude/rules/ / skills for scoped guidance; hooks for deterministic guardrails.</w:t>
            </w:r>
          </w:p>
        </w:tc>
        <w:tc>
          <w:tcPr>
            <w:tcW w:type="dxa" w:w="3168"/>
            <w:tcMar>
              <w:top w:w="80" w:type="dxa"/>
              <w:start w:w="100" w:type="dxa"/>
              <w:bottom w:w="80" w:type="dxa"/>
              <w:end w:w="100" w:type="dxa"/>
            </w:tcMar>
            <w:vAlign w:val="center"/>
          </w:tcPr>
          <w:p>
            <w:pPr>
              <w:spacing w:after="0" w:before="0"/>
            </w:pPr>
            <w:r/>
            <w:r>
              <w:rPr>
                <w:rFonts w:ascii="Aptos" w:hAnsi="Aptos"/>
                <w:sz w:val="17"/>
              </w:rPr>
              <w:t>Pre/post-tool hooks plus the same CI/security gates used by all agents.</w:t>
            </w:r>
          </w:p>
        </w:tc>
        <w:tc>
          <w:tcPr>
            <w:tcW w:type="dxa" w:w="2736"/>
            <w:tcMar>
              <w:top w:w="80" w:type="dxa"/>
              <w:start w:w="100" w:type="dxa"/>
              <w:bottom w:w="80" w:type="dxa"/>
              <w:end w:w="100" w:type="dxa"/>
            </w:tcMar>
            <w:vAlign w:val="center"/>
          </w:tcPr>
          <w:p>
            <w:pPr>
              <w:spacing w:after="0" w:before="0"/>
            </w:pPr>
            <w:r/>
            <w:r>
              <w:rPr>
                <w:rFonts w:ascii="Aptos" w:hAnsi="Aptos"/>
                <w:sz w:val="17"/>
              </w:rPr>
              <w:t>Claude may produce plans/code/reviews but cannot mark a test VERIFIED without executed evidence.</w:t>
            </w:r>
          </w:p>
        </w:tc>
      </w:tr>
    </w:tbl>
    <w:p>
      <w:pPr>
        <w:spacing w:after="40"/>
      </w:pPr>
    </w:p>
    <w:p>
      <w:pPr>
        <w:spacing w:after="100"/>
      </w:pPr>
      <w:r>
        <w:t>Tool integration anchors were verified against current official documentation in October 2026. These file conventions are operational guidance, not product architecture; if a vendor changes them, update the repository adapter without changing ServiceForm certification gates.</w:t>
      </w:r>
    </w:p>
    <w:p>
      <w:pPr>
        <w:pStyle w:val="Heading2"/>
        <w:keepNext/>
      </w:pPr>
      <w:r>
        <w:t>9.4 Required AI provenance record</w:t>
      </w:r>
    </w:p>
    <w:tbl>
      <w:tblPr>
        <w:tblW w:type="auto" w:w="0"/>
        <w:jc w:val="center"/>
        <w:tblLook w:firstColumn="1" w:firstRow="1" w:lastColumn="0" w:lastRow="0" w:noHBand="0" w:noVBand="1" w:val="04A0"/>
      </w:tblPr>
      <w:tblGrid>
        <w:gridCol w:w="10166"/>
      </w:tblGrid>
      <w:tr>
        <w:tc>
          <w:tcPr>
            <w:tcW w:type="dxa" w:w="10166"/>
            <w:shd w:fill="F3F4F6"/>
            <w:tcMar>
              <w:top w:w="100" w:type="dxa"/>
              <w:start w:w="120" w:type="dxa"/>
              <w:bottom w:w="100" w:type="dxa"/>
              <w:end w:w="120" w:type="dxa"/>
            </w:tcMar>
          </w:tcPr>
          <w:p>
            <w:pPr>
              <w:spacing w:after="0"/>
            </w:pPr>
            <w:r>
              <w:rPr>
                <w:rFonts w:ascii="Consolas" w:hAnsi="Consolas"/>
                <w:color w:val="1F2937"/>
                <w:sz w:val="17"/>
              </w:rPr>
              <w:t>ai_work_record:</w:t>
              <w:br/>
              <w:t xml:space="preserve">  work_id: SF-AI-&lt;uuid&gt;</w:t>
              <w:br/>
              <w:t xml:space="preserve">  requirement_ids: [REQ-...]</w:t>
              <w:br/>
              <w:t xml:space="preserve">  component_ids: [CMP-...]</w:t>
              <w:br/>
              <w:t xml:space="preserve">  integration_ids: [INT-...]</w:t>
              <w:br/>
              <w:t xml:space="preserve">  agent: cursor|copilot|claude|other</w:t>
              <w:br/>
              <w:t xml:space="preserve">  model_identifier: &lt;recorded by tool/pipeline&gt;</w:t>
              <w:br/>
              <w:t xml:space="preserve">  task_prompt_ref: &lt;immutable prompt/task file or issue&gt;</w:t>
              <w:br/>
              <w:t xml:space="preserve">  base_commit: &lt;sha&gt;</w:t>
              <w:br/>
              <w:t xml:space="preserve">  result_commit: &lt;sha&gt;</w:t>
              <w:br/>
              <w:t xml:space="preserve">  files_changed: [...]</w:t>
              <w:br/>
              <w:t xml:space="preserve">  adr_refs: [...]</w:t>
              <w:br/>
              <w:t xml:space="preserve">  tests_added: [...]</w:t>
              <w:br/>
              <w:t xml:space="preserve">  test_run_ids: [...]</w:t>
              <w:br/>
              <w:t xml:space="preserve">  security_run_ids: [...]</w:t>
              <w:br/>
              <w:t xml:space="preserve">  reviewer: &lt;identity&gt;</w:t>
              <w:br/>
              <w:t xml:space="preserve">  certification_status: G0..G6</w:t>
              <w:br/>
            </w:r>
          </w:p>
        </w:tc>
      </w:tr>
    </w:tbl>
    <w:p>
      <w:pPr>
        <w:spacing w:after="40"/>
      </w:pPr>
    </w:p>
    <w:p>
      <w:pPr>
        <w:pStyle w:val="Heading2"/>
        <w:keepNext/>
      </w:pPr>
      <w:r>
        <w:t>9.5 AI stop conditions</w:t>
      </w:r>
    </w:p>
    <w:p>
      <w:pPr>
        <w:pStyle w:val="ListBullet"/>
        <w:spacing w:after="40"/>
      </w:pPr>
      <w:r>
        <w:t>A requirement conflicts with an accepted ADR, architecture invariant, tenant boundary or data-ownership rule.</w:t>
      </w:r>
    </w:p>
    <w:p>
      <w:pPr>
        <w:pStyle w:val="ListBullet"/>
        <w:spacing w:after="40"/>
      </w:pPr>
      <w:r>
        <w:t>A new database, queue, identity mechanism, external provider, infrastructure service or cross-service table access is proposed.</w:t>
      </w:r>
    </w:p>
    <w:p>
      <w:pPr>
        <w:pStyle w:val="ListBullet"/>
        <w:spacing w:after="40"/>
      </w:pPr>
      <w:r>
        <w:t>A statutory rule, retention rule, fee rule, SLA anchor, withdrawal/cancellation behavior or authority scope is ambiguous.</w:t>
      </w:r>
    </w:p>
    <w:p>
      <w:pPr>
        <w:pStyle w:val="ListBullet"/>
        <w:spacing w:after="40"/>
      </w:pPr>
      <w:r>
        <w:t>A breaking API/event/schema change is required.</w:t>
      </w:r>
    </w:p>
    <w:p>
      <w:pPr>
        <w:pStyle w:val="ListBullet"/>
        <w:spacing w:after="40"/>
      </w:pPr>
      <w:r>
        <w:t>The implementation would weaken RLS, OPA, audit, encryption, privacy, maker-checker or evidence traceability.</w:t>
      </w:r>
    </w:p>
    <w:p>
      <w:pPr>
        <w:pStyle w:val="ListBullet"/>
        <w:spacing w:after="40"/>
      </w:pPr>
      <w:r>
        <w:t>A service-specific code branch is being introduced where metadata/configuration should suffice.</w:t>
      </w:r>
    </w:p>
    <w:p>
      <w:pPr>
        <w:pStyle w:val="ListBullet"/>
        <w:spacing w:after="40"/>
      </w:pPr>
      <w:r>
        <w:t>The agent cannot reproduce a failing test or lacks required runtime/provider access. It must report UNVERIFIED rather than infer success.</w:t>
      </w:r>
    </w:p>
    <w:p>
      <w:pPr>
        <w:pStyle w:val="Heading1"/>
        <w:keepNext/>
      </w:pPr>
      <w:r>
        <w:t>10. External Dependency Simulation &amp; Non-Blocking Development</w:t>
      </w:r>
    </w:p>
    <w:p>
      <w:pPr>
        <w:spacing w:after="100"/>
      </w:pPr>
      <w:r>
        <w:t>External-provider availability must never block local development, CI, deterministic E2E testing or performance testing. The platform therefore standardizes provider-adapter modes. A simulator replaces the external endpoint, never the ServiceForm domain logic that consumes the provider result.</w:t>
      </w:r>
    </w:p>
    <w:p>
      <w:pPr>
        <w:pStyle w:val="Heading2"/>
        <w:keepNext/>
      </w:pPr>
      <w:r>
        <w:t>10.1 Provider modes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Mode</w:t>
            </w:r>
          </w:p>
        </w:tc>
        <w:tc>
          <w:tcPr>
            <w:tcW w:type="dxa" w:w="3600"/>
            <w:tcMar>
              <w:top w:w="80" w:type="dxa"/>
              <w:start w:w="100" w:type="dxa"/>
              <w:bottom w:w="80" w:type="dxa"/>
              <w:end w:w="100" w:type="dxa"/>
            </w:tcMar>
            <w:vAlign w:val="center"/>
            <w:shd w:fill="1F4E78"/>
          </w:tcPr>
          <w:p>
            <w:pPr>
              <w:spacing w:after="0" w:before="0"/>
            </w:pPr>
            <w:r/>
            <w:r>
              <w:rPr>
                <w:rFonts w:ascii="Aptos" w:hAnsi="Aptos"/>
                <w:b/>
                <w:color w:val="FFFFFF"/>
                <w:sz w:val="18"/>
              </w:rPr>
              <w:t>Meaning</w:t>
            </w:r>
          </w:p>
        </w:tc>
        <w:tc>
          <w:tcPr>
            <w:tcW w:type="dxa" w:w="2880"/>
            <w:tcMar>
              <w:top w:w="80" w:type="dxa"/>
              <w:start w:w="100" w:type="dxa"/>
              <w:bottom w:w="80" w:type="dxa"/>
              <w:end w:w="100" w:type="dxa"/>
            </w:tcMar>
            <w:vAlign w:val="center"/>
            <w:shd w:fill="1F4E78"/>
          </w:tcPr>
          <w:p>
            <w:pPr>
              <w:spacing w:after="0" w:before="0"/>
            </w:pPr>
            <w:r/>
            <w:r>
              <w:rPr>
                <w:rFonts w:ascii="Aptos" w:hAnsi="Aptos"/>
                <w:b/>
                <w:color w:val="FFFFFF"/>
                <w:sz w:val="18"/>
              </w:rPr>
              <w:t>Allowed environments</w:t>
            </w:r>
          </w:p>
        </w:tc>
        <w:tc>
          <w:tcPr>
            <w:tcW w:type="dxa" w:w="2880"/>
            <w:tcMar>
              <w:top w:w="80" w:type="dxa"/>
              <w:start w:w="100" w:type="dxa"/>
              <w:bottom w:w="80" w:type="dxa"/>
              <w:end w:w="100" w:type="dxa"/>
            </w:tcMar>
            <w:vAlign w:val="center"/>
            <w:shd w:fill="1F4E78"/>
          </w:tcPr>
          <w:p>
            <w:pPr>
              <w:spacing w:after="0" w:before="0"/>
            </w:pPr>
            <w:r/>
            <w:r>
              <w:rPr>
                <w:rFonts w:ascii="Aptos" w:hAnsi="Aptos"/>
                <w:b/>
                <w:color w:val="FFFFFF"/>
                <w:sz w:val="18"/>
              </w:rPr>
              <w:t>Key rule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REAL</w:t>
            </w:r>
          </w:p>
        </w:tc>
        <w:tc>
          <w:tcPr>
            <w:tcW w:type="dxa" w:w="3600"/>
            <w:tcMar>
              <w:top w:w="80" w:type="dxa"/>
              <w:start w:w="100" w:type="dxa"/>
              <w:bottom w:w="80" w:type="dxa"/>
              <w:end w:w="100" w:type="dxa"/>
            </w:tcMar>
            <w:vAlign w:val="center"/>
          </w:tcPr>
          <w:p>
            <w:pPr>
              <w:spacing w:after="0" w:before="0"/>
            </w:pPr>
            <w:r/>
            <w:r>
              <w:rPr>
                <w:rFonts w:ascii="Aptos" w:hAnsi="Aptos"/>
                <w:sz w:val="18"/>
              </w:rPr>
              <w:t>Real production/non-production provider endpoint and credentials.</w:t>
            </w:r>
          </w:p>
        </w:tc>
        <w:tc>
          <w:tcPr>
            <w:tcW w:type="dxa" w:w="2880"/>
            <w:tcMar>
              <w:top w:w="80" w:type="dxa"/>
              <w:start w:w="100" w:type="dxa"/>
              <w:bottom w:w="80" w:type="dxa"/>
              <w:end w:w="100" w:type="dxa"/>
            </w:tcMar>
            <w:vAlign w:val="center"/>
          </w:tcPr>
          <w:p>
            <w:pPr>
              <w:spacing w:after="0" w:before="0"/>
            </w:pPr>
            <w:r/>
            <w:r>
              <w:rPr>
                <w:rFonts w:ascii="Aptos" w:hAnsi="Aptos"/>
                <w:sz w:val="18"/>
              </w:rPr>
              <w:t>Pre-prod/prod as approved; selected dev/SIT integration tests.</w:t>
            </w:r>
          </w:p>
        </w:tc>
        <w:tc>
          <w:tcPr>
            <w:tcW w:type="dxa" w:w="2880"/>
            <w:tcMar>
              <w:top w:w="80" w:type="dxa"/>
              <w:start w:w="100" w:type="dxa"/>
              <w:bottom w:w="80" w:type="dxa"/>
              <w:end w:w="100" w:type="dxa"/>
            </w:tcMar>
            <w:vAlign w:val="center"/>
          </w:tcPr>
          <w:p>
            <w:pPr>
              <w:spacing w:after="0" w:before="0"/>
            </w:pPr>
            <w:r/>
            <w:r>
              <w:rPr>
                <w:rFonts w:ascii="Aptos" w:hAnsi="Aptos"/>
                <w:sz w:val="18"/>
              </w:rPr>
              <w:t>Uses real adapter and provider contract.</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SANDBOX</w:t>
            </w:r>
          </w:p>
        </w:tc>
        <w:tc>
          <w:tcPr>
            <w:tcW w:type="dxa" w:w="3600"/>
            <w:tcMar>
              <w:top w:w="80" w:type="dxa"/>
              <w:start w:w="100" w:type="dxa"/>
              <w:bottom w:w="80" w:type="dxa"/>
              <w:end w:w="100" w:type="dxa"/>
            </w:tcMar>
            <w:vAlign w:val="center"/>
          </w:tcPr>
          <w:p>
            <w:pPr>
              <w:spacing w:after="0" w:before="0"/>
            </w:pPr>
            <w:r/>
            <w:r>
              <w:rPr>
                <w:rFonts w:ascii="Aptos" w:hAnsi="Aptos"/>
                <w:sz w:val="18"/>
              </w:rPr>
              <w:t>Provider-owned non-production endpoint.</w:t>
            </w:r>
          </w:p>
        </w:tc>
        <w:tc>
          <w:tcPr>
            <w:tcW w:type="dxa" w:w="2880"/>
            <w:tcMar>
              <w:top w:w="80" w:type="dxa"/>
              <w:start w:w="100" w:type="dxa"/>
              <w:bottom w:w="80" w:type="dxa"/>
              <w:end w:w="100" w:type="dxa"/>
            </w:tcMar>
            <w:vAlign w:val="center"/>
          </w:tcPr>
          <w:p>
            <w:pPr>
              <w:spacing w:after="0" w:before="0"/>
            </w:pPr>
            <w:r/>
            <w:r>
              <w:rPr>
                <w:rFonts w:ascii="Aptos" w:hAnsi="Aptos"/>
                <w:sz w:val="18"/>
              </w:rPr>
              <w:t>Dev, SIT, UAT, pre-prod.</w:t>
            </w:r>
          </w:p>
        </w:tc>
        <w:tc>
          <w:tcPr>
            <w:tcW w:type="dxa" w:w="2880"/>
            <w:tcMar>
              <w:top w:w="80" w:type="dxa"/>
              <w:start w:w="100" w:type="dxa"/>
              <w:bottom w:w="80" w:type="dxa"/>
              <w:end w:w="100" w:type="dxa"/>
            </w:tcMar>
            <w:vAlign w:val="center"/>
          </w:tcPr>
          <w:p>
            <w:pPr>
              <w:spacing w:after="0" w:before="0"/>
            </w:pPr>
            <w:r/>
            <w:r>
              <w:rPr>
                <w:rFonts w:ascii="Aptos" w:hAnsi="Aptos"/>
                <w:sz w:val="18"/>
              </w:rPr>
              <w:t>Exercises provider contract without real financial/legal effect.</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SIMULATED</w:t>
            </w:r>
          </w:p>
        </w:tc>
        <w:tc>
          <w:tcPr>
            <w:tcW w:type="dxa" w:w="3600"/>
            <w:tcMar>
              <w:top w:w="80" w:type="dxa"/>
              <w:start w:w="100" w:type="dxa"/>
              <w:bottom w:w="80" w:type="dxa"/>
              <w:end w:w="100" w:type="dxa"/>
            </w:tcMar>
            <w:vAlign w:val="center"/>
          </w:tcPr>
          <w:p>
            <w:pPr>
              <w:spacing w:after="0" w:before="0"/>
            </w:pPr>
            <w:r/>
            <w:r>
              <w:rPr>
                <w:rFonts w:ascii="Aptos" w:hAnsi="Aptos"/>
                <w:sz w:val="18"/>
              </w:rPr>
              <w:t>ServiceForm deterministic simulator implementing the same adapter contract.</w:t>
            </w:r>
          </w:p>
        </w:tc>
        <w:tc>
          <w:tcPr>
            <w:tcW w:type="dxa" w:w="2880"/>
            <w:tcMar>
              <w:top w:w="80" w:type="dxa"/>
              <w:start w:w="100" w:type="dxa"/>
              <w:bottom w:w="80" w:type="dxa"/>
              <w:end w:w="100" w:type="dxa"/>
            </w:tcMar>
            <w:vAlign w:val="center"/>
          </w:tcPr>
          <w:p>
            <w:pPr>
              <w:spacing w:after="0" w:before="0"/>
            </w:pPr>
            <w:r/>
            <w:r>
              <w:rPr>
                <w:rFonts w:ascii="Aptos" w:hAnsi="Aptos"/>
                <w:sz w:val="18"/>
              </w:rPr>
              <w:t>Local, CI, dev, performance; selectively SIT.</w:t>
            </w:r>
          </w:p>
        </w:tc>
        <w:tc>
          <w:tcPr>
            <w:tcW w:type="dxa" w:w="2880"/>
            <w:tcMar>
              <w:top w:w="80" w:type="dxa"/>
              <w:start w:w="100" w:type="dxa"/>
              <w:bottom w:w="80" w:type="dxa"/>
              <w:end w:w="100" w:type="dxa"/>
            </w:tcMar>
            <w:vAlign w:val="center"/>
          </w:tcPr>
          <w:p>
            <w:pPr>
              <w:spacing w:after="0" w:before="0"/>
            </w:pPr>
            <w:r/>
            <w:r>
              <w:rPr>
                <w:rFonts w:ascii="Aptos" w:hAnsi="Aptos"/>
                <w:sz w:val="18"/>
              </w:rPr>
              <w:t>Must traverse the same ServiceForm API/event/callback/state-machine path.</w:t>
            </w:r>
          </w:p>
        </w:tc>
      </w:tr>
    </w:tbl>
    <w:p>
      <w:pPr>
        <w:spacing w:after="40"/>
      </w:pPr>
    </w:p>
    <w:p>
      <w:pPr>
        <w:pStyle w:val="Heading2"/>
        <w:keepNext/>
      </w:pPr>
      <w:r>
        <w:t>10.2 Environment enforcement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Environment</w:t>
            </w:r>
          </w:p>
        </w:tc>
        <w:tc>
          <w:tcPr>
            <w:tcW w:type="dxa" w:w="1944"/>
            <w:tcMar>
              <w:top w:w="80" w:type="dxa"/>
              <w:start w:w="100" w:type="dxa"/>
              <w:bottom w:w="80" w:type="dxa"/>
              <w:end w:w="100" w:type="dxa"/>
            </w:tcMar>
            <w:vAlign w:val="center"/>
            <w:shd w:fill="1F4E78"/>
          </w:tcPr>
          <w:p>
            <w:pPr>
              <w:spacing w:after="0" w:before="0"/>
            </w:pPr>
            <w:r/>
            <w:r>
              <w:rPr>
                <w:rFonts w:ascii="Aptos" w:hAnsi="Aptos"/>
                <w:b/>
                <w:color w:val="FFFFFF"/>
                <w:sz w:val="17"/>
              </w:rPr>
              <w:t>Payment</w:t>
            </w:r>
          </w:p>
        </w:tc>
        <w:tc>
          <w:tcPr>
            <w:tcW w:type="dxa" w:w="1944"/>
            <w:tcMar>
              <w:top w:w="80" w:type="dxa"/>
              <w:start w:w="100" w:type="dxa"/>
              <w:bottom w:w="80" w:type="dxa"/>
              <w:end w:w="100" w:type="dxa"/>
            </w:tcMar>
            <w:vAlign w:val="center"/>
            <w:shd w:fill="1F4E78"/>
          </w:tcPr>
          <w:p>
            <w:pPr>
              <w:spacing w:after="0" w:before="0"/>
            </w:pPr>
            <w:r/>
            <w:r>
              <w:rPr>
                <w:rFonts w:ascii="Aptos" w:hAnsi="Aptos"/>
                <w:b/>
                <w:color w:val="FFFFFF"/>
                <w:sz w:val="17"/>
              </w:rPr>
              <w:t>Citizen OTP</w:t>
            </w:r>
          </w:p>
        </w:tc>
        <w:tc>
          <w:tcPr>
            <w:tcW w:type="dxa" w:w="1944"/>
            <w:tcMar>
              <w:top w:w="80" w:type="dxa"/>
              <w:start w:w="100" w:type="dxa"/>
              <w:bottom w:w="80" w:type="dxa"/>
              <w:end w:w="100" w:type="dxa"/>
            </w:tcMar>
            <w:vAlign w:val="center"/>
            <w:shd w:fill="1F4E78"/>
          </w:tcPr>
          <w:p>
            <w:pPr>
              <w:spacing w:after="0" w:before="0"/>
            </w:pPr>
            <w:r/>
            <w:r>
              <w:rPr>
                <w:rFonts w:ascii="Aptos" w:hAnsi="Aptos"/>
                <w:b/>
                <w:color w:val="FFFFFF"/>
                <w:sz w:val="17"/>
              </w:rPr>
              <w:t>SMS/Email</w:t>
            </w:r>
          </w:p>
        </w:tc>
        <w:tc>
          <w:tcPr>
            <w:tcW w:type="dxa" w:w="3312"/>
            <w:tcMar>
              <w:top w:w="80" w:type="dxa"/>
              <w:start w:w="100" w:type="dxa"/>
              <w:bottom w:w="80" w:type="dxa"/>
              <w:end w:w="100" w:type="dxa"/>
            </w:tcMar>
            <w:vAlign w:val="center"/>
            <w:shd w:fill="1F4E78"/>
          </w:tcPr>
          <w:p>
            <w:pPr>
              <w:spacing w:after="0" w:before="0"/>
            </w:pPr>
            <w:r/>
            <w:r>
              <w:rPr>
                <w:rFonts w:ascii="Aptos" w:hAnsi="Aptos"/>
                <w:b/>
                <w:color w:val="FFFFFF"/>
                <w:sz w:val="17"/>
              </w:rPr>
              <w:t>DigiLocker/eSign/Department APIs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Local</w:t>
            </w:r>
          </w:p>
        </w:tc>
        <w:tc>
          <w:tcPr>
            <w:tcW w:type="dxa" w:w="1944"/>
            <w:tcMar>
              <w:top w:w="80" w:type="dxa"/>
              <w:start w:w="100" w:type="dxa"/>
              <w:bottom w:w="80" w:type="dxa"/>
              <w:end w:w="100" w:type="dxa"/>
            </w:tcMar>
            <w:vAlign w:val="center"/>
          </w:tcPr>
          <w:p>
            <w:pPr>
              <w:spacing w:after="0" w:before="0"/>
            </w:pPr>
            <w:r/>
            <w:r>
              <w:rPr>
                <w:rFonts w:ascii="Aptos" w:hAnsi="Aptos"/>
                <w:sz w:val="17"/>
              </w:rPr>
              <w:t>SIMULATED</w:t>
            </w:r>
          </w:p>
        </w:tc>
        <w:tc>
          <w:tcPr>
            <w:tcW w:type="dxa" w:w="1944"/>
            <w:tcMar>
              <w:top w:w="80" w:type="dxa"/>
              <w:start w:w="100" w:type="dxa"/>
              <w:bottom w:w="80" w:type="dxa"/>
              <w:end w:w="100" w:type="dxa"/>
            </w:tcMar>
            <w:vAlign w:val="center"/>
          </w:tcPr>
          <w:p>
            <w:pPr>
              <w:spacing w:after="0" w:before="0"/>
            </w:pPr>
            <w:r/>
            <w:r>
              <w:rPr>
                <w:rFonts w:ascii="Aptos" w:hAnsi="Aptos"/>
                <w:sz w:val="17"/>
              </w:rPr>
              <w:t>SIMULATED</w:t>
            </w:r>
          </w:p>
        </w:tc>
        <w:tc>
          <w:tcPr>
            <w:tcW w:type="dxa" w:w="1944"/>
            <w:tcMar>
              <w:top w:w="80" w:type="dxa"/>
              <w:start w:w="100" w:type="dxa"/>
              <w:bottom w:w="80" w:type="dxa"/>
              <w:end w:w="100" w:type="dxa"/>
            </w:tcMar>
            <w:vAlign w:val="center"/>
          </w:tcPr>
          <w:p>
            <w:pPr>
              <w:spacing w:after="0" w:before="0"/>
            </w:pPr>
            <w:r/>
            <w:r>
              <w:rPr>
                <w:rFonts w:ascii="Aptos" w:hAnsi="Aptos"/>
                <w:sz w:val="17"/>
              </w:rPr>
              <w:t>SIMULATED/SINK</w:t>
            </w:r>
          </w:p>
        </w:tc>
        <w:tc>
          <w:tcPr>
            <w:tcW w:type="dxa" w:w="3312"/>
            <w:tcMar>
              <w:top w:w="80" w:type="dxa"/>
              <w:start w:w="100" w:type="dxa"/>
              <w:bottom w:w="80" w:type="dxa"/>
              <w:end w:w="100" w:type="dxa"/>
            </w:tcMar>
            <w:vAlign w:val="center"/>
          </w:tcPr>
          <w:p>
            <w:pPr>
              <w:spacing w:after="0" w:before="0"/>
            </w:pPr>
            <w:r/>
            <w:r>
              <w:rPr>
                <w:rFonts w:ascii="Aptos" w:hAnsi="Aptos"/>
                <w:sz w:val="17"/>
              </w:rPr>
              <w:t>SIMULATED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CI</w:t>
            </w:r>
          </w:p>
        </w:tc>
        <w:tc>
          <w:tcPr>
            <w:tcW w:type="dxa" w:w="1944"/>
            <w:tcMar>
              <w:top w:w="80" w:type="dxa"/>
              <w:start w:w="100" w:type="dxa"/>
              <w:bottom w:w="80" w:type="dxa"/>
              <w:end w:w="100" w:type="dxa"/>
            </w:tcMar>
            <w:vAlign w:val="center"/>
          </w:tcPr>
          <w:p>
            <w:pPr>
              <w:spacing w:after="0" w:before="0"/>
            </w:pPr>
            <w:r/>
            <w:r>
              <w:rPr>
                <w:rFonts w:ascii="Aptos" w:hAnsi="Aptos"/>
                <w:sz w:val="17"/>
              </w:rPr>
              <w:t>SIMULATED</w:t>
            </w:r>
          </w:p>
        </w:tc>
        <w:tc>
          <w:tcPr>
            <w:tcW w:type="dxa" w:w="1944"/>
            <w:tcMar>
              <w:top w:w="80" w:type="dxa"/>
              <w:start w:w="100" w:type="dxa"/>
              <w:bottom w:w="80" w:type="dxa"/>
              <w:end w:w="100" w:type="dxa"/>
            </w:tcMar>
            <w:vAlign w:val="center"/>
          </w:tcPr>
          <w:p>
            <w:pPr>
              <w:spacing w:after="0" w:before="0"/>
            </w:pPr>
            <w:r/>
            <w:r>
              <w:rPr>
                <w:rFonts w:ascii="Aptos" w:hAnsi="Aptos"/>
                <w:sz w:val="17"/>
              </w:rPr>
              <w:t>SIMULATED</w:t>
            </w:r>
          </w:p>
        </w:tc>
        <w:tc>
          <w:tcPr>
            <w:tcW w:type="dxa" w:w="1944"/>
            <w:tcMar>
              <w:top w:w="80" w:type="dxa"/>
              <w:start w:w="100" w:type="dxa"/>
              <w:bottom w:w="80" w:type="dxa"/>
              <w:end w:w="100" w:type="dxa"/>
            </w:tcMar>
            <w:vAlign w:val="center"/>
          </w:tcPr>
          <w:p>
            <w:pPr>
              <w:spacing w:after="0" w:before="0"/>
            </w:pPr>
            <w:r/>
            <w:r>
              <w:rPr>
                <w:rFonts w:ascii="Aptos" w:hAnsi="Aptos"/>
                <w:sz w:val="17"/>
              </w:rPr>
              <w:t>SIMULATED/SINK</w:t>
            </w:r>
          </w:p>
        </w:tc>
        <w:tc>
          <w:tcPr>
            <w:tcW w:type="dxa" w:w="3312"/>
            <w:tcMar>
              <w:top w:w="80" w:type="dxa"/>
              <w:start w:w="100" w:type="dxa"/>
              <w:bottom w:w="80" w:type="dxa"/>
              <w:end w:w="100" w:type="dxa"/>
            </w:tcMar>
            <w:vAlign w:val="center"/>
          </w:tcPr>
          <w:p>
            <w:pPr>
              <w:spacing w:after="0" w:before="0"/>
            </w:pPr>
            <w:r/>
            <w:r>
              <w:rPr>
                <w:rFonts w:ascii="Aptos" w:hAnsi="Aptos"/>
                <w:sz w:val="17"/>
              </w:rPr>
              <w:t>SIMULATED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Development</w:t>
            </w:r>
          </w:p>
        </w:tc>
        <w:tc>
          <w:tcPr>
            <w:tcW w:type="dxa" w:w="1944"/>
            <w:tcMar>
              <w:top w:w="80" w:type="dxa"/>
              <w:start w:w="100" w:type="dxa"/>
              <w:bottom w:w="80" w:type="dxa"/>
              <w:end w:w="100" w:type="dxa"/>
            </w:tcMar>
            <w:vAlign w:val="center"/>
          </w:tcPr>
          <w:p>
            <w:pPr>
              <w:spacing w:after="0" w:before="0"/>
            </w:pPr>
            <w:r/>
            <w:r>
              <w:rPr>
                <w:rFonts w:ascii="Aptos" w:hAnsi="Aptos"/>
                <w:sz w:val="17"/>
              </w:rPr>
              <w:t>SIMULATED or SANDBOX</w:t>
            </w:r>
          </w:p>
        </w:tc>
        <w:tc>
          <w:tcPr>
            <w:tcW w:type="dxa" w:w="1944"/>
            <w:tcMar>
              <w:top w:w="80" w:type="dxa"/>
              <w:start w:w="100" w:type="dxa"/>
              <w:bottom w:w="80" w:type="dxa"/>
              <w:end w:w="100" w:type="dxa"/>
            </w:tcMar>
            <w:vAlign w:val="center"/>
          </w:tcPr>
          <w:p>
            <w:pPr>
              <w:spacing w:after="0" w:before="0"/>
            </w:pPr>
            <w:r/>
            <w:r>
              <w:rPr>
                <w:rFonts w:ascii="Aptos" w:hAnsi="Aptos"/>
                <w:sz w:val="17"/>
              </w:rPr>
              <w:t>SIMULATED or SANDBOX</w:t>
            </w:r>
          </w:p>
        </w:tc>
        <w:tc>
          <w:tcPr>
            <w:tcW w:type="dxa" w:w="1944"/>
            <w:tcMar>
              <w:top w:w="80" w:type="dxa"/>
              <w:start w:w="100" w:type="dxa"/>
              <w:bottom w:w="80" w:type="dxa"/>
              <w:end w:w="100" w:type="dxa"/>
            </w:tcMar>
            <w:vAlign w:val="center"/>
          </w:tcPr>
          <w:p>
            <w:pPr>
              <w:spacing w:after="0" w:before="0"/>
            </w:pPr>
            <w:r/>
            <w:r>
              <w:rPr>
                <w:rFonts w:ascii="Aptos" w:hAnsi="Aptos"/>
                <w:sz w:val="17"/>
              </w:rPr>
              <w:t>SINK or SANDBOX</w:t>
            </w:r>
          </w:p>
        </w:tc>
        <w:tc>
          <w:tcPr>
            <w:tcW w:type="dxa" w:w="3312"/>
            <w:tcMar>
              <w:top w:w="80" w:type="dxa"/>
              <w:start w:w="100" w:type="dxa"/>
              <w:bottom w:w="80" w:type="dxa"/>
              <w:end w:w="100" w:type="dxa"/>
            </w:tcMar>
            <w:vAlign w:val="center"/>
          </w:tcPr>
          <w:p>
            <w:pPr>
              <w:spacing w:after="0" w:before="0"/>
            </w:pPr>
            <w:r/>
            <w:r>
              <w:rPr>
                <w:rFonts w:ascii="Aptos" w:hAnsi="Aptos"/>
                <w:sz w:val="17"/>
              </w:rPr>
              <w:t>SIMULATED or SANDBOX</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SIT</w:t>
            </w:r>
          </w:p>
        </w:tc>
        <w:tc>
          <w:tcPr>
            <w:tcW w:type="dxa" w:w="1944"/>
            <w:tcMar>
              <w:top w:w="80" w:type="dxa"/>
              <w:start w:w="100" w:type="dxa"/>
              <w:bottom w:w="80" w:type="dxa"/>
              <w:end w:w="100" w:type="dxa"/>
            </w:tcMar>
            <w:vAlign w:val="center"/>
          </w:tcPr>
          <w:p>
            <w:pPr>
              <w:spacing w:after="0" w:before="0"/>
            </w:pPr>
            <w:r/>
            <w:r>
              <w:rPr>
                <w:rFonts w:ascii="Aptos" w:hAnsi="Aptos"/>
                <w:sz w:val="17"/>
              </w:rPr>
              <w:t>SANDBOX preferred</w:t>
            </w:r>
          </w:p>
        </w:tc>
        <w:tc>
          <w:tcPr>
            <w:tcW w:type="dxa" w:w="1944"/>
            <w:tcMar>
              <w:top w:w="80" w:type="dxa"/>
              <w:start w:w="100" w:type="dxa"/>
              <w:bottom w:w="80" w:type="dxa"/>
              <w:end w:w="100" w:type="dxa"/>
            </w:tcMar>
            <w:vAlign w:val="center"/>
          </w:tcPr>
          <w:p>
            <w:pPr>
              <w:spacing w:after="0" w:before="0"/>
            </w:pPr>
            <w:r/>
            <w:r>
              <w:rPr>
                <w:rFonts w:ascii="Aptos" w:hAnsi="Aptos"/>
                <w:sz w:val="17"/>
              </w:rPr>
              <w:t>SANDBOX preferred</w:t>
            </w:r>
          </w:p>
        </w:tc>
        <w:tc>
          <w:tcPr>
            <w:tcW w:type="dxa" w:w="1944"/>
            <w:tcMar>
              <w:top w:w="80" w:type="dxa"/>
              <w:start w:w="100" w:type="dxa"/>
              <w:bottom w:w="80" w:type="dxa"/>
              <w:end w:w="100" w:type="dxa"/>
            </w:tcMar>
            <w:vAlign w:val="center"/>
          </w:tcPr>
          <w:p>
            <w:pPr>
              <w:spacing w:after="0" w:before="0"/>
            </w:pPr>
            <w:r/>
            <w:r>
              <w:rPr>
                <w:rFonts w:ascii="Aptos" w:hAnsi="Aptos"/>
                <w:sz w:val="17"/>
              </w:rPr>
              <w:t>SANDBOX preferred</w:t>
            </w:r>
          </w:p>
        </w:tc>
        <w:tc>
          <w:tcPr>
            <w:tcW w:type="dxa" w:w="3312"/>
            <w:tcMar>
              <w:top w:w="80" w:type="dxa"/>
              <w:start w:w="100" w:type="dxa"/>
              <w:bottom w:w="80" w:type="dxa"/>
              <w:end w:w="100" w:type="dxa"/>
            </w:tcMar>
            <w:vAlign w:val="center"/>
          </w:tcPr>
          <w:p>
            <w:pPr>
              <w:spacing w:after="0" w:before="0"/>
            </w:pPr>
            <w:r/>
            <w:r>
              <w:rPr>
                <w:rFonts w:ascii="Aptos" w:hAnsi="Aptos"/>
                <w:sz w:val="17"/>
              </w:rPr>
              <w:t>SANDBOX preferred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Performance</w:t>
            </w:r>
          </w:p>
        </w:tc>
        <w:tc>
          <w:tcPr>
            <w:tcW w:type="dxa" w:w="1944"/>
            <w:tcMar>
              <w:top w:w="80" w:type="dxa"/>
              <w:start w:w="100" w:type="dxa"/>
              <w:bottom w:w="80" w:type="dxa"/>
              <w:end w:w="100" w:type="dxa"/>
            </w:tcMar>
            <w:vAlign w:val="center"/>
          </w:tcPr>
          <w:p>
            <w:pPr>
              <w:spacing w:after="0" w:before="0"/>
            </w:pPr>
            <w:r/>
            <w:r>
              <w:rPr>
                <w:rFonts w:ascii="Aptos" w:hAnsi="Aptos"/>
                <w:sz w:val="17"/>
              </w:rPr>
              <w:t>SIMULATED</w:t>
            </w:r>
          </w:p>
        </w:tc>
        <w:tc>
          <w:tcPr>
            <w:tcW w:type="dxa" w:w="1944"/>
            <w:tcMar>
              <w:top w:w="80" w:type="dxa"/>
              <w:start w:w="100" w:type="dxa"/>
              <w:bottom w:w="80" w:type="dxa"/>
              <w:end w:w="100" w:type="dxa"/>
            </w:tcMar>
            <w:vAlign w:val="center"/>
          </w:tcPr>
          <w:p>
            <w:pPr>
              <w:spacing w:after="0" w:before="0"/>
            </w:pPr>
            <w:r/>
            <w:r>
              <w:rPr>
                <w:rFonts w:ascii="Aptos" w:hAnsi="Aptos"/>
                <w:sz w:val="17"/>
              </w:rPr>
              <w:t>SIMULATED</w:t>
            </w:r>
          </w:p>
        </w:tc>
        <w:tc>
          <w:tcPr>
            <w:tcW w:type="dxa" w:w="1944"/>
            <w:tcMar>
              <w:top w:w="80" w:type="dxa"/>
              <w:start w:w="100" w:type="dxa"/>
              <w:bottom w:w="80" w:type="dxa"/>
              <w:end w:w="100" w:type="dxa"/>
            </w:tcMar>
            <w:vAlign w:val="center"/>
          </w:tcPr>
          <w:p>
            <w:pPr>
              <w:spacing w:after="0" w:before="0"/>
            </w:pPr>
            <w:r/>
            <w:r>
              <w:rPr>
                <w:rFonts w:ascii="Aptos" w:hAnsi="Aptos"/>
                <w:sz w:val="17"/>
              </w:rPr>
              <w:t>SINK</w:t>
            </w:r>
          </w:p>
        </w:tc>
        <w:tc>
          <w:tcPr>
            <w:tcW w:type="dxa" w:w="3312"/>
            <w:tcMar>
              <w:top w:w="80" w:type="dxa"/>
              <w:start w:w="100" w:type="dxa"/>
              <w:bottom w:w="80" w:type="dxa"/>
              <w:end w:w="100" w:type="dxa"/>
            </w:tcMar>
            <w:vAlign w:val="center"/>
          </w:tcPr>
          <w:p>
            <w:pPr>
              <w:spacing w:after="0" w:before="0"/>
            </w:pPr>
            <w:r/>
            <w:r>
              <w:rPr>
                <w:rFonts w:ascii="Aptos" w:hAnsi="Aptos"/>
                <w:sz w:val="17"/>
              </w:rPr>
              <w:t>SIMULATED unless provider-certified load test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UAT / Pre-prod</w:t>
            </w:r>
          </w:p>
        </w:tc>
        <w:tc>
          <w:tcPr>
            <w:tcW w:type="dxa" w:w="1944"/>
            <w:tcMar>
              <w:top w:w="80" w:type="dxa"/>
              <w:start w:w="100" w:type="dxa"/>
              <w:bottom w:w="80" w:type="dxa"/>
              <w:end w:w="100" w:type="dxa"/>
            </w:tcMar>
            <w:vAlign w:val="center"/>
          </w:tcPr>
          <w:p>
            <w:pPr>
              <w:spacing w:after="0" w:before="0"/>
            </w:pPr>
            <w:r/>
            <w:r>
              <w:rPr>
                <w:rFonts w:ascii="Aptos" w:hAnsi="Aptos"/>
                <w:sz w:val="17"/>
              </w:rPr>
              <w:t>SANDBOX/provider non-prod</w:t>
            </w:r>
          </w:p>
        </w:tc>
        <w:tc>
          <w:tcPr>
            <w:tcW w:type="dxa" w:w="1944"/>
            <w:tcMar>
              <w:top w:w="80" w:type="dxa"/>
              <w:start w:w="100" w:type="dxa"/>
              <w:bottom w:w="80" w:type="dxa"/>
              <w:end w:w="100" w:type="dxa"/>
            </w:tcMar>
            <w:vAlign w:val="center"/>
          </w:tcPr>
          <w:p>
            <w:pPr>
              <w:spacing w:after="0" w:before="0"/>
            </w:pPr>
            <w:r/>
            <w:r>
              <w:rPr>
                <w:rFonts w:ascii="Aptos" w:hAnsi="Aptos"/>
                <w:sz w:val="17"/>
              </w:rPr>
              <w:t>SANDBOX/provider non-prod</w:t>
            </w:r>
          </w:p>
        </w:tc>
        <w:tc>
          <w:tcPr>
            <w:tcW w:type="dxa" w:w="1944"/>
            <w:tcMar>
              <w:top w:w="80" w:type="dxa"/>
              <w:start w:w="100" w:type="dxa"/>
              <w:bottom w:w="80" w:type="dxa"/>
              <w:end w:w="100" w:type="dxa"/>
            </w:tcMar>
            <w:vAlign w:val="center"/>
          </w:tcPr>
          <w:p>
            <w:pPr>
              <w:spacing w:after="0" w:before="0"/>
            </w:pPr>
            <w:r/>
            <w:r>
              <w:rPr>
                <w:rFonts w:ascii="Aptos" w:hAnsi="Aptos"/>
                <w:sz w:val="17"/>
              </w:rPr>
              <w:t>SANDBOX/provider non-prod</w:t>
            </w:r>
          </w:p>
        </w:tc>
        <w:tc>
          <w:tcPr>
            <w:tcW w:type="dxa" w:w="3312"/>
            <w:tcMar>
              <w:top w:w="80" w:type="dxa"/>
              <w:start w:w="100" w:type="dxa"/>
              <w:bottom w:w="80" w:type="dxa"/>
              <w:end w:w="100" w:type="dxa"/>
            </w:tcMar>
            <w:vAlign w:val="center"/>
          </w:tcPr>
          <w:p>
            <w:pPr>
              <w:spacing w:after="0" w:before="0"/>
            </w:pPr>
            <w:r/>
            <w:r>
              <w:rPr>
                <w:rFonts w:ascii="Aptos" w:hAnsi="Aptos"/>
                <w:sz w:val="17"/>
              </w:rPr>
              <w:t>SANDBOX/provider non-prod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Production</w:t>
            </w:r>
          </w:p>
        </w:tc>
        <w:tc>
          <w:tcPr>
            <w:tcW w:type="dxa" w:w="1944"/>
            <w:tcMar>
              <w:top w:w="80" w:type="dxa"/>
              <w:start w:w="100" w:type="dxa"/>
              <w:bottom w:w="80" w:type="dxa"/>
              <w:end w:w="100" w:type="dxa"/>
            </w:tcMar>
            <w:vAlign w:val="center"/>
          </w:tcPr>
          <w:p>
            <w:pPr>
              <w:spacing w:after="0" w:before="0"/>
            </w:pPr>
            <w:r/>
            <w:r>
              <w:rPr>
                <w:rFonts w:ascii="Aptos" w:hAnsi="Aptos"/>
                <w:sz w:val="17"/>
              </w:rPr>
              <w:t>REAL ONLY for configured payable services</w:t>
            </w:r>
          </w:p>
        </w:tc>
        <w:tc>
          <w:tcPr>
            <w:tcW w:type="dxa" w:w="1944"/>
            <w:tcMar>
              <w:top w:w="80" w:type="dxa"/>
              <w:start w:w="100" w:type="dxa"/>
              <w:bottom w:w="80" w:type="dxa"/>
              <w:end w:w="100" w:type="dxa"/>
            </w:tcMar>
            <w:vAlign w:val="center"/>
          </w:tcPr>
          <w:p>
            <w:pPr>
              <w:spacing w:after="0" w:before="0"/>
            </w:pPr>
            <w:r/>
            <w:r>
              <w:rPr>
                <w:rFonts w:ascii="Aptos" w:hAnsi="Aptos"/>
                <w:sz w:val="17"/>
              </w:rPr>
              <w:t>REAL ONLY</w:t>
            </w:r>
          </w:p>
        </w:tc>
        <w:tc>
          <w:tcPr>
            <w:tcW w:type="dxa" w:w="1944"/>
            <w:tcMar>
              <w:top w:w="80" w:type="dxa"/>
              <w:start w:w="100" w:type="dxa"/>
              <w:bottom w:w="80" w:type="dxa"/>
              <w:end w:w="100" w:type="dxa"/>
            </w:tcMar>
            <w:vAlign w:val="center"/>
          </w:tcPr>
          <w:p>
            <w:pPr>
              <w:spacing w:after="0" w:before="0"/>
            </w:pPr>
            <w:r/>
            <w:r>
              <w:rPr>
                <w:rFonts w:ascii="Aptos" w:hAnsi="Aptos"/>
                <w:sz w:val="17"/>
              </w:rPr>
              <w:t>REAL for enabled channels</w:t>
            </w:r>
          </w:p>
        </w:tc>
        <w:tc>
          <w:tcPr>
            <w:tcW w:type="dxa" w:w="3312"/>
            <w:tcMar>
              <w:top w:w="80" w:type="dxa"/>
              <w:start w:w="100" w:type="dxa"/>
              <w:bottom w:w="80" w:type="dxa"/>
              <w:end w:w="100" w:type="dxa"/>
            </w:tcMar>
            <w:vAlign w:val="center"/>
          </w:tcPr>
          <w:p>
            <w:pPr>
              <w:spacing w:after="0" w:before="0"/>
            </w:pPr>
            <w:r/>
            <w:r>
              <w:rPr>
                <w:rFonts w:ascii="Aptos" w:hAnsi="Aptos"/>
                <w:sz w:val="17"/>
              </w:rPr>
              <w:t>REAL ONLY for enabled critical integration</w:t>
            </w:r>
          </w:p>
        </w:tc>
      </w:tr>
    </w:tbl>
    <w:p>
      <w:pPr>
        <w:spacing w:after="40"/>
      </w:pPr>
    </w:p>
    <w:tbl>
      <w:tblPr>
        <w:tblW w:type="auto" w:w="0"/>
        <w:jc w:val="center"/>
        <w:tblLook w:firstColumn="1" w:firstRow="1" w:lastColumn="0" w:lastRow="0" w:noHBand="0" w:noVBand="1" w:val="04A0"/>
      </w:tblPr>
      <w:tblGrid>
        <w:gridCol w:w="10166"/>
      </w:tblGrid>
      <w:tr>
        <w:tc>
          <w:tcPr>
            <w:tcW w:type="dxa" w:w="10166"/>
            <w:shd w:fill="FCE8E6"/>
            <w:tcMar>
              <w:top w:w="120" w:type="dxa"/>
              <w:start w:w="140" w:type="dxa"/>
              <w:bottom w:w="120" w:type="dxa"/>
              <w:end w:w="140" w:type="dxa"/>
            </w:tcMar>
          </w:tcPr>
          <w:p>
            <w:pPr>
              <w:spacing w:after="80"/>
            </w:pPr>
            <w:r>
              <w:rPr>
                <w:b/>
                <w:color w:val="A61B1B"/>
                <w:sz w:val="21"/>
              </w:rPr>
              <w:t>Production hard guard</w:t>
            </w:r>
          </w:p>
          <w:p>
            <w:pPr>
              <w:spacing w:after="0"/>
            </w:pPr>
            <w:r>
              <w:rPr>
                <w:color w:val="1F2937"/>
                <w:sz w:val="20"/>
              </w:rPr>
              <w:t>The deployment must fail closed if a production connector binding for Payment, OTP, DigiLocker/eSign or another configured critical integration resolves to SIMULATED. Production must never silently fall back from REAL to SIMULATED.</w:t>
            </w:r>
          </w:p>
        </w:tc>
      </w:tr>
    </w:tbl>
    <w:p>
      <w:pPr>
        <w:spacing w:after="40"/>
      </w:pPr>
    </w:p>
    <w:p>
      <w:pPr>
        <w:pStyle w:val="Heading2"/>
        <w:keepNext/>
      </w:pPr>
      <w:r>
        <w:t>10.3 Simulation semantics by integration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7"/>
              </w:rPr>
              <w:t>Integration</w:t>
            </w:r>
          </w:p>
        </w:tc>
        <w:tc>
          <w:tcPr>
            <w:tcW w:type="dxa" w:w="2592"/>
            <w:tcMar>
              <w:top w:w="80" w:type="dxa"/>
              <w:start w:w="100" w:type="dxa"/>
              <w:bottom w:w="80" w:type="dxa"/>
              <w:end w:w="100" w:type="dxa"/>
            </w:tcMar>
            <w:vAlign w:val="center"/>
            <w:shd w:fill="1F4E78"/>
          </w:tcPr>
          <w:p>
            <w:pPr>
              <w:spacing w:after="0" w:before="0"/>
            </w:pPr>
            <w:r/>
            <w:r>
              <w:rPr>
                <w:rFonts w:ascii="Aptos" w:hAnsi="Aptos"/>
                <w:b/>
                <w:color w:val="FFFFFF"/>
                <w:sz w:val="17"/>
              </w:rPr>
              <w:t>What is simulated</w:t>
            </w:r>
          </w:p>
        </w:tc>
        <w:tc>
          <w:tcPr>
            <w:tcW w:type="dxa" w:w="4032"/>
            <w:tcMar>
              <w:top w:w="80" w:type="dxa"/>
              <w:start w:w="100" w:type="dxa"/>
              <w:bottom w:w="80" w:type="dxa"/>
              <w:end w:w="100" w:type="dxa"/>
            </w:tcMar>
            <w:vAlign w:val="center"/>
            <w:shd w:fill="1F4E78"/>
          </w:tcPr>
          <w:p>
            <w:pPr>
              <w:spacing w:after="0" w:before="0"/>
            </w:pPr>
            <w:r/>
            <w:r>
              <w:rPr>
                <w:rFonts w:ascii="Aptos" w:hAnsi="Aptos"/>
                <w:b/>
                <w:color w:val="FFFFFF"/>
                <w:sz w:val="17"/>
              </w:rPr>
              <w:t>What must remain real ServiceForm logic</w:t>
            </w:r>
          </w:p>
        </w:tc>
        <w:tc>
          <w:tcPr>
            <w:tcW w:type="dxa" w:w="3168"/>
            <w:tcMar>
              <w:top w:w="80" w:type="dxa"/>
              <w:start w:w="100" w:type="dxa"/>
              <w:bottom w:w="80" w:type="dxa"/>
              <w:end w:w="100" w:type="dxa"/>
            </w:tcMar>
            <w:vAlign w:val="center"/>
            <w:shd w:fill="1F4E78"/>
          </w:tcPr>
          <w:p>
            <w:pPr>
              <w:spacing w:after="0" w:before="0"/>
            </w:pPr>
            <w:r/>
            <w:r>
              <w:rPr>
                <w:rFonts w:ascii="Aptos" w:hAnsi="Aptos"/>
                <w:b/>
                <w:color w:val="FFFFFF"/>
                <w:sz w:val="17"/>
              </w:rPr>
              <w:t>Minimum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Payment</w:t>
            </w:r>
          </w:p>
        </w:tc>
        <w:tc>
          <w:tcPr>
            <w:tcW w:type="dxa" w:w="2592"/>
            <w:tcMar>
              <w:top w:w="80" w:type="dxa"/>
              <w:start w:w="100" w:type="dxa"/>
              <w:bottom w:w="80" w:type="dxa"/>
              <w:end w:w="100" w:type="dxa"/>
            </w:tcMar>
            <w:vAlign w:val="center"/>
          </w:tcPr>
          <w:p>
            <w:pPr>
              <w:spacing w:after="0" w:before="0"/>
            </w:pPr>
            <w:r/>
            <w:r>
              <w:rPr>
                <w:rFonts w:ascii="Aptos" w:hAnsi="Aptos"/>
                <w:sz w:val="17"/>
              </w:rPr>
              <w:t>External gateway/treasury response and callback.</w:t>
            </w:r>
          </w:p>
        </w:tc>
        <w:tc>
          <w:tcPr>
            <w:tcW w:type="dxa" w:w="4032"/>
            <w:tcMar>
              <w:top w:w="80" w:type="dxa"/>
              <w:start w:w="100" w:type="dxa"/>
              <w:bottom w:w="80" w:type="dxa"/>
              <w:end w:w="100" w:type="dxa"/>
            </w:tcMar>
            <w:vAlign w:val="center"/>
          </w:tcPr>
          <w:p>
            <w:pPr>
              <w:spacing w:after="0" w:before="0"/>
            </w:pPr>
            <w:r/>
            <w:r>
              <w:rPr>
                <w:rFonts w:ascii="Aptos" w:hAnsi="Aptos"/>
                <w:sz w:val="17"/>
              </w:rPr>
              <w:t>Payment intent, ledger, signature/test-signature verification, idempotency, callback handler, application state transition, reconciliation.</w:t>
            </w:r>
          </w:p>
        </w:tc>
        <w:tc>
          <w:tcPr>
            <w:tcW w:type="dxa" w:w="3168"/>
            <w:tcMar>
              <w:top w:w="80" w:type="dxa"/>
              <w:start w:w="100" w:type="dxa"/>
              <w:bottom w:w="80" w:type="dxa"/>
              <w:end w:w="100" w:type="dxa"/>
            </w:tcMar>
            <w:vAlign w:val="center"/>
          </w:tcPr>
          <w:p>
            <w:pPr>
              <w:spacing w:after="0" w:before="0"/>
            </w:pPr>
            <w:r/>
            <w:r>
              <w:rPr>
                <w:rFonts w:ascii="Aptos" w:hAnsi="Aptos"/>
                <w:sz w:val="17"/>
              </w:rPr>
              <w:t>success; fail; pending; timeout/unknown; cancel; duplicate callback; amount mismatch; refund success/failure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OTP</w:t>
            </w:r>
          </w:p>
        </w:tc>
        <w:tc>
          <w:tcPr>
            <w:tcW w:type="dxa" w:w="2592"/>
            <w:tcMar>
              <w:top w:w="80" w:type="dxa"/>
              <w:start w:w="100" w:type="dxa"/>
              <w:bottom w:w="80" w:type="dxa"/>
              <w:end w:w="100" w:type="dxa"/>
            </w:tcMar>
            <w:vAlign w:val="center"/>
          </w:tcPr>
          <w:p>
            <w:pPr>
              <w:spacing w:after="0" w:before="0"/>
            </w:pPr>
            <w:r/>
            <w:r>
              <w:rPr>
                <w:rFonts w:ascii="Aptos" w:hAnsi="Aptos"/>
                <w:sz w:val="17"/>
              </w:rPr>
              <w:t>Delivery provider only; optional deterministic test OTP through protected test harness.</w:t>
            </w:r>
          </w:p>
        </w:tc>
        <w:tc>
          <w:tcPr>
            <w:tcW w:type="dxa" w:w="4032"/>
            <w:tcMar>
              <w:top w:w="80" w:type="dxa"/>
              <w:start w:w="100" w:type="dxa"/>
              <w:bottom w:w="80" w:type="dxa"/>
              <w:end w:w="100" w:type="dxa"/>
            </w:tcMar>
            <w:vAlign w:val="center"/>
          </w:tcPr>
          <w:p>
            <w:pPr>
              <w:spacing w:after="0" w:before="0"/>
            </w:pPr>
            <w:r/>
            <w:r>
              <w:rPr>
                <w:rFonts w:ascii="Aptos" w:hAnsi="Aptos"/>
                <w:sz w:val="17"/>
              </w:rPr>
              <w:t>Challenge creation, expiry, attempt counter, resend, verification, session issuance, immutable citizen_id resolution.</w:t>
            </w:r>
          </w:p>
        </w:tc>
        <w:tc>
          <w:tcPr>
            <w:tcW w:type="dxa" w:w="3168"/>
            <w:tcMar>
              <w:top w:w="80" w:type="dxa"/>
              <w:start w:w="100" w:type="dxa"/>
              <w:bottom w:w="80" w:type="dxa"/>
              <w:end w:w="100" w:type="dxa"/>
            </w:tcMar>
            <w:vAlign w:val="center"/>
          </w:tcPr>
          <w:p>
            <w:pPr>
              <w:spacing w:after="0" w:before="0"/>
            </w:pPr>
            <w:r/>
            <w:r>
              <w:rPr>
                <w:rFonts w:ascii="Aptos" w:hAnsi="Aptos"/>
                <w:sz w:val="17"/>
              </w:rPr>
              <w:t>success; wrong; expired; resend; too many attempts; provider unavailable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SMS / Email</w:t>
            </w:r>
          </w:p>
        </w:tc>
        <w:tc>
          <w:tcPr>
            <w:tcW w:type="dxa" w:w="2592"/>
            <w:tcMar>
              <w:top w:w="80" w:type="dxa"/>
              <w:start w:w="100" w:type="dxa"/>
              <w:bottom w:w="80" w:type="dxa"/>
              <w:end w:w="100" w:type="dxa"/>
            </w:tcMar>
            <w:vAlign w:val="center"/>
          </w:tcPr>
          <w:p>
            <w:pPr>
              <w:spacing w:after="0" w:before="0"/>
            </w:pPr>
            <w:r/>
            <w:r>
              <w:rPr>
                <w:rFonts w:ascii="Aptos" w:hAnsi="Aptos"/>
                <w:sz w:val="17"/>
              </w:rPr>
              <w:t>Channel delivery to test sink/inbox.</w:t>
            </w:r>
          </w:p>
        </w:tc>
        <w:tc>
          <w:tcPr>
            <w:tcW w:type="dxa" w:w="4032"/>
            <w:tcMar>
              <w:top w:w="80" w:type="dxa"/>
              <w:start w:w="100" w:type="dxa"/>
              <w:bottom w:w="80" w:type="dxa"/>
              <w:end w:w="100" w:type="dxa"/>
            </w:tcMar>
            <w:vAlign w:val="center"/>
          </w:tcPr>
          <w:p>
            <w:pPr>
              <w:spacing w:after="0" w:before="0"/>
            </w:pPr>
            <w:r/>
            <w:r>
              <w:rPr>
                <w:rFonts w:ascii="Aptos" w:hAnsi="Aptos"/>
                <w:sz w:val="17"/>
              </w:rPr>
              <w:t>Template, localization, destination validation, idempotency, retry/DLQ, delivery tracking.</w:t>
            </w:r>
          </w:p>
        </w:tc>
        <w:tc>
          <w:tcPr>
            <w:tcW w:type="dxa" w:w="3168"/>
            <w:tcMar>
              <w:top w:w="80" w:type="dxa"/>
              <w:start w:w="100" w:type="dxa"/>
              <w:bottom w:w="80" w:type="dxa"/>
              <w:end w:w="100" w:type="dxa"/>
            </w:tcMar>
            <w:vAlign w:val="center"/>
          </w:tcPr>
          <w:p>
            <w:pPr>
              <w:spacing w:after="0" w:before="0"/>
            </w:pPr>
            <w:r/>
            <w:r>
              <w:rPr>
                <w:rFonts w:ascii="Aptos" w:hAnsi="Aptos"/>
                <w:sz w:val="17"/>
              </w:rPr>
              <w:t>delivered; failure/bounce; timeout; retry; duplicate request</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DigiLocker</w:t>
            </w:r>
          </w:p>
        </w:tc>
        <w:tc>
          <w:tcPr>
            <w:tcW w:type="dxa" w:w="2592"/>
            <w:tcMar>
              <w:top w:w="80" w:type="dxa"/>
              <w:start w:w="100" w:type="dxa"/>
              <w:bottom w:w="80" w:type="dxa"/>
              <w:end w:w="100" w:type="dxa"/>
            </w:tcMar>
            <w:vAlign w:val="center"/>
          </w:tcPr>
          <w:p>
            <w:pPr>
              <w:spacing w:after="0" w:before="0"/>
            </w:pPr>
            <w:r/>
            <w:r>
              <w:rPr>
                <w:rFonts w:ascii="Aptos" w:hAnsi="Aptos"/>
                <w:sz w:val="17"/>
              </w:rPr>
              <w:t>Authorization/document/issuer fixture adapter.</w:t>
            </w:r>
          </w:p>
        </w:tc>
        <w:tc>
          <w:tcPr>
            <w:tcW w:type="dxa" w:w="4032"/>
            <w:tcMar>
              <w:top w:w="80" w:type="dxa"/>
              <w:start w:w="100" w:type="dxa"/>
              <w:bottom w:w="80" w:type="dxa"/>
              <w:end w:w="100" w:type="dxa"/>
            </w:tcMar>
            <w:vAlign w:val="center"/>
          </w:tcPr>
          <w:p>
            <w:pPr>
              <w:spacing w:after="0" w:before="0"/>
            </w:pPr>
            <w:r/>
            <w:r>
              <w:rPr>
                <w:rFonts w:ascii="Aptos" w:hAnsi="Aptos"/>
                <w:sz w:val="17"/>
              </w:rPr>
              <w:t>Consent, purpose, provenance, token/reference handling, idempotent retry, claim/evidence mapping.</w:t>
            </w:r>
          </w:p>
        </w:tc>
        <w:tc>
          <w:tcPr>
            <w:tcW w:type="dxa" w:w="3168"/>
            <w:tcMar>
              <w:top w:w="80" w:type="dxa"/>
              <w:start w:w="100" w:type="dxa"/>
              <w:bottom w:w="80" w:type="dxa"/>
              <w:end w:w="100" w:type="dxa"/>
            </w:tcMar>
            <w:vAlign w:val="center"/>
          </w:tcPr>
          <w:p>
            <w:pPr>
              <w:spacing w:after="0" w:before="0"/>
            </w:pPr>
            <w:r/>
            <w:r>
              <w:rPr>
                <w:rFonts w:ascii="Aptos" w:hAnsi="Aptos"/>
                <w:sz w:val="17"/>
              </w:rPr>
              <w:t>success; consent denied; missing doc; token expiry; provider outage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eSign</w:t>
            </w:r>
          </w:p>
        </w:tc>
        <w:tc>
          <w:tcPr>
            <w:tcW w:type="dxa" w:w="2592"/>
            <w:tcMar>
              <w:top w:w="80" w:type="dxa"/>
              <w:start w:w="100" w:type="dxa"/>
              <w:bottom w:w="80" w:type="dxa"/>
              <w:end w:w="100" w:type="dxa"/>
            </w:tcMar>
            <w:vAlign w:val="center"/>
          </w:tcPr>
          <w:p>
            <w:pPr>
              <w:spacing w:after="0" w:before="0"/>
            </w:pPr>
            <w:r/>
            <w:r>
              <w:rPr>
                <w:rFonts w:ascii="Aptos" w:hAnsi="Aptos"/>
                <w:sz w:val="17"/>
              </w:rPr>
              <w:t>External signing transaction and callback/test signature.</w:t>
            </w:r>
          </w:p>
        </w:tc>
        <w:tc>
          <w:tcPr>
            <w:tcW w:type="dxa" w:w="4032"/>
            <w:tcMar>
              <w:top w:w="80" w:type="dxa"/>
              <w:start w:w="100" w:type="dxa"/>
              <w:bottom w:w="80" w:type="dxa"/>
              <w:end w:w="100" w:type="dxa"/>
            </w:tcMar>
            <w:vAlign w:val="center"/>
          </w:tcPr>
          <w:p>
            <w:pPr>
              <w:spacing w:after="0" w:before="0"/>
            </w:pPr>
            <w:r/>
            <w:r>
              <w:rPr>
                <w:rFonts w:ascii="Aptos" w:hAnsi="Aptos"/>
                <w:sz w:val="17"/>
              </w:rPr>
              <w:t>Credential state, signing request, callback validation, idempotency, audit.</w:t>
            </w:r>
          </w:p>
        </w:tc>
        <w:tc>
          <w:tcPr>
            <w:tcW w:type="dxa" w:w="3168"/>
            <w:tcMar>
              <w:top w:w="80" w:type="dxa"/>
              <w:start w:w="100" w:type="dxa"/>
              <w:bottom w:w="80" w:type="dxa"/>
              <w:end w:w="100" w:type="dxa"/>
            </w:tcMar>
            <w:vAlign w:val="center"/>
          </w:tcPr>
          <w:p>
            <w:pPr>
              <w:spacing w:after="0" w:before="0"/>
            </w:pPr>
            <w:r/>
            <w:r>
              <w:rPr>
                <w:rFonts w:ascii="Aptos" w:hAnsi="Aptos"/>
                <w:sz w:val="17"/>
              </w:rPr>
              <w:t>success; reject; timeout; duplicate callback</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Department API</w:t>
            </w:r>
          </w:p>
        </w:tc>
        <w:tc>
          <w:tcPr>
            <w:tcW w:type="dxa" w:w="2592"/>
            <w:tcMar>
              <w:top w:w="80" w:type="dxa"/>
              <w:start w:w="100" w:type="dxa"/>
              <w:bottom w:w="80" w:type="dxa"/>
              <w:end w:w="100" w:type="dxa"/>
            </w:tcMar>
            <w:vAlign w:val="center"/>
          </w:tcPr>
          <w:p>
            <w:pPr>
              <w:spacing w:after="0" w:before="0"/>
            </w:pPr>
            <w:r/>
            <w:r>
              <w:rPr>
                <w:rFonts w:ascii="Aptos" w:hAnsi="Aptos"/>
                <w:sz w:val="17"/>
              </w:rPr>
              <w:t>External response fixture.</w:t>
            </w:r>
          </w:p>
        </w:tc>
        <w:tc>
          <w:tcPr>
            <w:tcW w:type="dxa" w:w="4032"/>
            <w:tcMar>
              <w:top w:w="80" w:type="dxa"/>
              <w:start w:w="100" w:type="dxa"/>
              <w:bottom w:w="80" w:type="dxa"/>
              <w:end w:w="100" w:type="dxa"/>
            </w:tcMar>
            <w:vAlign w:val="center"/>
          </w:tcPr>
          <w:p>
            <w:pPr>
              <w:spacing w:after="0" w:before="0"/>
            </w:pPr>
            <w:r/>
            <w:r>
              <w:rPr>
                <w:rFonts w:ascii="Aptos" w:hAnsi="Aptos"/>
                <w:sz w:val="17"/>
              </w:rPr>
              <w:t>Connector mapping, auth abstraction, retry/circuit breaker, schema validation and business consumer behavior.</w:t>
            </w:r>
          </w:p>
        </w:tc>
        <w:tc>
          <w:tcPr>
            <w:tcW w:type="dxa" w:w="3168"/>
            <w:tcMar>
              <w:top w:w="80" w:type="dxa"/>
              <w:start w:w="100" w:type="dxa"/>
              <w:bottom w:w="80" w:type="dxa"/>
              <w:end w:w="100" w:type="dxa"/>
            </w:tcMar>
            <w:vAlign w:val="center"/>
          </w:tcPr>
          <w:p>
            <w:pPr>
              <w:spacing w:after="0" w:before="0"/>
            </w:pPr>
            <w:r/>
            <w:r>
              <w:rPr>
                <w:rFonts w:ascii="Aptos" w:hAnsi="Aptos"/>
                <w:sz w:val="17"/>
              </w:rPr>
              <w:t>2xx; 4xx; 5xx; timeout; malformed response; duplicate callback</w:t>
            </w:r>
          </w:p>
        </w:tc>
      </w:tr>
    </w:tbl>
    <w:p>
      <w:pPr>
        <w:spacing w:after="40"/>
      </w:pPr>
    </w:p>
    <w:p>
      <w:pPr>
        <w:pStyle w:val="Heading2"/>
        <w:keepNext/>
      </w:pPr>
      <w:r>
        <w:t>10.4 Simulation observability and data markings</w:t>
      </w:r>
    </w:p>
    <w:p>
      <w:pPr>
        <w:pStyle w:val="ListBullet"/>
        <w:spacing w:after="40"/>
      </w:pPr>
      <w:r>
        <w:t>Every simulated transaction carries simulation=true, scenario, testRunId, connectorBindingId and environment.</w:t>
      </w:r>
    </w:p>
    <w:p>
      <w:pPr>
        <w:pStyle w:val="ListBullet"/>
        <w:spacing w:after="40"/>
      </w:pPr>
      <w:r>
        <w:t>Simulated payment receipts and credentials must be visibly marked TEST/SIMULATED and never usable as real financial/legal artifacts.</w:t>
      </w:r>
    </w:p>
    <w:p>
      <w:pPr>
        <w:pStyle w:val="ListBullet"/>
        <w:spacing w:after="40"/>
      </w:pPr>
      <w:r>
        <w:t>Test identities, phone numbers, email addresses and documents are synthetic or approved fixtures; production personal data must not be copied into CI/performance environments.</w:t>
      </w:r>
    </w:p>
    <w:p>
      <w:pPr>
        <w:pStyle w:val="ListBullet"/>
        <w:spacing w:after="40"/>
      </w:pPr>
      <w:r>
        <w:t>The test harness may retrieve OTPs/messages from a protected test API/inbox only in non-production environments.</w:t>
      </w:r>
    </w:p>
    <w:p>
      <w:pPr>
        <w:pStyle w:val="ListBullet"/>
        <w:spacing w:after="40"/>
      </w:pPr>
      <w:r>
        <w:t>Provider simulators must be deterministic and versioned so a failed test can be reproduced.</w:t>
      </w:r>
    </w:p>
    <w:p>
      <w:pPr>
        <w:pStyle w:val="Heading1"/>
        <w:keepNext/>
      </w:pPr>
      <w:r>
        <w:t>11. Corrected Canonical Application Flow - Certification Baseline</w:t>
      </w:r>
    </w:p>
    <w:p>
      <w:pPr>
        <w:spacing w:after="100"/>
      </w:pPr>
      <w:r>
        <w:t>The following flow resolves the integration ambiguities identified during architecture review and is the flow against which AI-generated implementation must be certified.</w:t>
      </w:r>
    </w:p>
    <w:tbl>
      <w:tblPr>
        <w:tblW w:type="auto" w:w="0"/>
        <w:jc w:val="center"/>
        <w:tblLook w:firstColumn="1" w:firstRow="1" w:lastColumn="0" w:lastRow="0" w:noHBand="0" w:noVBand="1" w:val="04A0"/>
      </w:tblPr>
      <w:tblGrid>
        <w:gridCol w:w="10166"/>
      </w:tblGrid>
      <w:tr>
        <w:tc>
          <w:tcPr>
            <w:tcW w:type="dxa" w:w="10166"/>
            <w:shd w:fill="F3F4F6"/>
            <w:tcMar>
              <w:top w:w="100" w:type="dxa"/>
              <w:start w:w="120" w:type="dxa"/>
              <w:bottom w:w="100" w:type="dxa"/>
              <w:end w:w="120" w:type="dxa"/>
            </w:tcMar>
          </w:tcPr>
          <w:p>
            <w:pPr>
              <w:spacing w:after="0"/>
            </w:pPr>
            <w:r>
              <w:rPr>
                <w:rFonts w:ascii="Consolas" w:hAnsi="Consolas"/>
                <w:color w:val="1F2937"/>
                <w:sz w:val="17"/>
              </w:rPr>
              <w:t>AUTHENTICATE -&gt; PROFILE/CLAIMS -&gt; DISCOVER -&gt; ELIGIBILITY PRE-CHECK</w:t>
              <w:br/>
              <w:t xml:space="preserve"> -&gt; CREATE DRAFT -&gt; FORM -&gt; EVIDENCE REQUIREMENTS -&gt; EVIDENCE TECHNICAL ACCEPTANCE</w:t>
              <w:br/>
              <w:t xml:space="preserve"> -&gt; READY_TO_SUBMIT -&gt; AUTHORITATIVE SUBMISSION VALIDATION</w:t>
              <w:br/>
              <w:t xml:space="preserve"> -&gt; POSTGRES COMMIT(application + pinned TenantServiceBinding + audit metadata + outbox)</w:t>
              <w:br/>
              <w:t xml:space="preserve"> -&gt; [fee? PAYMENT_PENDING -&gt; Payment Service -&gt; PaymentSucceeded] OR [no fee]</w:t>
              <w:br/>
              <w:t xml:space="preserve"> -&gt; RECEIVED -&gt; TEMPORAL PROCESS -&gt; WORK QUEUE -&gt; OPA -&gt; SCRUTINY</w:t>
              <w:br/>
              <w:t xml:space="preserve"> -&gt; [DEFICIENCY &lt;-&gt; CITIZEN RESPONSE] / [VERIFICATION] -&gt; DECISION_PENDING</w:t>
              <w:br/>
              <w:t xml:space="preserve"> -&gt; authoritative DECISION COMMIT + outbox -&gt; signal Temporal</w:t>
              <w:br/>
              <w:t xml:space="preserve"> -&gt; APPROVED -&gt; SIGNING_PENDING -&gt; CREDENTIAL ISSUED -&gt; ISSUED -&gt; CLOSED</w:t>
              <w:br/>
              <w:t xml:space="preserve"> -&gt; async DigiLocker / SMS / Email / Analytics</w:t>
              <w:br/>
            </w:r>
          </w:p>
        </w:tc>
      </w:tr>
    </w:tbl>
    <w:p>
      <w:pPr>
        <w:spacing w:after="40"/>
      </w:pPr>
    </w:p>
    <w:p>
      <w:pPr>
        <w:pStyle w:val="Heading2"/>
        <w:keepNext/>
      </w:pPr>
      <w:r>
        <w:t>11.1 Mandatory flow corrections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656"/>
            <w:tcMar>
              <w:top w:w="80" w:type="dxa"/>
              <w:start w:w="100" w:type="dxa"/>
              <w:bottom w:w="80" w:type="dxa"/>
              <w:end w:w="100" w:type="dxa"/>
            </w:tcMar>
            <w:vAlign w:val="center"/>
            <w:shd w:fill="1F4E78"/>
          </w:tcPr>
          <w:p>
            <w:pPr>
              <w:spacing w:after="0" w:before="0"/>
            </w:pPr>
            <w:r/>
            <w:r>
              <w:rPr>
                <w:rFonts w:ascii="Aptos" w:hAnsi="Aptos"/>
                <w:b/>
                <w:color w:val="FFFFFF"/>
                <w:sz w:val="17"/>
              </w:rPr>
              <w:t>Concern</w:t>
            </w:r>
          </w:p>
        </w:tc>
        <w:tc>
          <w:tcPr>
            <w:tcW w:type="dxa" w:w="5184"/>
            <w:tcMar>
              <w:top w:w="80" w:type="dxa"/>
              <w:start w:w="100" w:type="dxa"/>
              <w:bottom w:w="80" w:type="dxa"/>
              <w:end w:w="100" w:type="dxa"/>
            </w:tcMar>
            <w:vAlign w:val="center"/>
            <w:shd w:fill="1F4E78"/>
          </w:tcPr>
          <w:p>
            <w:pPr>
              <w:spacing w:after="0" w:before="0"/>
            </w:pPr>
            <w:r/>
            <w:r>
              <w:rPr>
                <w:rFonts w:ascii="Aptos" w:hAnsi="Aptos"/>
                <w:b/>
                <w:color w:val="FFFFFF"/>
                <w:sz w:val="17"/>
              </w:rPr>
              <w:t>Normative correction</w:t>
            </w:r>
          </w:p>
        </w:tc>
        <w:tc>
          <w:tcPr>
            <w:tcW w:type="dxa" w:w="3672"/>
            <w:tcMar>
              <w:top w:w="80" w:type="dxa"/>
              <w:start w:w="100" w:type="dxa"/>
              <w:bottom w:w="80" w:type="dxa"/>
              <w:end w:w="100" w:type="dxa"/>
            </w:tcMar>
            <w:vAlign w:val="center"/>
            <w:shd w:fill="1F4E78"/>
          </w:tcPr>
          <w:p>
            <w:pPr>
              <w:spacing w:after="0" w:before="0"/>
            </w:pPr>
            <w:r/>
            <w:r>
              <w:rPr>
                <w:rFonts w:ascii="Aptos" w:hAnsi="Aptos"/>
                <w:b/>
                <w:color w:val="FFFFFF"/>
                <w:sz w:val="17"/>
              </w:rPr>
              <w:t>Certification assertion</w:t>
            </w:r>
          </w:p>
        </w:tc>
      </w:tr>
      <w:tr>
        <w:trPr>
          <w:cantSplit/>
        </w:trPr>
        <w:tc>
          <w:tcPr>
            <w:tcW w:type="dxa" w:w="1656"/>
            <w:tcMar>
              <w:top w:w="80" w:type="dxa"/>
              <w:start w:w="100" w:type="dxa"/>
              <w:bottom w:w="80" w:type="dxa"/>
              <w:end w:w="100" w:type="dxa"/>
            </w:tcMar>
            <w:vAlign w:val="center"/>
          </w:tcPr>
          <w:p>
            <w:pPr>
              <w:spacing w:after="0" w:before="0"/>
            </w:pPr>
            <w:r/>
            <w:r>
              <w:rPr>
                <w:rFonts w:ascii="Aptos" w:hAnsi="Aptos"/>
                <w:b/>
                <w:color w:val="1F2937"/>
                <w:sz w:val="17"/>
              </w:rPr>
              <w:t>Payment ordering</w:t>
            </w:r>
          </w:p>
        </w:tc>
        <w:tc>
          <w:tcPr>
            <w:tcW w:type="dxa" w:w="5184"/>
            <w:tcMar>
              <w:top w:w="80" w:type="dxa"/>
              <w:start w:w="100" w:type="dxa"/>
              <w:bottom w:w="80" w:type="dxa"/>
              <w:end w:w="100" w:type="dxa"/>
            </w:tcMar>
            <w:vAlign w:val="center"/>
          </w:tcPr>
          <w:p>
            <w:pPr>
              <w:spacing w:after="0" w:before="0"/>
            </w:pPr>
            <w:r/>
            <w:r>
              <w:rPr>
                <w:rFonts w:ascii="Aptos" w:hAnsi="Aptos"/>
                <w:sz w:val="17"/>
              </w:rPr>
              <w:t>Create and commit the application before any external payment call. Fee services place the accepted application in PAYMENT_PENDING; PaymentSucceeded advances it to RECEIVED.</w:t>
            </w:r>
          </w:p>
        </w:tc>
        <w:tc>
          <w:tcPr>
            <w:tcW w:type="dxa" w:w="3672"/>
            <w:tcMar>
              <w:top w:w="80" w:type="dxa"/>
              <w:start w:w="100" w:type="dxa"/>
              <w:bottom w:w="80" w:type="dxa"/>
              <w:end w:w="100" w:type="dxa"/>
            </w:tcMar>
            <w:vAlign w:val="center"/>
          </w:tcPr>
          <w:p>
            <w:pPr>
              <w:spacing w:after="0" w:before="0"/>
            </w:pPr>
            <w:r/>
            <w:r>
              <w:rPr>
                <w:rFonts w:ascii="Aptos" w:hAnsi="Aptos"/>
                <w:sz w:val="17"/>
              </w:rPr>
              <w:t>No test can show an external payment side effect for an application that was never durably created.</w:t>
            </w:r>
          </w:p>
        </w:tc>
      </w:tr>
      <w:tr>
        <w:trPr>
          <w:cantSplit/>
        </w:trPr>
        <w:tc>
          <w:tcPr>
            <w:tcW w:type="dxa" w:w="1656"/>
            <w:tcMar>
              <w:top w:w="80" w:type="dxa"/>
              <w:start w:w="100" w:type="dxa"/>
              <w:bottom w:w="80" w:type="dxa"/>
              <w:end w:w="100" w:type="dxa"/>
            </w:tcMar>
            <w:vAlign w:val="center"/>
          </w:tcPr>
          <w:p>
            <w:pPr>
              <w:spacing w:after="0" w:before="0"/>
            </w:pPr>
            <w:r/>
            <w:r>
              <w:rPr>
                <w:rFonts w:ascii="Aptos" w:hAnsi="Aptos"/>
                <w:b/>
                <w:color w:val="1F2937"/>
                <w:sz w:val="17"/>
              </w:rPr>
              <w:t>Temporal ordering</w:t>
            </w:r>
          </w:p>
        </w:tc>
        <w:tc>
          <w:tcPr>
            <w:tcW w:type="dxa" w:w="5184"/>
            <w:tcMar>
              <w:top w:w="80" w:type="dxa"/>
              <w:start w:w="100" w:type="dxa"/>
              <w:bottom w:w="80" w:type="dxa"/>
              <w:end w:w="100" w:type="dxa"/>
            </w:tcMar>
            <w:vAlign w:val="center"/>
          </w:tcPr>
          <w:p>
            <w:pPr>
              <w:spacing w:after="0" w:before="0"/>
            </w:pPr>
            <w:r/>
            <w:r>
              <w:rPr>
                <w:rFonts w:ascii="Aptos" w:hAnsi="Aptos"/>
                <w:sz w:val="17"/>
              </w:rPr>
              <w:t>For business state changes, commit authoritative Application/Case state and outbox first; signal Temporal afterward through idempotent delivery.</w:t>
            </w:r>
          </w:p>
        </w:tc>
        <w:tc>
          <w:tcPr>
            <w:tcW w:type="dxa" w:w="3672"/>
            <w:tcMar>
              <w:top w:w="80" w:type="dxa"/>
              <w:start w:w="100" w:type="dxa"/>
              <w:bottom w:w="80" w:type="dxa"/>
              <w:end w:w="100" w:type="dxa"/>
            </w:tcMar>
            <w:vAlign w:val="center"/>
          </w:tcPr>
          <w:p>
            <w:pPr>
              <w:spacing w:after="0" w:before="0"/>
            </w:pPr>
            <w:r/>
            <w:r>
              <w:rPr>
                <w:rFonts w:ascii="Aptos" w:hAnsi="Aptos"/>
                <w:sz w:val="17"/>
              </w:rPr>
              <w:t>Temporal cannot be ahead of authoritative case state.</w:t>
            </w:r>
          </w:p>
        </w:tc>
      </w:tr>
      <w:tr>
        <w:trPr>
          <w:cantSplit/>
        </w:trPr>
        <w:tc>
          <w:tcPr>
            <w:tcW w:type="dxa" w:w="1656"/>
            <w:tcMar>
              <w:top w:w="80" w:type="dxa"/>
              <w:start w:w="100" w:type="dxa"/>
              <w:bottom w:w="80" w:type="dxa"/>
              <w:end w:w="100" w:type="dxa"/>
            </w:tcMar>
            <w:vAlign w:val="center"/>
          </w:tcPr>
          <w:p>
            <w:pPr>
              <w:spacing w:after="0" w:before="0"/>
            </w:pPr>
            <w:r/>
            <w:r>
              <w:rPr>
                <w:rFonts w:ascii="Aptos" w:hAnsi="Aptos"/>
                <w:b/>
                <w:color w:val="1F2937"/>
                <w:sz w:val="17"/>
              </w:rPr>
              <w:t>Evidence status</w:t>
            </w:r>
          </w:p>
        </w:tc>
        <w:tc>
          <w:tcPr>
            <w:tcW w:type="dxa" w:w="5184"/>
            <w:tcMar>
              <w:top w:w="80" w:type="dxa"/>
              <w:start w:w="100" w:type="dxa"/>
              <w:bottom w:w="80" w:type="dxa"/>
              <w:end w:w="100" w:type="dxa"/>
            </w:tcMar>
            <w:vAlign w:val="center"/>
          </w:tcPr>
          <w:p>
            <w:pPr>
              <w:spacing w:after="0" w:before="0"/>
            </w:pPr>
            <w:r/>
            <w:r>
              <w:rPr>
                <w:rFonts w:ascii="Aptos" w:hAnsi="Aptos"/>
                <w:sz w:val="17"/>
              </w:rPr>
              <w:t>Maintain separate technical acceptance status (RECEIVED/QUARANTINED/SCANNED/ACCEPTED/REJECTED) and business verification status (PENDING/VERIFIED/FAILED/EXPIRED/SUPERSEDED/NOT_REQUIRED).</w:t>
            </w:r>
          </w:p>
        </w:tc>
        <w:tc>
          <w:tcPr>
            <w:tcW w:type="dxa" w:w="3672"/>
            <w:tcMar>
              <w:top w:w="80" w:type="dxa"/>
              <w:start w:w="100" w:type="dxa"/>
              <w:bottom w:w="80" w:type="dxa"/>
              <w:end w:w="100" w:type="dxa"/>
            </w:tcMar>
            <w:vAlign w:val="center"/>
          </w:tcPr>
          <w:p>
            <w:pPr>
              <w:spacing w:after="0" w:before="0"/>
            </w:pPr>
            <w:r/>
            <w:r>
              <w:rPr>
                <w:rFonts w:ascii="Aptos" w:hAnsi="Aptos"/>
                <w:sz w:val="17"/>
              </w:rPr>
              <w:t>A malware-clean PDF is never treated as government-verified evidence merely because scanning passed.</w:t>
            </w:r>
          </w:p>
        </w:tc>
      </w:tr>
      <w:tr>
        <w:trPr>
          <w:cantSplit/>
        </w:trPr>
        <w:tc>
          <w:tcPr>
            <w:tcW w:type="dxa" w:w="1656"/>
            <w:tcMar>
              <w:top w:w="80" w:type="dxa"/>
              <w:start w:w="100" w:type="dxa"/>
              <w:bottom w:w="80" w:type="dxa"/>
              <w:end w:w="100" w:type="dxa"/>
            </w:tcMar>
            <w:vAlign w:val="center"/>
          </w:tcPr>
          <w:p>
            <w:pPr>
              <w:spacing w:after="0" w:before="0"/>
            </w:pPr>
            <w:r/>
            <w:r>
              <w:rPr>
                <w:rFonts w:ascii="Aptos" w:hAnsi="Aptos"/>
                <w:b/>
                <w:color w:val="1F2937"/>
                <w:sz w:val="17"/>
              </w:rPr>
              <w:t>Withdrawal</w:t>
            </w:r>
          </w:p>
        </w:tc>
        <w:tc>
          <w:tcPr>
            <w:tcW w:type="dxa" w:w="5184"/>
            <w:tcMar>
              <w:top w:w="80" w:type="dxa"/>
              <w:start w:w="100" w:type="dxa"/>
              <w:bottom w:w="80" w:type="dxa"/>
              <w:end w:w="100" w:type="dxa"/>
            </w:tcMar>
            <w:vAlign w:val="center"/>
          </w:tcPr>
          <w:p>
            <w:pPr>
              <w:spacing w:after="0" w:before="0"/>
            </w:pPr>
            <w:r/>
            <w:r>
              <w:rPr>
                <w:rFonts w:ascii="Aptos" w:hAnsi="Aptos"/>
                <w:sz w:val="17"/>
              </w:rPr>
              <w:t>Support WITHDRAWAL_REQUESTED -&gt; WITHDRAWN only from service-configured states and authority rules.</w:t>
            </w:r>
          </w:p>
        </w:tc>
        <w:tc>
          <w:tcPr>
            <w:tcW w:type="dxa" w:w="3672"/>
            <w:tcMar>
              <w:top w:w="80" w:type="dxa"/>
              <w:start w:w="100" w:type="dxa"/>
              <w:bottom w:w="80" w:type="dxa"/>
              <w:end w:w="100" w:type="dxa"/>
            </w:tcMar>
            <w:vAlign w:val="center"/>
          </w:tcPr>
          <w:p>
            <w:pPr>
              <w:spacing w:after="0" w:before="0"/>
            </w:pPr>
            <w:r/>
            <w:r>
              <w:rPr>
                <w:rFonts w:ascii="Aptos" w:hAnsi="Aptos"/>
                <w:sz w:val="17"/>
              </w:rPr>
              <w:t>Post-submission withdrawal is explicit, policy-driven and auditable.</w:t>
            </w:r>
          </w:p>
        </w:tc>
      </w:tr>
      <w:tr>
        <w:trPr>
          <w:cantSplit/>
        </w:trPr>
        <w:tc>
          <w:tcPr>
            <w:tcW w:type="dxa" w:w="1656"/>
            <w:tcMar>
              <w:top w:w="80" w:type="dxa"/>
              <w:start w:w="100" w:type="dxa"/>
              <w:bottom w:w="80" w:type="dxa"/>
              <w:end w:w="100" w:type="dxa"/>
            </w:tcMar>
            <w:vAlign w:val="center"/>
          </w:tcPr>
          <w:p>
            <w:pPr>
              <w:spacing w:after="0" w:before="0"/>
            </w:pPr>
            <w:r/>
            <w:r>
              <w:rPr>
                <w:rFonts w:ascii="Aptos" w:hAnsi="Aptos"/>
                <w:b/>
                <w:color w:val="1F2937"/>
                <w:sz w:val="17"/>
              </w:rPr>
              <w:t>Cancellation</w:t>
            </w:r>
          </w:p>
        </w:tc>
        <w:tc>
          <w:tcPr>
            <w:tcW w:type="dxa" w:w="5184"/>
            <w:tcMar>
              <w:top w:w="80" w:type="dxa"/>
              <w:start w:w="100" w:type="dxa"/>
              <w:bottom w:w="80" w:type="dxa"/>
              <w:end w:w="100" w:type="dxa"/>
            </w:tcMar>
            <w:vAlign w:val="center"/>
          </w:tcPr>
          <w:p>
            <w:pPr>
              <w:spacing w:after="0" w:before="0"/>
            </w:pPr>
            <w:r/>
            <w:r>
              <w:rPr>
                <w:rFonts w:ascii="Aptos" w:hAnsi="Aptos"/>
                <w:sz w:val="17"/>
              </w:rPr>
              <w:t>Support CANCELLATION_REQUESTED -&gt; CANCELLED under configured reasons/authority; payment refund remains a separate payment workflow.</w:t>
            </w:r>
          </w:p>
        </w:tc>
        <w:tc>
          <w:tcPr>
            <w:tcW w:type="dxa" w:w="3672"/>
            <w:tcMar>
              <w:top w:w="80" w:type="dxa"/>
              <w:start w:w="100" w:type="dxa"/>
              <w:bottom w:w="80" w:type="dxa"/>
              <w:end w:w="100" w:type="dxa"/>
            </w:tcMar>
            <w:vAlign w:val="center"/>
          </w:tcPr>
          <w:p>
            <w:pPr>
              <w:spacing w:after="0" w:before="0"/>
            </w:pPr>
            <w:r/>
            <w:r>
              <w:rPr>
                <w:rFonts w:ascii="Aptos" w:hAnsi="Aptos"/>
                <w:sz w:val="17"/>
              </w:rPr>
              <w:t>Cancellation cannot silently mutate a payment ledger.</w:t>
            </w:r>
          </w:p>
        </w:tc>
      </w:tr>
      <w:tr>
        <w:trPr>
          <w:cantSplit/>
        </w:trPr>
        <w:tc>
          <w:tcPr>
            <w:tcW w:type="dxa" w:w="1656"/>
            <w:tcMar>
              <w:top w:w="80" w:type="dxa"/>
              <w:start w:w="100" w:type="dxa"/>
              <w:bottom w:w="80" w:type="dxa"/>
              <w:end w:w="100" w:type="dxa"/>
            </w:tcMar>
            <w:vAlign w:val="center"/>
          </w:tcPr>
          <w:p>
            <w:pPr>
              <w:spacing w:after="0" w:before="0"/>
            </w:pPr>
            <w:r/>
            <w:r>
              <w:rPr>
                <w:rFonts w:ascii="Aptos" w:hAnsi="Aptos"/>
                <w:b/>
                <w:color w:val="1F2937"/>
                <w:sz w:val="17"/>
              </w:rPr>
              <w:t>SLA</w:t>
            </w:r>
          </w:p>
        </w:tc>
        <w:tc>
          <w:tcPr>
            <w:tcW w:type="dxa" w:w="5184"/>
            <w:tcMar>
              <w:top w:w="80" w:type="dxa"/>
              <w:start w:w="100" w:type="dxa"/>
              <w:bottom w:w="80" w:type="dxa"/>
              <w:end w:w="100" w:type="dxa"/>
            </w:tcMar>
            <w:vAlign w:val="center"/>
          </w:tcPr>
          <w:p>
            <w:pPr>
              <w:spacing w:after="0" w:before="0"/>
            </w:pPr>
            <w:r/>
            <w:r>
              <w:rPr>
                <w:rFonts w:ascii="Aptos" w:hAnsi="Aptos"/>
                <w:sz w:val="17"/>
              </w:rPr>
              <w:t>Every service version defines start anchor, business calendar, pause/resume rules, completion anchor and escalation/breach behavior.</w:t>
            </w:r>
          </w:p>
        </w:tc>
        <w:tc>
          <w:tcPr>
            <w:tcW w:type="dxa" w:w="3672"/>
            <w:tcMar>
              <w:top w:w="80" w:type="dxa"/>
              <w:start w:w="100" w:type="dxa"/>
              <w:bottom w:w="80" w:type="dxa"/>
              <w:end w:w="100" w:type="dxa"/>
            </w:tcMar>
            <w:vAlign w:val="center"/>
          </w:tcPr>
          <w:p>
            <w:pPr>
              <w:spacing w:after="0" w:before="0"/>
            </w:pPr>
            <w:r/>
            <w:r>
              <w:rPr>
                <w:rFonts w:ascii="Aptos" w:hAnsi="Aptos"/>
                <w:sz w:val="17"/>
              </w:rPr>
              <w:t>AI may not infer when the statutory clock starts.</w:t>
            </w:r>
          </w:p>
        </w:tc>
      </w:tr>
      <w:tr>
        <w:trPr>
          <w:cantSplit/>
        </w:trPr>
        <w:tc>
          <w:tcPr>
            <w:tcW w:type="dxa" w:w="1656"/>
            <w:tcMar>
              <w:top w:w="80" w:type="dxa"/>
              <w:start w:w="100" w:type="dxa"/>
              <w:bottom w:w="80" w:type="dxa"/>
              <w:end w:w="100" w:type="dxa"/>
            </w:tcMar>
            <w:vAlign w:val="center"/>
          </w:tcPr>
          <w:p>
            <w:pPr>
              <w:spacing w:after="0" w:before="0"/>
            </w:pPr>
            <w:r/>
            <w:r>
              <w:rPr>
                <w:rFonts w:ascii="Aptos" w:hAnsi="Aptos"/>
                <w:b/>
                <w:color w:val="1F2937"/>
                <w:sz w:val="17"/>
              </w:rPr>
              <w:t>Credential issuance</w:t>
            </w:r>
          </w:p>
        </w:tc>
        <w:tc>
          <w:tcPr>
            <w:tcW w:type="dxa" w:w="5184"/>
            <w:tcMar>
              <w:top w:w="80" w:type="dxa"/>
              <w:start w:w="100" w:type="dxa"/>
              <w:bottom w:w="80" w:type="dxa"/>
              <w:end w:w="100" w:type="dxa"/>
            </w:tcMar>
            <w:vAlign w:val="center"/>
          </w:tcPr>
          <w:p>
            <w:pPr>
              <w:spacing w:after="0" w:before="0"/>
            </w:pPr>
            <w:r/>
            <w:r>
              <w:rPr>
                <w:rFonts w:ascii="Aptos" w:hAnsi="Aptos"/>
                <w:sz w:val="17"/>
              </w:rPr>
              <w:t>APPROVED -&gt; SIGNING_PENDING -&gt; CredentialIssued -&gt; ISSUED -&gt; CLOSED; notification/DigiLocker failure never reverses an issued credential.</w:t>
            </w:r>
          </w:p>
        </w:tc>
        <w:tc>
          <w:tcPr>
            <w:tcW w:type="dxa" w:w="3672"/>
            <w:tcMar>
              <w:top w:w="80" w:type="dxa"/>
              <w:start w:w="100" w:type="dxa"/>
              <w:bottom w:w="80" w:type="dxa"/>
              <w:end w:w="100" w:type="dxa"/>
            </w:tcMar>
            <w:vAlign w:val="center"/>
          </w:tcPr>
          <w:p>
            <w:pPr>
              <w:spacing w:after="0" w:before="0"/>
            </w:pPr>
            <w:r/>
            <w:r>
              <w:rPr>
                <w:rFonts w:ascii="Aptos" w:hAnsi="Aptos"/>
                <w:sz w:val="17"/>
              </w:rPr>
              <w:t>Credential event and application state are traceable and idempotent.</w:t>
            </w:r>
          </w:p>
        </w:tc>
      </w:tr>
    </w:tbl>
    <w:p>
      <w:pPr>
        <w:spacing w:after="40"/>
      </w:pPr>
    </w:p>
    <w:p>
      <w:pPr>
        <w:pStyle w:val="Heading2"/>
        <w:keepNext/>
      </w:pPr>
      <w:r>
        <w:t>11.2 Case Execution transaction boundary for v1</w:t>
      </w:r>
    </w:p>
    <w:p>
      <w:pPr>
        <w:spacing w:after="100"/>
      </w:pPr>
      <w:r>
        <w:t>To avoid premature distributed transactions while preserving logical ownership, CMP-015 Application/Case, CMP-017 Work Queue/Task, CMP-019 Deficiency and CMP-029 SLA may initially be packaged inside a Case Execution Runtime with explicit internal modules and a controlled Unit of Work for transitions that require atomic case/task/SLA updates. Their public contracts and table ownership remain explicit so they can be split later without changing domain behavior.</w:t>
      </w:r>
    </w:p>
    <w:p>
      <w:pPr>
        <w:pStyle w:val="Heading1"/>
        <w:keepNext/>
      </w:pPr>
      <w:r>
        <w:t>12. Module-wise Design, Development, Verification &amp; Certification</w:t>
      </w:r>
    </w:p>
    <w:p>
      <w:pPr>
        <w:spacing w:after="100"/>
      </w:pPr>
      <w:r>
        <w:t>The existing CMP-001 to CMP-061 sections remain the detailed functional/technical contracts. This section adds the execution and certification layer. Each component must pass its component gates and the module must then pass module integration gates before a release can claim the module is certified.</w:t>
      </w:r>
    </w:p>
    <w:p>
      <w:pPr>
        <w:pStyle w:val="Heading2"/>
        <w:keepNext/>
      </w:pPr>
      <w:r>
        <w:t>12.1 M01 - Government Foundation &amp; Tenant Control</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Establish the authoritative government/service configuration plane, tenant/org/jurisdiction semantics, master data, versioning and controlled publication.</w:t>
            </w:r>
          </w:p>
        </w:tc>
      </w:tr>
    </w:tbl>
    <w:p>
      <w:pPr>
        <w:spacing w:after="40"/>
      </w:pPr>
    </w:p>
    <w:p>
      <w:pPr>
        <w:spacing w:after="100"/>
      </w:pPr>
      <w:r>
        <w:t>Module invariant: No service runtime is allowed to invent tenant, organisation, jurisdiction, master-data or publication semantics locally.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CMP-001 Catalogue, CMP-002 Tenant &amp; Organisation, CMP-003 Jurisdiction, CMP-033 Metadata, CMP-034 Master Data Service, CMP-051 Publishing, CMP-052 Versioning &amp; Configuration Registry, CMP-053 Localization Service</w:t>
      </w:r>
    </w:p>
    <w:p>
      <w:pPr>
        <w:pStyle w:val="Heading3"/>
        <w:keepNext/>
      </w:pPr>
      <w:r>
        <w:t>CMP-001 - Catalogue: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Catalogue. Special focus: Immutable canonical/local service publication, no state-specific code branches, exact executable-version references.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CMP-001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Immutable canonical/local service publication, no state-specific code branches, exact executable-version references.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CMP-002 - Tenant &amp; Organisation: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Tenant &amp; Organisation. Special focus: No hierarchy cycles or cross-tenant office references; cell/isolation changes are effective-dated and audited.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CMP-002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No hierarchy cycles or cross-tenant office references; cell/isolation changes are effective-dated and audited.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CMP-003 - Jurisdiction: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Jurisdiction. Special focus: Versioned non-hardcoded jurisdiction hierarchy; containment/resolution deterministic and cache-safe.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CMP-003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Versioned non-hardcoded jurisdiction hierarchy; containment/resolution deterministic and cache-safe.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CMP-033 - Metadata: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Metadata. Special focus: Configuration schemas validate before publication; environment/tenant overrides are typed and versioned.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CMP-033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Configuration schemas validate before publication; environment/tenant overrides are typed and versioned.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CMP-034 - Master Data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Master Data Service. Special focus: Reference/master data effective dates and codes are governed; no scattered hard-coded enums.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CMP-034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Reference/master data effective dates and codes are governed; no scattered hard-coded enums.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CMP-051 - Publishing: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Publishing. Special focus: Maker and checker separation-of-duties enforced; self-approval blocked; publication atomic/versioned.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CMP-051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Maker and checker separation-of-duties enforced; self-approval blocked; publication atomic/versioned.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CMP-052 - Versioning &amp; Configuration Registry: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Versioning &amp; Configuration Registry. Special focus: Published versions immutable, applications pin exact versions, compatibility/deprecation explicit.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CMP-052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Published versions immutable, applications pin exact versions, compatibility/deprecation explicit.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CMP-053 - Localization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Localization Service. Special focus: Translation/fallback/versioning supports local languages without changing field semantics or legal text silently.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CMP-053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Translation/fallback/versioning supports local languages without changing field semantics or legal text silently.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2"/>
        <w:keepNext/>
      </w:pPr>
      <w:r>
        <w:t>12.2 M02 - Identity, Privacy, Audit &amp; Security</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Provide trusted principals, reusable claims, consent/purpose, immutable audit evidence and policy/security controls.</w:t>
            </w:r>
          </w:p>
        </w:tc>
      </w:tr>
    </w:tbl>
    <w:p>
      <w:pPr>
        <w:spacing w:after="40"/>
      </w:pPr>
    </w:p>
    <w:p>
      <w:pPr>
        <w:spacing w:after="100"/>
      </w:pPr>
      <w:r>
        <w:t>Module invariant: Authentication, authorization, consent and audit must remain distinct responsibilities with fail-closed tenant boundaries.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CMP-004 Identity, CMP-005 Profile, CMP-030 Privacy, CMP-031 Audit, CMP-048 Security Platform</w:t>
      </w:r>
    </w:p>
    <w:p>
      <w:pPr>
        <w:pStyle w:val="Heading3"/>
        <w:keepNext/>
      </w:pPr>
      <w:r>
        <w:t>CMP-004 - Identity: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Identity. Special focus: OTP and workforce identity planes separated; immutable citizen_id; test OTP cannot exist in production; local token validation.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CMP-004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OTP and workforce identity planes separated; immutable citizen_id; test OTP cannot exist in production; local token validation.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CMP-005 - Profile: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Profile. Special focus: Claim provenance/assurance/expiry/consent preserved; one tenant cannot inspect another tenant application history.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CMP-005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Claim provenance/assurance/expiry/consent preserved; one tenant cannot inspect another tenant application history.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CMP-030 - Privacy: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Privacy. Special focus: Purpose/consent grant, revocation and access records are explicit; downstream access reacts to revoked consent.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CMP-030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Purpose/consent grant, revocation and access records are explicit; downstream access reacts to revoked consent.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CMP-031 - Audit: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Audit. Special focus: Append-only/tamper-evident audit metadata; no secrets/full sensitive payloads; material actions traceable.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CMP-031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Append-only/tamper-evident audit metadata; no secrets/full sensitive payloads; material actions traceable.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CMP-048 - Security Platform: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Security Platform. Special focus: OPA/KMS/secrets/WAF/security controls fail closed; policy bundles/version decisions auditable; RLS remains hard boundary.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CMP-048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OPA/KMS/secrets/WAF/security controls fail closed; policy bundles/version decisions auditable; RLS remains hard boundary.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2"/>
        <w:keepNext/>
      </w:pPr>
      <w:r>
        <w:t>12.3 M03 - Service Design Studio &amp; Configuration</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Let authorized tenant teams create services with no/low code using forms, deterministic rules, evidence policy, AI assistance, validation, tests and maker-checker governance.</w:t>
            </w:r>
          </w:p>
        </w:tc>
      </w:tr>
    </w:tbl>
    <w:p>
      <w:pPr>
        <w:spacing w:after="40"/>
      </w:pPr>
    </w:p>
    <w:p>
      <w:pPr>
        <w:spacing w:after="100"/>
      </w:pPr>
      <w:r>
        <w:t>Module invariant: The golden Residence Certificate must be authored/published as metadata, not bespoke React/TypeScript service code.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CMP-008 Rules, CMP-009 Forms, CMP-011 Evidence, CMP-040 AI Service Designer Agent, CMP-043 Validation, CMP-044 AI Testing, CMP-050 Studio</w:t>
      </w:r>
    </w:p>
    <w:p>
      <w:pPr>
        <w:pStyle w:val="Heading3"/>
        <w:keepNext/>
      </w:pPr>
      <w:r>
        <w:t>CMP-008 - Rules: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Rules. Special focus: Same version + same input gives same output/reason trace; no arbitrary code/LLM in statutory decisions.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CMP-008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Same version + same input gives same output/reason trace; no arbitrary code/LLM in statutory decisions.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CMP-009 - Forms: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Forms. Special focus: One metadata form renders consistently across web/mobile; server validation authoritative; no service-specific UI page required.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CMP-009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One metadata form renders consistently across web/mobile; server validation authoritative; no service-specific UI page required.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CMP-011 - Evidence: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Evidence. Special focus: Evidence alternatives/exemptions are versioned/replayable; no hidden requirement outside published policy.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CMP-011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Evidence alternatives/exemptions are versioned/replayable; no hidden requirement outside published policy.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CMP-040 - AI Service Designer Agent: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AI Service Designer Agent. Special focus: AI generates service metadata/drafts/tests with provenance; human/maker-checker required to publish.</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CMP-040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AI generates service metadata/drafts/tests with provenance; human/maker-checker required to publish.</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CMP-043 - Validation: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Validation. Special focus: Validation combines deterministic schema/rule/workflow/access checks; AI findings are advisory and explainable.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CMP-043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Validation combines deterministic schema/rule/workflow/access checks; AI findings are advisory and explainable.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CMP-044 - AI Testing: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AI Testing. Special focus: AI may generate/triage tests but VERIFIED requires actual execution evidence and traceability.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CMP-044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AI may generate/triage tests but VERIFIED requires actual execution evidence and traceability.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CMP-050 - Studio: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Studio. Special focus: Studio/admin actions are tenant-scoped, maker-checker controlled, previewable and fully audited.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CMP-050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Studio/admin actions are tenant-scoped, maker-checker controlled, previewable and fully audited.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2"/>
        <w:keepNext/>
      </w:pPr>
      <w:r>
        <w:t>12.4 M04 - Citizen Experience &amp; Accessibility</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Deliver discoverable, multilingual, accessible citizen journeys with explainable recommendations and optional AI assistance.</w:t>
            </w:r>
          </w:p>
        </w:tc>
      </w:tr>
    </w:tbl>
    <w:p>
      <w:pPr>
        <w:spacing w:after="40"/>
      </w:pPr>
    </w:p>
    <w:p>
      <w:pPr>
        <w:spacing w:after="100"/>
      </w:pPr>
      <w:r>
        <w:t>Module invariant: AI assistance and recommendation can guide but cannot silently decide statutory eligibility or bypass form/rule validation.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CMP-006 Discovery, CMP-007 Recommendation Engine, CMP-010 AI Form Assistant, CMP-041 AI Citizen Assistant, CMP-054 Design System / Accessibility Layer</w:t>
      </w:r>
    </w:p>
    <w:p>
      <w:pPr>
        <w:pStyle w:val="Heading3"/>
        <w:keepNext/>
      </w:pPr>
      <w:r>
        <w:t>CMP-006 - Discovery: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Discovery. Special focus: Only published/jurisdiction-available services appear; OpenSearch outage has controlled fallback.</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CMP-006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Only published/jurisdiction-available services appear; OpenSearch outage has controlled fallback.</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CMP-007 - Recommendation Engine: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Recommendation Engine. Special focus: Every recommendation has reason codes; recommendation is never statutory eligibility.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CMP-007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Every recommendation has reason codes; recommendation is never statutory eligibility.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CMP-010 - AI Form Assistant: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AI Form Assistant. Special focus: AI suggests patches only; user confirms; forms/rules validate; system works when AI is unavailable.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CMP-010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AI suggests patches only; user confirms; forms/rules validate; system works when AI is unavailable.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CMP-041 - AI Citizen Assistant: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AI Citizen Assistant. Special focus: Citizen AI tool access is allowlisted/purpose-scoped; cannot bypass rules or submit without citizen confirmation.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CMP-041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Citizen AI tool access is allowlisted/purpose-scoped; cannot bypass rules or submit without citizen confirmation.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CMP-054 - Design System / Accessibility Layer: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Design System / Accessibility Layer. Special focus: Shared design system passes accessibility/mobile/low-bandwidth checks and is used by generated forms.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CMP-054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Shared design system passes accessibility/mobile/low-bandwidth checks and is used by generated forms.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r>
        <w:rPr>
          <w:b w:val="0"/>
        </w:rPr>
        <w:t>Design gate: map every planned screen/control to an existing UX4G v3.0 component/pattern or document the extension gap. Figma uses UX4G foundations/tokens and includes desktop/mobile/error/loading/empty/disabled/focus states.</w:t>
      </w:r>
    </w:p>
    <w:p>
      <w:pPr/>
      <w:r>
        <w:rPr>
          <w:b w:val="0"/>
        </w:rPr>
        <w:t>Development gate: implement UX4G-backed React/Next.js and Flutter renderers, token-only theming, Storybook stories and extension-component registry. Feature modules must not create visual primitives independently.</w:t>
      </w:r>
    </w:p>
    <w:p>
      <w:pPr/>
      <w:r>
        <w:rPr>
          <w:b w:val="0"/>
        </w:rPr>
        <w:t>Verification gate: execute component tests, axe-compatible scans, keyboard traversal, focus/error semantics, 200% zoom/reflow, multilingual truncation, responsive viewport and visual-regression tests.</w:t>
      </w:r>
    </w:p>
    <w:p>
      <w:pPr/>
      <w:r>
        <w:rPr>
          <w:b w:val="0"/>
        </w:rPr>
        <w:t>Certification gate: record UX4G version, component inventory, extension inventory, exceptions/ADRs, Figma-code parity, accessibility evidence and reviewer approval. Golden journey cannot advance to G6 without this evidence.</w:t>
      </w:r>
    </w:p>
    <w:p>
      <w:pPr>
        <w:pStyle w:val="Heading2"/>
        <w:keepNext/>
      </w:pPr>
      <w:r>
        <w:t>12.5 M05 - Application, Case, Workflow &amp; Official Work</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Execute the durable government process from submission through scrutiny, deficiency, verification, decision, appeal and SLA management.</w:t>
            </w:r>
          </w:p>
        </w:tc>
      </w:tr>
    </w:tbl>
    <w:p>
      <w:pPr>
        <w:spacing w:after="40"/>
      </w:pPr>
    </w:p>
    <w:p>
      <w:pPr>
        <w:spacing w:after="100"/>
      </w:pPr>
      <w:r>
        <w:t>Module invariant: Authoritative case state is PostgreSQL; Temporal sequences work; OPA authorizes actions; role/office/jurisdiction drive task assignment.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CMP-015 Application, CMP-016 Workflow, CMP-017 Tasks, CMP-018 Inspection / Verification Service, CMP-019 Deficiency, CMP-027 Grievance &amp; Feedback Engine, CMP-028 Appeal / Review Engine, CMP-029 SLA, CMP-042 AI Officer Copilot</w:t>
      </w:r>
    </w:p>
    <w:p>
      <w:pPr>
        <w:pStyle w:val="Heading3"/>
        <w:keepNext/>
      </w:pPr>
      <w:r>
        <w:t>CMP-015 - Application: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Application. Special focus: Strict state machine, optimistic locking, idempotent submit, pinned versions and transactional outbox.</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CMP-015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Strict state machine, optimistic locking, idempotent submit, pinned versions and transactional outbox.</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CMP-016 - Workflow: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Workflow. Special focus: Durable/replay-safe workflow; deterministic code; worker loss does not lose progress; business state committed before signal.</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CMP-016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Durable/replay-safe workflow; deterministic code; worker loss does not lose progress; business state committed before signal.</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CMP-017 - Tasks: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Tasks. Special focus: Atomic claim/complete; role+office+jurisdiction; OPA enforcement; transfer/delegation without workflow rewrite.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CMP-017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Atomic claim/complete; role+office+jurisdiction; OPA enforcement; transfer/delegation without workflow rewrite.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CMP-018 - Inspection / Verification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Inspection / Verification Service. Special focus: Structured verification/inspection evidence, assignment and outcome; verifier cannot exceed authority scope.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CMP-018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Structured verification/inspection evidence, assignment and outcome; verifier cannot exceed authority scope.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CMP-019 - Deficiency: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Deficiency. Special focus: Deficiency reason/evidence request, citizen response loop, SLA pause/resume and duplicate-response protection.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CMP-019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Deficiency reason/evidence request, citizen response loop, SLA pause/resume and duplicate-response protection.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CMP-027 - Grievance &amp; Feedback Engine: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Grievance &amp; Feedback Engine. Special focus: Grievance is a linked but independently authorized case; cannot leak underlying case data.</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CMP-027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Grievance is a linked but independently authorized case; cannot leak underlying case data.</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CMP-028 - Appeal / Review Engine: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Appeal / Review Engine. Special focus: Appeal preserves original decision/history and creates a linked process with explicit authority and deadlines.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CMP-028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Appeal preserves original decision/history and creates a linked process with explicit authority and deadlines.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CMP-029 - SLA: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SLA. Special focus: Explicit SLA start/completion anchors, business calendar, pause/resume and escalation; deterministic replay.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CMP-029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Explicit SLA start/completion anchors, business calendar, pause/resume and escalation; deterministic replay.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CMP-042 - AI Officer Copilot: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AI Officer Copilot. Special focus: Officer AI sees only authorized task/case data; may draft/explain but never make final statutory decision.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CMP-042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Officer AI sees only authorized task/case data; may draft/explain but never make final statutory decision.</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2"/>
        <w:keepNext/>
      </w:pPr>
      <w:r>
        <w:t>12.6 M06 - Evidence, Documents &amp; Integration Backbone</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Ingest/store/understand evidence and provide resilient external connectors/event transport without coupling providers into domain logic.</w:t>
            </w:r>
          </w:p>
        </w:tc>
      </w:tr>
    </w:tbl>
    <w:p>
      <w:pPr>
        <w:spacing w:after="40"/>
      </w:pPr>
    </w:p>
    <w:p>
      <w:pPr>
        <w:spacing w:after="100"/>
      </w:pPr>
      <w:r>
        <w:t>Module invariant: Binary content stays in S3; connector modes are REAL/SANDBOX/SIMULATED; events are at-least-once and consumers are idempotent.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CMP-012 DigiLocker, CMP-013 Upload, CMP-014 Document Intelligence / OCR Service, CMP-032 Storage, CMP-037 Integration Hub, CMP-038 Events</w:t>
      </w:r>
    </w:p>
    <w:p>
      <w:pPr>
        <w:pStyle w:val="Heading3"/>
        <w:keepNext/>
      </w:pPr>
      <w:r>
        <w:t>CMP-012 - DigiLocker: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DigiLocker. Special focus: Consent/purpose, idempotent retries and connector simulation; outage cannot lose application progress.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CMP-012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Consent/purpose, idempotent retries and connector simulation; outage cannot lose application progress.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CMP-013 - Upload: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Upload. Special focus: Direct-to-S3 quarantine, malware scan and authorized download; unscanned/infected object never usable as evidence.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CMP-013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Direct-to-S3 quarantine, malware scan and authorized download; unscanned/infected object never usable as evidence.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CMP-014 - Document Intelligence / OCR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Document Intelligence / OCR Service. Special focus: Extraction keeps confidence/source coordinates; low-confidence requires review; OCR/LLM never approves eligibility.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CMP-014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Extraction keeps confidence/source coordinates; low-confidence requires review; OCR/LLM never approves eligibility.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CMP-032 - Storage: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Storage. Special focus: S3 ownership/classification, KMS, retention/legal hold, authorized short-lived access and integrity hashes.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CMP-032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S3 ownership/classification, KMS, retention/legal hold, authorized short-lived access and integrity hashes.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CMP-037 - Integration Hub: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Integration Hub. Special focus: Connector registry, secrets, retries and REAL/SANDBOX/SIMULATED modes; business workflow never buried in adapter.</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CMP-037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Connector registry, secrets, retries and REAL/SANDBOX/SIMULATED modes; business workflow never buried in adapter.</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CMP-038 - Events: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Events. Special focus: At-least-once transport, partition keys/order where required, producer outbox and consumer deduplication/backpressure.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CMP-038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At-least-once transport, partition keys/order where required, producer outbox and consumer deduplication/backpressure.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2"/>
        <w:keepNext/>
      </w:pPr>
      <w:r>
        <w:t>12.7 M07 - Fees, Payments, Credentials &amp; Communications</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Handle money, issuance, verification and citizen/official communications with separate authoritative ledgers and asynchronous delivery.</w:t>
            </w:r>
          </w:p>
        </w:tc>
      </w:tr>
    </w:tbl>
    <w:p>
      <w:pPr>
        <w:spacing w:after="40"/>
      </w:pPr>
    </w:p>
    <w:p>
      <w:pPr>
        <w:spacing w:after="100"/>
      </w:pPr>
      <w:r>
        <w:t>Module invariant: Payment simulation must exercise the real ServiceForm payment state machine; notification failures never control authoritative application state.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CMP-020 Fee, CMP-021 Payment Service, CMP-022 Credential, CMP-023 QR, CMP-024 Credential Registry / Revocation Service, CMP-025 Notification, CMP-026 Communication / Messaging Service</w:t>
      </w:r>
    </w:p>
    <w:p>
      <w:pPr>
        <w:pStyle w:val="Heading3"/>
        <w:keepNext/>
      </w:pPr>
      <w:r>
        <w:t>CMP-020 - Fee: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Fee. Special focus: Fixed-precision money, deterministic fee quote, expiry/version and immutable quote after payment begins.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CMP-020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Fixed-precision money, deterministic fee quote, expiry/version and immutable quote after payment begins.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CMP-021 - Payment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Payment Service. Special focus: Provider adapter + ledger + reconciliation + refund; real/sandbox/simulator share same callback path; duplicate/amount mismatch tests.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CMP-021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Provider adapter + ledger + reconciliation + refund; real/sandbox/simulator share same callback path; duplicate/amount mismatch tests.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CMP-022 - Credential: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Credential. Special focus: Credential can be generated only from approved/pinned data; template/version/signing provenance retained.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CMP-022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Credential can be generated only from approved/pinned data; template/version/signing provenance retained.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CMP-023 - QR: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QR. Special focus: QR verification exposes minimum public status data, resists enumeration and reflects revocation/expiry.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CMP-023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QR verification exposes minimum public status data, resists enumeration and reflects revocation/expiry.</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CMP-024 - Credential Registry / Revocation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Credential Registry / Revocation Service. Special focus: Credential status/revocation/reissue is authoritative, auditable and idempotent.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CMP-024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Credential status/revocation/reissue is authoritative, auditable and idempotent.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CMP-025 - Notification: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Notification. Special focus: Fully async delivery, versioned templates, retry/DLQ, test sink; provider outage never blocks application state.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CMP-025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Fully async delivery, versioned templates, retry/DLQ, test sink; provider outage never blocks application state.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CMP-026 - Communication / Messaging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Communication / Messaging Service. Special focus: Two-way messages are case/participant/tenant scoped and auditable; external fanout is asynchronous.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CMP-026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Two-way messages are case/participant/tenant scoped and auditable; external fanout is asynchronous.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2"/>
        <w:keepNext/>
      </w:pPr>
      <w:r>
        <w:t>12.8 M08 - Platform Runtime, AI Gateway, Analytics &amp; DevEx</w:t>
      </w:r>
    </w:p>
    <w:tbl>
      <w:tblPr>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pPr>
              <w:spacing w:after="80"/>
            </w:pPr>
            <w:r>
              <w:rPr>
                <w:b/>
                <w:color w:val="1F4E78"/>
                <w:sz w:val="21"/>
              </w:rPr>
              <w:t>Module mission</w:t>
            </w:r>
          </w:p>
          <w:p>
            <w:pPr>
              <w:spacing w:after="0"/>
            </w:pPr>
            <w:r>
              <w:rPr>
                <w:color w:val="1F2937"/>
                <w:sz w:val="20"/>
              </w:rPr>
              <w:t>Operate the platform at scale through gateway, search, AI mediation, analytics, observability, retention and certified delivery pipelines.</w:t>
            </w:r>
          </w:p>
        </w:tc>
      </w:tr>
    </w:tbl>
    <w:p>
      <w:pPr>
        <w:spacing w:after="40"/>
      </w:pPr>
    </w:p>
    <w:p>
      <w:pPr>
        <w:spacing w:after="100"/>
      </w:pPr>
      <w:r>
        <w:t>Module invariant: Search/analytics are derived; AI is mediated; logs avoid PII; CI/CD is the enforcement and evidence plane for AI-assisted development.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8"/>
              </w:rPr>
              <w:t>Phase</w:t>
            </w:r>
          </w:p>
        </w:tc>
        <w:tc>
          <w:tcPr>
            <w:tcW w:type="dxa" w:w="9072"/>
            <w:tcMar>
              <w:top w:w="80" w:type="dxa"/>
              <w:start w:w="100" w:type="dxa"/>
              <w:bottom w:w="80" w:type="dxa"/>
              <w:end w:w="100" w:type="dxa"/>
            </w:tcMar>
            <w:vAlign w:val="center"/>
            <w:shd w:fill="1F4E78"/>
          </w:tcPr>
          <w:p>
            <w:pPr>
              <w:spacing w:after="0" w:before="0"/>
            </w:pPr>
            <w:r/>
            <w:r>
              <w:rPr>
                <w:rFonts w:ascii="Aptos" w:hAnsi="Aptos"/>
                <w:b/>
                <w:color w:val="FFFFFF"/>
                <w:sz w:val="18"/>
              </w:rPr>
              <w:t>Module gate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Design</w:t>
            </w:r>
          </w:p>
        </w:tc>
        <w:tc>
          <w:tcPr>
            <w:tcW w:type="dxa" w:w="9072"/>
            <w:tcMar>
              <w:top w:w="80" w:type="dxa"/>
              <w:start w:w="100" w:type="dxa"/>
              <w:bottom w:w="80" w:type="dxa"/>
              <w:end w:w="100" w:type="dxa"/>
            </w:tcMar>
            <w:vAlign w:val="center"/>
          </w:tcPr>
          <w:p>
            <w:pPr>
              <w:spacing w:after="0" w:before="0"/>
            </w:pPr>
            <w:r/>
            <w:r>
              <w:rPr>
                <w:rFonts w:ascii="Aptos" w:hAnsi="Aptos"/>
                <w:sz w:val="18"/>
              </w:rPr>
              <w:t>Approve module boundary/dependency diagram, data ownership, shared schemas/contracts, tenant/security model and failure/degraded modes.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Development</w:t>
            </w:r>
          </w:p>
        </w:tc>
        <w:tc>
          <w:tcPr>
            <w:tcW w:type="dxa" w:w="9072"/>
            <w:tcMar>
              <w:top w:w="80" w:type="dxa"/>
              <w:start w:w="100" w:type="dxa"/>
              <w:bottom w:w="80" w:type="dxa"/>
              <w:end w:w="100" w:type="dxa"/>
            </w:tcMar>
            <w:vAlign w:val="center"/>
          </w:tcPr>
          <w:p>
            <w:pPr>
              <w:spacing w:after="0" w:before="0"/>
            </w:pPr>
            <w:r/>
            <w:r>
              <w:rPr>
                <w:rFonts w:ascii="Aptos" w:hAnsi="Aptos"/>
                <w:sz w:val="18"/>
              </w:rPr>
              <w:t>Implement components in dependency order behind published contracts; maintain repository instructions and fixtures; no cross-component SQL.</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Verification</w:t>
            </w:r>
          </w:p>
        </w:tc>
        <w:tc>
          <w:tcPr>
            <w:tcW w:type="dxa" w:w="9072"/>
            <w:tcMar>
              <w:top w:w="80" w:type="dxa"/>
              <w:start w:w="100" w:type="dxa"/>
              <w:bottom w:w="80" w:type="dxa"/>
              <w:end w:w="100" w:type="dxa"/>
            </w:tcMar>
            <w:vAlign w:val="center"/>
          </w:tcPr>
          <w:p>
            <w:pPr>
              <w:spacing w:after="0" w:before="0"/>
            </w:pPr>
            <w:r/>
            <w:r>
              <w:rPr>
                <w:rFonts w:ascii="Aptos" w:hAnsi="Aptos"/>
                <w:sz w:val="18"/>
              </w:rPr>
              <w:t>Run component suites plus module E2E/contract tests, tenant-negative tests, failure injection and simulated external dependency scenarios.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8"/>
              </w:rPr>
              <w:t>Certification</w:t>
            </w:r>
          </w:p>
        </w:tc>
        <w:tc>
          <w:tcPr>
            <w:tcW w:type="dxa" w:w="9072"/>
            <w:tcMar>
              <w:top w:w="80" w:type="dxa"/>
              <w:start w:w="100" w:type="dxa"/>
              <w:bottom w:w="80" w:type="dxa"/>
              <w:end w:w="100" w:type="dxa"/>
            </w:tcMar>
            <w:vAlign w:val="center"/>
          </w:tcPr>
          <w:p>
            <w:pPr>
              <w:spacing w:after="0" w:before="0"/>
            </w:pPr>
            <w:r/>
            <w:r>
              <w:rPr>
                <w:rFonts w:ascii="Aptos" w:hAnsi="Aptos"/>
                <w:sz w:val="18"/>
              </w:rPr>
              <w:t>All constituent components at required gate; module integrations green; no blocker/high unresolved; traceability and evidence manifest complete.</w:t>
            </w:r>
          </w:p>
        </w:tc>
      </w:tr>
    </w:tbl>
    <w:p>
      <w:pPr>
        <w:spacing w:after="40"/>
      </w:pPr>
    </w:p>
    <w:p>
      <w:pPr>
        <w:spacing w:after="100"/>
      </w:pPr>
      <w:r>
        <w:t>Components: CMP-035 Search &amp; Indexing Service, CMP-036 API Gateway, CMP-039 AI Gateway, CMP-045 Analytics &amp; MIS Platform, CMP-046 Operational Dashboard, CMP-047 Observability Platform, CMP-049 Data Retention / Archival Engine, CMP-055 Developer Platform</w:t>
      </w:r>
    </w:p>
    <w:p>
      <w:pPr>
        <w:pStyle w:val="Heading3"/>
        <w:keepNext/>
      </w:pPr>
      <w:r>
        <w:t>CMP-035 - Search &amp; Indexing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Search &amp; Indexing Service. Special focus: Tenant-filtered derived index is rebuildable; stale/search failure never becomes authoritative.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CMP-035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Tenant-filtered derived index is rebuildable; stale/search failure never becomes authoritative.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CMP-036 - API Gateway: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API Gateway. Special focus: Authentication/rate limit/correlation/request-size policy consistent; no gateway-specific business logic.</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CMP-036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Authentication/rate limit/correlation/request-size policy consistent; no gateway-specific business logic.</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CMP-039 - AI Gateway: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AI Gateway. Special focus: All model calls through AI Gateway with provider abstraction, PII controls, model policy, budget/rate limit and audit.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CMP-039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All model calls through AI Gateway with provider abstraction, PII controls, model policy, budget/rate limit and audit.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CMP-045 - Analytics &amp; MIS Platform: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Analytics &amp; MIS Platform. Special focus: Analytics uses derived marts/lake, not heavy production OLTP; privacy/tenant aggregation controls enforced.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CMP-045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Analytics uses derived marts/lake, not heavy production OLTP; privacy/tenant aggregation controls enforced.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CMP-046 - Operational Dashboard: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Operational Dashboard. Special focus: Operational dashboards reflect telemetry/SLOs and are not legal system of record.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CMP-046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Operational dashboards reflect telemetry/SLOs and are not legal system of record.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CMP-047 - Observability Platform: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Observability Platform. Special focus: Metrics/traces/logs are correlated, SLO-driven and PII-minimized; alerting tested.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CMP-047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Metrics/traces/logs are correlated, SLO-driven and PII-minimized; alerting tested.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CMP-049 - Data Retention / Archival Engine: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Data Retention / Archival Engine. Special focus: Retention/archive/deletion/legal-hold rules are service/data-class driven and demonstrably executed.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CMP-049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Retention/archive/deletion/legal-hold rules are service/data-class driven and demonstrably executed.</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3"/>
        <w:keepNext/>
      </w:pPr>
      <w:r>
        <w:t>CMP-055 - Developer Platform: AI Build &amp; Certification Gate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7"/>
              </w:rPr>
              <w:t>Gate</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7"/>
              </w:rPr>
              <w:t>Required result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DESIGN</w:t>
            </w:r>
          </w:p>
        </w:tc>
        <w:tc>
          <w:tcPr>
            <w:tcW w:type="dxa" w:w="9000"/>
            <w:tcMar>
              <w:top w:w="80" w:type="dxa"/>
              <w:start w:w="100" w:type="dxa"/>
              <w:bottom w:w="80" w:type="dxa"/>
              <w:end w:w="100" w:type="dxa"/>
            </w:tcMar>
            <w:vAlign w:val="center"/>
          </w:tcPr>
          <w:p>
            <w:pPr>
              <w:spacing w:after="0" w:before="0"/>
            </w:pPr>
            <w:r/>
            <w:r>
              <w:rPr>
                <w:rFonts w:ascii="Aptos" w:hAnsi="Aptos"/>
                <w:sz w:val="17"/>
              </w:rPr>
              <w:t>Define owned data, tenant/privacy class, API/event contracts, state/failure model and dependency boundaries for Developer Platform. Special focus: CI/CD enforces tests/security/policy/provenance; signed artifacts/SBOM/evidence manifest; agent cannot bypass gates.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DEVELOP</w:t>
            </w:r>
          </w:p>
        </w:tc>
        <w:tc>
          <w:tcPr>
            <w:tcW w:type="dxa" w:w="9000"/>
            <w:tcMar>
              <w:top w:w="80" w:type="dxa"/>
              <w:start w:w="100" w:type="dxa"/>
              <w:bottom w:w="80" w:type="dxa"/>
              <w:end w:w="100" w:type="dxa"/>
            </w:tcMar>
            <w:vAlign w:val="center"/>
          </w:tcPr>
          <w:p>
            <w:pPr>
              <w:spacing w:after="0" w:before="0"/>
            </w:pPr>
            <w:r/>
            <w:r>
              <w:rPr>
                <w:rFonts w:ascii="Aptos" w:hAnsi="Aptos"/>
                <w:sz w:val="17"/>
              </w:rPr>
              <w:t>Implement only through approved contracts/repositories; add migrations, validation, outbox/idempotency and observability where applicable. Add simulator/sandbox adapter for any external dependency. Keep AI-generated changes traceable to CMP-055 requirements.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VERIFY</w:t>
            </w:r>
          </w:p>
        </w:tc>
        <w:tc>
          <w:tcPr>
            <w:tcW w:type="dxa" w:w="9000"/>
            <w:tcMar>
              <w:top w:w="80" w:type="dxa"/>
              <w:start w:w="100" w:type="dxa"/>
              <w:bottom w:w="80" w:type="dxa"/>
              <w:end w:w="100" w:type="dxa"/>
            </w:tcMar>
            <w:vAlign w:val="center"/>
          </w:tcPr>
          <w:p>
            <w:pPr>
              <w:spacing w:after="0" w:before="0"/>
            </w:pPr>
            <w:r/>
            <w:r>
              <w:rPr>
                <w:rFonts w:ascii="Aptos" w:hAnsi="Aptos"/>
                <w:sz w:val="17"/>
              </w:rPr>
              <w:t>Execute unit + contract + negative tenant/security tests plus component-specific failure scenarios. Prove: CI/CD enforces tests/security/policy/provenance; signed artifacts/SBOM/evidence manifest; agent cannot bypass gates.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7"/>
              </w:rPr>
              <w:t>CERTIFY</w:t>
            </w:r>
          </w:p>
        </w:tc>
        <w:tc>
          <w:tcPr>
            <w:tcW w:type="dxa" w:w="9000"/>
            <w:tcMar>
              <w:top w:w="80" w:type="dxa"/>
              <w:start w:w="100" w:type="dxa"/>
              <w:bottom w:w="80" w:type="dxa"/>
              <w:end w:w="100" w:type="dxa"/>
            </w:tcMar>
            <w:vAlign w:val="center"/>
          </w:tcPr>
          <w:p>
            <w:pPr>
              <w:spacing w:after="0" w:before="0"/>
            </w:pPr>
            <w:r/>
            <w:r>
              <w:rPr>
                <w:rFonts w:ascii="Aptos" w:hAnsi="Aptos"/>
                <w:sz w:val="17"/>
              </w:rPr>
              <w:t>G2 evidence: CI/test run + migration/contract evidence. G3 evidence for dependencies/events. G4 security/tenant evidence. G5 load/resilience when on critical path. Independent review confirms no architecture drift and closes all blocking findings.</w:t>
            </w:r>
          </w:p>
        </w:tc>
      </w:tr>
    </w:tbl>
    <w:p>
      <w:pPr>
        <w:spacing w:after="40"/>
      </w:pPr>
    </w:p>
    <w:p>
      <w:pPr>
        <w:pStyle w:val="Heading2"/>
      </w:pPr>
      <w:r>
        <w:rPr>
          <w:b w:val="0"/>
        </w:rPr>
        <w:t>12.9 M09 - World-Class Interoperability, Omnichannel, Integrity &amp; Trust</w:t>
      </w:r>
    </w:p>
    <w:tbl>
      <w:tblPr>
        <w:tblStyle w:val="TableGrid"/>
        <w:tblW w:type="auto" w:w="0"/>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7365D"/>
                <w:sz w:val="20"/>
              </w:rPr>
              <w:t>Module mission</w:t>
              <w:br/>
            </w:r>
            <w:r>
              <w:rPr>
                <w:sz w:val="19"/>
              </w:rPr>
              <w:t>Add world-class operational capabilities without destabilizing the certified core: scheduling, assisted channels, semantic governance, migration factory, integrity/risk and privacy rights; plus BPMN interoperability, signed service packages, workflow migration and AI governance.</w:t>
            </w:r>
          </w:p>
        </w:tc>
      </w:tr>
    </w:tbl>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1656"/>
            <w:vAlign w:val="center"/>
            <w:tcMar>
              <w:top w:w="80" w:type="dxa"/>
              <w:start w:w="100" w:type="dxa"/>
              <w:bottom w:w="80" w:type="dxa"/>
              <w:end w:w="100" w:type="dxa"/>
            </w:tcMar>
            <w:shd w:fill="EAF1F8"/>
          </w:tcPr>
          <w:p>
            <w:r>
              <w:rPr>
                <w:b/>
                <w:color w:val="17365D"/>
                <w:sz w:val="15"/>
              </w:rPr>
              <w:t>Component</w:t>
            </w:r>
          </w:p>
        </w:tc>
        <w:tc>
          <w:tcPr>
            <w:tcW w:type="dxa" w:w="2232"/>
            <w:vAlign w:val="center"/>
            <w:tcMar>
              <w:top w:w="80" w:type="dxa"/>
              <w:start w:w="100" w:type="dxa"/>
              <w:bottom w:w="80" w:type="dxa"/>
              <w:end w:w="100" w:type="dxa"/>
            </w:tcMar>
            <w:shd w:fill="EAF1F8"/>
          </w:tcPr>
          <w:p>
            <w:r>
              <w:rPr>
                <w:b/>
                <w:color w:val="17365D"/>
                <w:sz w:val="15"/>
              </w:rPr>
              <w:t>Design gate</w:t>
            </w:r>
          </w:p>
        </w:tc>
        <w:tc>
          <w:tcPr>
            <w:tcW w:type="dxa" w:w="2592"/>
            <w:vAlign w:val="center"/>
            <w:tcMar>
              <w:top w:w="80" w:type="dxa"/>
              <w:start w:w="100" w:type="dxa"/>
              <w:bottom w:w="80" w:type="dxa"/>
              <w:end w:w="100" w:type="dxa"/>
            </w:tcMar>
            <w:shd w:fill="EAF1F8"/>
          </w:tcPr>
          <w:p>
            <w:r>
              <w:rPr>
                <w:b/>
                <w:color w:val="17365D"/>
                <w:sz w:val="15"/>
              </w:rPr>
              <w:t>Development gate</w:t>
            </w:r>
          </w:p>
        </w:tc>
        <w:tc>
          <w:tcPr>
            <w:tcW w:type="dxa" w:w="2592"/>
            <w:vAlign w:val="center"/>
            <w:tcMar>
              <w:top w:w="80" w:type="dxa"/>
              <w:start w:w="100" w:type="dxa"/>
              <w:bottom w:w="80" w:type="dxa"/>
              <w:end w:w="100" w:type="dxa"/>
            </w:tcMar>
            <w:shd w:fill="EAF1F8"/>
          </w:tcPr>
          <w:p>
            <w:r>
              <w:rPr>
                <w:b/>
                <w:color w:val="17365D"/>
                <w:sz w:val="15"/>
              </w:rPr>
              <w:t>Verification gate</w:t>
            </w:r>
          </w:p>
        </w:tc>
        <w:tc>
          <w:tcPr>
            <w:tcW w:type="dxa" w:w="2448"/>
            <w:vAlign w:val="center"/>
            <w:tcMar>
              <w:top w:w="80" w:type="dxa"/>
              <w:start w:w="100" w:type="dxa"/>
              <w:bottom w:w="80" w:type="dxa"/>
              <w:end w:w="100" w:type="dxa"/>
            </w:tcMar>
            <w:shd w:fill="EAF1F8"/>
          </w:tcPr>
          <w:p>
            <w:r>
              <w:rPr>
                <w:b/>
                <w:color w:val="17365D"/>
                <w:sz w:val="15"/>
              </w:rPr>
              <w:t>Certification evidence</w:t>
            </w:r>
          </w:p>
        </w:tc>
      </w:tr>
      <w:tr>
        <w:trPr>
          <w:cantSplit/>
        </w:trPr>
        <w:tc>
          <w:tcPr>
            <w:tcW w:type="dxa" w:w="1656"/>
            <w:vAlign w:val="center"/>
            <w:tcMar>
              <w:top w:w="80" w:type="dxa"/>
              <w:start w:w="100" w:type="dxa"/>
              <w:bottom w:w="80" w:type="dxa"/>
              <w:end w:w="100" w:type="dxa"/>
            </w:tcMar>
          </w:tcPr>
          <w:p>
            <w:r>
              <w:rPr>
                <w:b w:val="0"/>
                <w:color w:val="333333"/>
                <w:sz w:val="15"/>
              </w:rPr>
              <w:t>CMP-056 Scheduler</w:t>
            </w:r>
          </w:p>
        </w:tc>
        <w:tc>
          <w:tcPr>
            <w:tcW w:type="dxa" w:w="2232"/>
            <w:vAlign w:val="center"/>
            <w:tcMar>
              <w:top w:w="80" w:type="dxa"/>
              <w:start w:w="100" w:type="dxa"/>
              <w:bottom w:w="80" w:type="dxa"/>
              <w:end w:w="100" w:type="dxa"/>
            </w:tcMar>
          </w:tcPr>
          <w:p>
            <w:r>
              <w:rPr>
                <w:b w:val="0"/>
                <w:color w:val="333333"/>
                <w:sz w:val="15"/>
              </w:rPr>
              <w:t>Capacity/calendar/appointment state model</w:t>
            </w:r>
          </w:p>
        </w:tc>
        <w:tc>
          <w:tcPr>
            <w:tcW w:type="dxa" w:w="2592"/>
            <w:vAlign w:val="center"/>
            <w:tcMar>
              <w:top w:w="80" w:type="dxa"/>
              <w:start w:w="100" w:type="dxa"/>
              <w:bottom w:w="80" w:type="dxa"/>
              <w:end w:w="100" w:type="dxa"/>
            </w:tcMar>
          </w:tcPr>
          <w:p>
            <w:r>
              <w:rPr>
                <w:b w:val="0"/>
                <w:color w:val="333333"/>
                <w:sz w:val="15"/>
              </w:rPr>
              <w:t>Generic scheduler + workflow/task adapters</w:t>
            </w:r>
          </w:p>
        </w:tc>
        <w:tc>
          <w:tcPr>
            <w:tcW w:type="dxa" w:w="2592"/>
            <w:vAlign w:val="center"/>
            <w:tcMar>
              <w:top w:w="80" w:type="dxa"/>
              <w:start w:w="100" w:type="dxa"/>
              <w:bottom w:w="80" w:type="dxa"/>
              <w:end w:w="100" w:type="dxa"/>
            </w:tcMar>
          </w:tcPr>
          <w:p>
            <w:r>
              <w:rPr>
                <w:b w:val="0"/>
                <w:color w:val="333333"/>
                <w:sz w:val="15"/>
              </w:rPr>
              <w:t>Concurrency, reschedule/cancel/no-show, tenant tests</w:t>
            </w:r>
          </w:p>
        </w:tc>
        <w:tc>
          <w:tcPr>
            <w:tcW w:type="dxa" w:w="2448"/>
            <w:vAlign w:val="center"/>
            <w:tcMar>
              <w:top w:w="80" w:type="dxa"/>
              <w:start w:w="100" w:type="dxa"/>
              <w:bottom w:w="80" w:type="dxa"/>
              <w:end w:w="100" w:type="dxa"/>
            </w:tcMar>
          </w:tcPr>
          <w:p>
            <w:r>
              <w:rPr>
                <w:b w:val="0"/>
                <w:color w:val="333333"/>
                <w:sz w:val="15"/>
              </w:rPr>
              <w:t>G3 + load on slot search/booking</w:t>
            </w:r>
          </w:p>
        </w:tc>
      </w:tr>
      <w:tr>
        <w:trPr>
          <w:cantSplit/>
        </w:trPr>
        <w:tc>
          <w:tcPr>
            <w:tcW w:type="dxa" w:w="1656"/>
            <w:vAlign w:val="center"/>
            <w:tcMar>
              <w:top w:w="80" w:type="dxa"/>
              <w:start w:w="100" w:type="dxa"/>
              <w:bottom w:w="80" w:type="dxa"/>
              <w:end w:w="100" w:type="dxa"/>
            </w:tcMar>
          </w:tcPr>
          <w:p>
            <w:r>
              <w:rPr>
                <w:b w:val="0"/>
                <w:color w:val="333333"/>
                <w:sz w:val="15"/>
              </w:rPr>
              <w:t>CMP-057 Assisted Service</w:t>
            </w:r>
          </w:p>
        </w:tc>
        <w:tc>
          <w:tcPr>
            <w:tcW w:type="dxa" w:w="2232"/>
            <w:vAlign w:val="center"/>
            <w:tcMar>
              <w:top w:w="80" w:type="dxa"/>
              <w:start w:w="100" w:type="dxa"/>
              <w:bottom w:w="80" w:type="dxa"/>
              <w:end w:w="100" w:type="dxa"/>
            </w:tcMar>
          </w:tcPr>
          <w:p>
            <w:r>
              <w:rPr>
                <w:b w:val="0"/>
                <w:color w:val="333333"/>
                <w:sz w:val="15"/>
              </w:rPr>
              <w:t>applied_by/applied_for + representation/consent model</w:t>
            </w:r>
          </w:p>
        </w:tc>
        <w:tc>
          <w:tcPr>
            <w:tcW w:type="dxa" w:w="2592"/>
            <w:vAlign w:val="center"/>
            <w:tcMar>
              <w:top w:w="80" w:type="dxa"/>
              <w:start w:w="100" w:type="dxa"/>
              <w:bottom w:w="80" w:type="dxa"/>
              <w:end w:w="100" w:type="dxa"/>
            </w:tcMar>
          </w:tcPr>
          <w:p>
            <w:r>
              <w:rPr>
                <w:b w:val="0"/>
                <w:color w:val="333333"/>
                <w:sz w:val="15"/>
              </w:rPr>
              <w:t>Counter/CSC/call-centre session APIs</w:t>
            </w:r>
          </w:p>
        </w:tc>
        <w:tc>
          <w:tcPr>
            <w:tcW w:type="dxa" w:w="2592"/>
            <w:vAlign w:val="center"/>
            <w:tcMar>
              <w:top w:w="80" w:type="dxa"/>
              <w:start w:w="100" w:type="dxa"/>
              <w:bottom w:w="80" w:type="dxa"/>
              <w:end w:w="100" w:type="dxa"/>
            </w:tcMar>
          </w:tcPr>
          <w:p>
            <w:r>
              <w:rPr>
                <w:b w:val="0"/>
                <w:color w:val="333333"/>
                <w:sz w:val="15"/>
              </w:rPr>
              <w:t>Impersonation, session isolation, handoff, OPA tests</w:t>
            </w:r>
          </w:p>
        </w:tc>
        <w:tc>
          <w:tcPr>
            <w:tcW w:type="dxa" w:w="2448"/>
            <w:vAlign w:val="center"/>
            <w:tcMar>
              <w:top w:w="80" w:type="dxa"/>
              <w:start w:w="100" w:type="dxa"/>
              <w:bottom w:w="80" w:type="dxa"/>
              <w:end w:w="100" w:type="dxa"/>
            </w:tcMar>
          </w:tcPr>
          <w:p>
            <w:r>
              <w:rPr>
                <w:b w:val="0"/>
                <w:color w:val="333333"/>
                <w:sz w:val="15"/>
              </w:rPr>
              <w:t>G4 security/privacy evidence</w:t>
            </w:r>
          </w:p>
        </w:tc>
      </w:tr>
      <w:tr>
        <w:trPr>
          <w:cantSplit/>
        </w:trPr>
        <w:tc>
          <w:tcPr>
            <w:tcW w:type="dxa" w:w="1656"/>
            <w:vAlign w:val="center"/>
            <w:tcMar>
              <w:top w:w="80" w:type="dxa"/>
              <w:start w:w="100" w:type="dxa"/>
              <w:bottom w:w="80" w:type="dxa"/>
              <w:end w:w="100" w:type="dxa"/>
            </w:tcMar>
          </w:tcPr>
          <w:p>
            <w:r>
              <w:rPr>
                <w:b w:val="0"/>
                <w:color w:val="333333"/>
                <w:sz w:val="15"/>
              </w:rPr>
              <w:t>CMP-058 Semantic Registry</w:t>
            </w:r>
          </w:p>
        </w:tc>
        <w:tc>
          <w:tcPr>
            <w:tcW w:type="dxa" w:w="2232"/>
            <w:vAlign w:val="center"/>
            <w:tcMar>
              <w:top w:w="80" w:type="dxa"/>
              <w:start w:w="100" w:type="dxa"/>
              <w:bottom w:w="80" w:type="dxa"/>
              <w:end w:w="100" w:type="dxa"/>
            </w:tcMar>
          </w:tcPr>
          <w:p>
            <w:r>
              <w:rPr>
                <w:b w:val="0"/>
                <w:color w:val="333333"/>
                <w:sz w:val="15"/>
              </w:rPr>
              <w:t>Canonical element/version/deprecation model</w:t>
            </w:r>
          </w:p>
        </w:tc>
        <w:tc>
          <w:tcPr>
            <w:tcW w:type="dxa" w:w="2592"/>
            <w:vAlign w:val="center"/>
            <w:tcMar>
              <w:top w:w="80" w:type="dxa"/>
              <w:start w:w="100" w:type="dxa"/>
              <w:bottom w:w="80" w:type="dxa"/>
              <w:end w:w="100" w:type="dxa"/>
            </w:tcMar>
          </w:tcPr>
          <w:p>
            <w:r>
              <w:rPr>
                <w:b w:val="0"/>
                <w:color w:val="333333"/>
                <w:sz w:val="15"/>
              </w:rPr>
              <w:t>Registry + Studio bindings + impact graph</w:t>
            </w:r>
          </w:p>
        </w:tc>
        <w:tc>
          <w:tcPr>
            <w:tcW w:type="dxa" w:w="2592"/>
            <w:vAlign w:val="center"/>
            <w:tcMar>
              <w:top w:w="80" w:type="dxa"/>
              <w:start w:w="100" w:type="dxa"/>
              <w:bottom w:w="80" w:type="dxa"/>
              <w:end w:w="100" w:type="dxa"/>
            </w:tcMar>
          </w:tcPr>
          <w:p>
            <w:r>
              <w:rPr>
                <w:b w:val="0"/>
                <w:color w:val="333333"/>
                <w:sz w:val="15"/>
              </w:rPr>
              <w:t>Compatibility, alias, code-list, deprecation tests</w:t>
            </w:r>
          </w:p>
        </w:tc>
        <w:tc>
          <w:tcPr>
            <w:tcW w:type="dxa" w:w="2448"/>
            <w:vAlign w:val="center"/>
            <w:tcMar>
              <w:top w:w="80" w:type="dxa"/>
              <w:start w:w="100" w:type="dxa"/>
              <w:bottom w:w="80" w:type="dxa"/>
              <w:end w:w="100" w:type="dxa"/>
            </w:tcMar>
          </w:tcPr>
          <w:p>
            <w:r>
              <w:rPr>
                <w:b w:val="0"/>
                <w:color w:val="333333"/>
                <w:sz w:val="15"/>
              </w:rPr>
              <w:t>G3 semantic round-trip evidence</w:t>
            </w:r>
          </w:p>
        </w:tc>
      </w:tr>
      <w:tr>
        <w:trPr>
          <w:cantSplit/>
        </w:trPr>
        <w:tc>
          <w:tcPr>
            <w:tcW w:type="dxa" w:w="1656"/>
            <w:vAlign w:val="center"/>
            <w:tcMar>
              <w:top w:w="80" w:type="dxa"/>
              <w:start w:w="100" w:type="dxa"/>
              <w:bottom w:w="80" w:type="dxa"/>
              <w:end w:w="100" w:type="dxa"/>
            </w:tcMar>
          </w:tcPr>
          <w:p>
            <w:r>
              <w:rPr>
                <w:b w:val="0"/>
                <w:color w:val="333333"/>
                <w:sz w:val="15"/>
              </w:rPr>
              <w:t>CMP-059 Migration Workbench</w:t>
            </w:r>
          </w:p>
        </w:tc>
        <w:tc>
          <w:tcPr>
            <w:tcW w:type="dxa" w:w="2232"/>
            <w:vAlign w:val="center"/>
            <w:tcMar>
              <w:top w:w="80" w:type="dxa"/>
              <w:start w:w="100" w:type="dxa"/>
              <w:bottom w:w="80" w:type="dxa"/>
              <w:end w:w="100" w:type="dxa"/>
            </w:tcMar>
          </w:tcPr>
          <w:p>
            <w:r>
              <w:rPr>
                <w:b w:val="0"/>
                <w:color w:val="333333"/>
                <w:sz w:val="15"/>
              </w:rPr>
              <w:t>Mapping/rehearsal/reconciliation model</w:t>
            </w:r>
          </w:p>
        </w:tc>
        <w:tc>
          <w:tcPr>
            <w:tcW w:type="dxa" w:w="2592"/>
            <w:vAlign w:val="center"/>
            <w:tcMar>
              <w:top w:w="80" w:type="dxa"/>
              <w:start w:w="100" w:type="dxa"/>
              <w:bottom w:w="80" w:type="dxa"/>
              <w:end w:w="100" w:type="dxa"/>
            </w:tcMar>
          </w:tcPr>
          <w:p>
            <w:r>
              <w:rPr>
                <w:b w:val="0"/>
                <w:color w:val="333333"/>
                <w:sz w:val="15"/>
              </w:rPr>
              <w:t>Profiling, mapping, batch import, rollback manifests</w:t>
            </w:r>
          </w:p>
        </w:tc>
        <w:tc>
          <w:tcPr>
            <w:tcW w:type="dxa" w:w="2592"/>
            <w:vAlign w:val="center"/>
            <w:tcMar>
              <w:top w:w="80" w:type="dxa"/>
              <w:start w:w="100" w:type="dxa"/>
              <w:bottom w:w="80" w:type="dxa"/>
              <w:end w:w="100" w:type="dxa"/>
            </w:tcMar>
          </w:tcPr>
          <w:p>
            <w:r>
              <w:rPr>
                <w:b w:val="0"/>
                <w:color w:val="333333"/>
                <w:sz w:val="15"/>
              </w:rPr>
              <w:t>Dry-run, partial failure, reconciliation tests</w:t>
            </w:r>
          </w:p>
        </w:tc>
        <w:tc>
          <w:tcPr>
            <w:tcW w:type="dxa" w:w="2448"/>
            <w:vAlign w:val="center"/>
            <w:tcMar>
              <w:top w:w="80" w:type="dxa"/>
              <w:start w:w="100" w:type="dxa"/>
              <w:bottom w:w="80" w:type="dxa"/>
              <w:end w:w="100" w:type="dxa"/>
            </w:tcMar>
          </w:tcPr>
          <w:p>
            <w:r>
              <w:rPr>
                <w:b w:val="0"/>
                <w:color w:val="333333"/>
                <w:sz w:val="15"/>
              </w:rPr>
              <w:t>Migration rehearsal and signed reconciliation</w:t>
            </w:r>
          </w:p>
        </w:tc>
      </w:tr>
      <w:tr>
        <w:trPr>
          <w:cantSplit/>
        </w:trPr>
        <w:tc>
          <w:tcPr>
            <w:tcW w:type="dxa" w:w="1656"/>
            <w:vAlign w:val="center"/>
            <w:tcMar>
              <w:top w:w="80" w:type="dxa"/>
              <w:start w:w="100" w:type="dxa"/>
              <w:bottom w:w="80" w:type="dxa"/>
              <w:end w:w="100" w:type="dxa"/>
            </w:tcMar>
          </w:tcPr>
          <w:p>
            <w:r>
              <w:rPr>
                <w:b w:val="0"/>
                <w:color w:val="333333"/>
                <w:sz w:val="15"/>
              </w:rPr>
              <w:t>CMP-060 Risk &amp; Integrity</w:t>
            </w:r>
          </w:p>
        </w:tc>
        <w:tc>
          <w:tcPr>
            <w:tcW w:type="dxa" w:w="2232"/>
            <w:vAlign w:val="center"/>
            <w:tcMar>
              <w:top w:w="80" w:type="dxa"/>
              <w:start w:w="100" w:type="dxa"/>
              <w:bottom w:w="80" w:type="dxa"/>
              <w:end w:w="100" w:type="dxa"/>
            </w:tcMar>
          </w:tcPr>
          <w:p>
            <w:r>
              <w:rPr>
                <w:b w:val="0"/>
                <w:color w:val="333333"/>
                <w:sz w:val="15"/>
              </w:rPr>
              <w:t>Signal/provenance/review/non-adverse-by-AI boundary</w:t>
            </w:r>
          </w:p>
        </w:tc>
        <w:tc>
          <w:tcPr>
            <w:tcW w:type="dxa" w:w="2592"/>
            <w:vAlign w:val="center"/>
            <w:tcMar>
              <w:top w:w="80" w:type="dxa"/>
              <w:start w:w="100" w:type="dxa"/>
              <w:bottom w:w="80" w:type="dxa"/>
              <w:end w:w="100" w:type="dxa"/>
            </w:tcMar>
          </w:tcPr>
          <w:p>
            <w:r>
              <w:rPr>
                <w:b w:val="0"/>
                <w:color w:val="333333"/>
                <w:sz w:val="15"/>
              </w:rPr>
              <w:t>Rules/model adapters + review task creation</w:t>
            </w:r>
          </w:p>
        </w:tc>
        <w:tc>
          <w:tcPr>
            <w:tcW w:type="dxa" w:w="2592"/>
            <w:vAlign w:val="center"/>
            <w:tcMar>
              <w:top w:w="80" w:type="dxa"/>
              <w:start w:w="100" w:type="dxa"/>
              <w:bottom w:w="80" w:type="dxa"/>
              <w:end w:w="100" w:type="dxa"/>
            </w:tcMar>
          </w:tcPr>
          <w:p>
            <w:r>
              <w:rPr>
                <w:b w:val="0"/>
                <w:color w:val="333333"/>
                <w:sz w:val="15"/>
              </w:rPr>
              <w:t>False-positive, provenance, tenant and human-decision tests</w:t>
            </w:r>
          </w:p>
        </w:tc>
        <w:tc>
          <w:tcPr>
            <w:tcW w:type="dxa" w:w="2448"/>
            <w:vAlign w:val="center"/>
            <w:tcMar>
              <w:top w:w="80" w:type="dxa"/>
              <w:start w:w="100" w:type="dxa"/>
              <w:bottom w:w="80" w:type="dxa"/>
              <w:end w:w="100" w:type="dxa"/>
            </w:tcMar>
          </w:tcPr>
          <w:p>
            <w:r>
              <w:rPr>
                <w:b w:val="0"/>
                <w:color w:val="333333"/>
                <w:sz w:val="15"/>
              </w:rPr>
              <w:t>G4 + model/rule evaluation evidence</w:t>
            </w:r>
          </w:p>
        </w:tc>
      </w:tr>
      <w:tr>
        <w:trPr>
          <w:cantSplit/>
        </w:trPr>
        <w:tc>
          <w:tcPr>
            <w:tcW w:type="dxa" w:w="1656"/>
            <w:vAlign w:val="center"/>
            <w:tcMar>
              <w:top w:w="80" w:type="dxa"/>
              <w:start w:w="100" w:type="dxa"/>
              <w:bottom w:w="80" w:type="dxa"/>
              <w:end w:w="100" w:type="dxa"/>
            </w:tcMar>
          </w:tcPr>
          <w:p>
            <w:r>
              <w:rPr>
                <w:b w:val="0"/>
                <w:color w:val="333333"/>
                <w:sz w:val="15"/>
              </w:rPr>
              <w:t>CMP-061 Privacy Centre</w:t>
            </w:r>
          </w:p>
        </w:tc>
        <w:tc>
          <w:tcPr>
            <w:tcW w:type="dxa" w:w="2232"/>
            <w:vAlign w:val="center"/>
            <w:tcMar>
              <w:top w:w="80" w:type="dxa"/>
              <w:start w:w="100" w:type="dxa"/>
              <w:bottom w:w="80" w:type="dxa"/>
              <w:end w:w="100" w:type="dxa"/>
            </w:tcMar>
          </w:tcPr>
          <w:p>
            <w:r>
              <w:rPr>
                <w:b w:val="0"/>
                <w:color w:val="333333"/>
                <w:sz w:val="15"/>
              </w:rPr>
              <w:t>Rights request scope/SLA/exception model</w:t>
            </w:r>
          </w:p>
        </w:tc>
        <w:tc>
          <w:tcPr>
            <w:tcW w:type="dxa" w:w="2592"/>
            <w:vAlign w:val="center"/>
            <w:tcMar>
              <w:top w:w="80" w:type="dxa"/>
              <w:start w:w="100" w:type="dxa"/>
              <w:bottom w:w="80" w:type="dxa"/>
              <w:end w:w="100" w:type="dxa"/>
            </w:tcMar>
          </w:tcPr>
          <w:p>
            <w:r>
              <w:rPr>
                <w:b w:val="0"/>
                <w:color w:val="333333"/>
                <w:sz w:val="15"/>
              </w:rPr>
              <w:t>Citizen portal + owning-component task orchestration</w:t>
            </w:r>
          </w:p>
        </w:tc>
        <w:tc>
          <w:tcPr>
            <w:tcW w:type="dxa" w:w="2592"/>
            <w:vAlign w:val="center"/>
            <w:tcMar>
              <w:top w:w="80" w:type="dxa"/>
              <w:start w:w="100" w:type="dxa"/>
              <w:bottom w:w="80" w:type="dxa"/>
              <w:end w:w="100" w:type="dxa"/>
            </w:tcMar>
          </w:tcPr>
          <w:p>
            <w:r>
              <w:rPr>
                <w:b w:val="0"/>
                <w:color w:val="333333"/>
                <w:sz w:val="15"/>
              </w:rPr>
              <w:t>Identity assurance, legal hold, failure/retry, tenant tests</w:t>
            </w:r>
          </w:p>
        </w:tc>
        <w:tc>
          <w:tcPr>
            <w:tcW w:type="dxa" w:w="2448"/>
            <w:vAlign w:val="center"/>
            <w:tcMar>
              <w:top w:w="80" w:type="dxa"/>
              <w:start w:w="100" w:type="dxa"/>
              <w:bottom w:w="80" w:type="dxa"/>
              <w:end w:w="100" w:type="dxa"/>
            </w:tcMar>
          </w:tcPr>
          <w:p>
            <w:r>
              <w:rPr>
                <w:b w:val="0"/>
                <w:color w:val="333333"/>
                <w:sz w:val="15"/>
              </w:rPr>
              <w:t>G4 privacy/audit evidence</w:t>
            </w:r>
          </w:p>
        </w:tc>
      </w:tr>
    </w:tbl>
    <w:p>
      <w:pPr>
        <w:pStyle w:val="Heading3"/>
      </w:pPr>
      <w:r>
        <w:rPr>
          <w:b w:val="0"/>
        </w:rPr>
        <w:t>CMP-056 - Scheduler &amp; Appointment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rPr>
        <w:tc>
          <w:tcPr>
            <w:tcW w:type="dxa" w:w="1656"/>
            <w:vAlign w:val="center"/>
            <w:tcMar>
              <w:top w:w="80" w:type="dxa"/>
              <w:start w:w="100" w:type="dxa"/>
              <w:bottom w:w="80" w:type="dxa"/>
              <w:end w:w="100" w:type="dxa"/>
            </w:tcMar>
          </w:tcPr>
          <w:p>
            <w:r>
              <w:rPr>
                <w:b w:val="0"/>
                <w:color w:val="333333"/>
                <w:sz w:val="17"/>
              </w:rPr>
              <w:t>DESIGN</w:t>
            </w:r>
          </w:p>
        </w:tc>
        <w:tc>
          <w:tcPr>
            <w:tcW w:type="dxa" w:w="8712"/>
            <w:vAlign w:val="center"/>
            <w:tcMar>
              <w:top w:w="80" w:type="dxa"/>
              <w:start w:w="100" w:type="dxa"/>
              <w:bottom w:w="80" w:type="dxa"/>
              <w:end w:w="100" w:type="dxa"/>
            </w:tcMar>
          </w:tcPr>
          <w:p>
            <w:r>
              <w:rPr>
                <w:b w:val="0"/>
                <w:color w:val="333333"/>
                <w:sz w:val="17"/>
              </w:rPr>
              <w:t>Define ownership, state model, API/events, tenant/privacy scope and ADRs; confirm no overlap with existing engines.</w:t>
            </w:r>
          </w:p>
        </w:tc>
      </w:tr>
      <w:tr>
        <w:trPr>
          <w:cantSplit/>
        </w:trPr>
        <w:tc>
          <w:tcPr>
            <w:tcW w:type="dxa" w:w="1656"/>
            <w:vAlign w:val="center"/>
            <w:tcMar>
              <w:top w:w="80" w:type="dxa"/>
              <w:start w:w="100" w:type="dxa"/>
              <w:bottom w:w="80" w:type="dxa"/>
              <w:end w:w="100" w:type="dxa"/>
            </w:tcMar>
          </w:tcPr>
          <w:p>
            <w:r>
              <w:rPr>
                <w:b w:val="0"/>
                <w:color w:val="333333"/>
                <w:sz w:val="17"/>
              </w:rPr>
              <w:t>DEVELOP</w:t>
            </w:r>
          </w:p>
        </w:tc>
        <w:tc>
          <w:tcPr>
            <w:tcW w:type="dxa" w:w="8712"/>
            <w:vAlign w:val="center"/>
            <w:tcMar>
              <w:top w:w="80" w:type="dxa"/>
              <w:start w:w="100" w:type="dxa"/>
              <w:bottom w:w="80" w:type="dxa"/>
              <w:end w:w="100" w:type="dxa"/>
            </w:tcMar>
          </w:tcPr>
          <w:p>
            <w:r>
              <w:rPr>
                <w:b w:val="0"/>
                <w:color w:val="333333"/>
                <w:sz w:val="17"/>
              </w:rPr>
              <w:t>Implement smallest generic capability with migrations/contracts/events/observability and no service-specific shortcuts.</w:t>
            </w:r>
          </w:p>
        </w:tc>
      </w:tr>
      <w:tr>
        <w:trPr>
          <w:cantSplit/>
        </w:trPr>
        <w:tc>
          <w:tcPr>
            <w:tcW w:type="dxa" w:w="1656"/>
            <w:vAlign w:val="center"/>
            <w:tcMar>
              <w:top w:w="80" w:type="dxa"/>
              <w:start w:w="100" w:type="dxa"/>
              <w:bottom w:w="80" w:type="dxa"/>
              <w:end w:w="100" w:type="dxa"/>
            </w:tcMar>
          </w:tcPr>
          <w:p>
            <w:r>
              <w:rPr>
                <w:b w:val="0"/>
                <w:color w:val="333333"/>
                <w:sz w:val="17"/>
              </w:rPr>
              <w:t>VERIFY</w:t>
            </w:r>
          </w:p>
        </w:tc>
        <w:tc>
          <w:tcPr>
            <w:tcW w:type="dxa" w:w="8712"/>
            <w:vAlign w:val="center"/>
            <w:tcMar>
              <w:top w:w="80" w:type="dxa"/>
              <w:start w:w="100" w:type="dxa"/>
              <w:bottom w:w="80" w:type="dxa"/>
              <w:end w:w="100" w:type="dxa"/>
            </w:tcMar>
          </w:tcPr>
          <w:p>
            <w:r>
              <w:rPr>
                <w:b w:val="0"/>
                <w:color w:val="333333"/>
                <w:sz w:val="17"/>
              </w:rPr>
              <w:t>Run unit, contract, integration, wrong-tenant/security, idempotency/failure and component-specific acceptance tests.</w:t>
            </w:r>
          </w:p>
        </w:tc>
      </w:tr>
      <w:tr>
        <w:trPr>
          <w:cantSplit/>
        </w:trPr>
        <w:tc>
          <w:tcPr>
            <w:tcW w:type="dxa" w:w="1656"/>
            <w:vAlign w:val="center"/>
            <w:tcMar>
              <w:top w:w="80" w:type="dxa"/>
              <w:start w:w="100" w:type="dxa"/>
              <w:bottom w:w="80" w:type="dxa"/>
              <w:end w:w="100" w:type="dxa"/>
            </w:tcMar>
          </w:tcPr>
          <w:p>
            <w:r>
              <w:rPr>
                <w:b w:val="0"/>
                <w:color w:val="333333"/>
                <w:sz w:val="17"/>
              </w:rPr>
              <w:t>CERTIFY</w:t>
            </w:r>
          </w:p>
        </w:tc>
        <w:tc>
          <w:tcPr>
            <w:tcW w:type="dxa" w:w="8712"/>
            <w:vAlign w:val="center"/>
            <w:tcMar>
              <w:top w:w="80" w:type="dxa"/>
              <w:start w:w="100" w:type="dxa"/>
              <w:bottom w:w="80" w:type="dxa"/>
              <w:end w:w="100" w:type="dxa"/>
            </w:tcMar>
          </w:tcPr>
          <w:p>
            <w:r>
              <w:rPr>
                <w:b w:val="0"/>
                <w:color w:val="333333"/>
                <w:sz w:val="17"/>
              </w:rPr>
              <w:t>Attach executed run IDs, migration/contract evidence, security/privacy evidence and independent review; propagate limitations to module/release.</w:t>
            </w:r>
          </w:p>
        </w:tc>
      </w:tr>
    </w:tbl>
    <w:p>
      <w:pPr>
        <w:pStyle w:val="Heading3"/>
      </w:pPr>
      <w:r>
        <w:rPr>
          <w:b w:val="0"/>
        </w:rPr>
        <w:t>CMP-057 - Assisted Service / Omnichannel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rPr>
        <w:tc>
          <w:tcPr>
            <w:tcW w:type="dxa" w:w="1656"/>
            <w:vAlign w:val="center"/>
            <w:tcMar>
              <w:top w:w="80" w:type="dxa"/>
              <w:start w:w="100" w:type="dxa"/>
              <w:bottom w:w="80" w:type="dxa"/>
              <w:end w:w="100" w:type="dxa"/>
            </w:tcMar>
          </w:tcPr>
          <w:p>
            <w:r>
              <w:rPr>
                <w:b w:val="0"/>
                <w:color w:val="333333"/>
                <w:sz w:val="17"/>
              </w:rPr>
              <w:t>DESIGN</w:t>
            </w:r>
          </w:p>
        </w:tc>
        <w:tc>
          <w:tcPr>
            <w:tcW w:type="dxa" w:w="8712"/>
            <w:vAlign w:val="center"/>
            <w:tcMar>
              <w:top w:w="80" w:type="dxa"/>
              <w:start w:w="100" w:type="dxa"/>
              <w:bottom w:w="80" w:type="dxa"/>
              <w:end w:w="100" w:type="dxa"/>
            </w:tcMar>
          </w:tcPr>
          <w:p>
            <w:r>
              <w:rPr>
                <w:b w:val="0"/>
                <w:color w:val="333333"/>
                <w:sz w:val="17"/>
              </w:rPr>
              <w:t>Define ownership, state model, API/events, tenant/privacy scope and ADRs; confirm no overlap with existing engines.</w:t>
            </w:r>
          </w:p>
        </w:tc>
      </w:tr>
      <w:tr>
        <w:trPr>
          <w:cantSplit/>
        </w:trPr>
        <w:tc>
          <w:tcPr>
            <w:tcW w:type="dxa" w:w="1656"/>
            <w:vAlign w:val="center"/>
            <w:tcMar>
              <w:top w:w="80" w:type="dxa"/>
              <w:start w:w="100" w:type="dxa"/>
              <w:bottom w:w="80" w:type="dxa"/>
              <w:end w:w="100" w:type="dxa"/>
            </w:tcMar>
          </w:tcPr>
          <w:p>
            <w:r>
              <w:rPr>
                <w:b w:val="0"/>
                <w:color w:val="333333"/>
                <w:sz w:val="17"/>
              </w:rPr>
              <w:t>DEVELOP</w:t>
            </w:r>
          </w:p>
        </w:tc>
        <w:tc>
          <w:tcPr>
            <w:tcW w:type="dxa" w:w="8712"/>
            <w:vAlign w:val="center"/>
            <w:tcMar>
              <w:top w:w="80" w:type="dxa"/>
              <w:start w:w="100" w:type="dxa"/>
              <w:bottom w:w="80" w:type="dxa"/>
              <w:end w:w="100" w:type="dxa"/>
            </w:tcMar>
          </w:tcPr>
          <w:p>
            <w:r>
              <w:rPr>
                <w:b w:val="0"/>
                <w:color w:val="333333"/>
                <w:sz w:val="17"/>
              </w:rPr>
              <w:t>Implement smallest generic capability with migrations/contracts/events/observability and no service-specific shortcuts.</w:t>
            </w:r>
          </w:p>
        </w:tc>
      </w:tr>
      <w:tr>
        <w:trPr>
          <w:cantSplit/>
        </w:trPr>
        <w:tc>
          <w:tcPr>
            <w:tcW w:type="dxa" w:w="1656"/>
            <w:vAlign w:val="center"/>
            <w:tcMar>
              <w:top w:w="80" w:type="dxa"/>
              <w:start w:w="100" w:type="dxa"/>
              <w:bottom w:w="80" w:type="dxa"/>
              <w:end w:w="100" w:type="dxa"/>
            </w:tcMar>
          </w:tcPr>
          <w:p>
            <w:r>
              <w:rPr>
                <w:b w:val="0"/>
                <w:color w:val="333333"/>
                <w:sz w:val="17"/>
              </w:rPr>
              <w:t>VERIFY</w:t>
            </w:r>
          </w:p>
        </w:tc>
        <w:tc>
          <w:tcPr>
            <w:tcW w:type="dxa" w:w="8712"/>
            <w:vAlign w:val="center"/>
            <w:tcMar>
              <w:top w:w="80" w:type="dxa"/>
              <w:start w:w="100" w:type="dxa"/>
              <w:bottom w:w="80" w:type="dxa"/>
              <w:end w:w="100" w:type="dxa"/>
            </w:tcMar>
          </w:tcPr>
          <w:p>
            <w:r>
              <w:rPr>
                <w:b w:val="0"/>
                <w:color w:val="333333"/>
                <w:sz w:val="17"/>
              </w:rPr>
              <w:t>Run unit, contract, integration, wrong-tenant/security, idempotency/failure and component-specific acceptance tests.</w:t>
            </w:r>
          </w:p>
        </w:tc>
      </w:tr>
      <w:tr>
        <w:trPr>
          <w:cantSplit/>
        </w:trPr>
        <w:tc>
          <w:tcPr>
            <w:tcW w:type="dxa" w:w="1656"/>
            <w:vAlign w:val="center"/>
            <w:tcMar>
              <w:top w:w="80" w:type="dxa"/>
              <w:start w:w="100" w:type="dxa"/>
              <w:bottom w:w="80" w:type="dxa"/>
              <w:end w:w="100" w:type="dxa"/>
            </w:tcMar>
          </w:tcPr>
          <w:p>
            <w:r>
              <w:rPr>
                <w:b w:val="0"/>
                <w:color w:val="333333"/>
                <w:sz w:val="17"/>
              </w:rPr>
              <w:t>CERTIFY</w:t>
            </w:r>
          </w:p>
        </w:tc>
        <w:tc>
          <w:tcPr>
            <w:tcW w:type="dxa" w:w="8712"/>
            <w:vAlign w:val="center"/>
            <w:tcMar>
              <w:top w:w="80" w:type="dxa"/>
              <w:start w:w="100" w:type="dxa"/>
              <w:bottom w:w="80" w:type="dxa"/>
              <w:end w:w="100" w:type="dxa"/>
            </w:tcMar>
          </w:tcPr>
          <w:p>
            <w:r>
              <w:rPr>
                <w:b w:val="0"/>
                <w:color w:val="333333"/>
                <w:sz w:val="17"/>
              </w:rPr>
              <w:t>Attach executed run IDs, migration/contract evidence, security/privacy evidence and independent review; propagate limitations to module/release.</w:t>
            </w:r>
          </w:p>
        </w:tc>
      </w:tr>
    </w:tbl>
    <w:p>
      <w:pPr>
        <w:pStyle w:val="Heading3"/>
      </w:pPr>
      <w:r>
        <w:rPr>
          <w:b w:val="0"/>
        </w:rPr>
        <w:t>CMP-058 - Government Semantic &amp; Data Dictionary Registry: AI Build &amp; Certification Gate</w:t>
      </w:r>
    </w:p>
    <w:tbl>
      <w:tblPr>
        <w:tblStyle w:val="TableGrid"/>
        <w:tblW w:type="auto" w:w="0"/>
        <w:jc w:val="center"/>
        <w:tblLook w:firstColumn="1" w:firstRow="1" w:lastColumn="0" w:lastRow="0" w:noHBand="0" w:noVBand="1" w:val="04A0"/>
      </w:tblPr>
      <w:tblGrid>
        <w:gridCol w:w="5083"/>
        <w:gridCol w:w="5083"/>
      </w:tblGrid>
      <w:tr>
        <w:trPr>
          <w:cantSplit/>
        </w:trPr>
        <w:tc>
          <w:tcPr>
            <w:tcW w:type="dxa" w:w="1656"/>
            <w:vAlign w:val="center"/>
            <w:tcMar>
              <w:top w:w="80" w:type="dxa"/>
              <w:start w:w="100" w:type="dxa"/>
              <w:bottom w:w="80" w:type="dxa"/>
              <w:end w:w="100" w:type="dxa"/>
            </w:tcMar>
          </w:tcPr>
          <w:p>
            <w:r>
              <w:rPr>
                <w:b w:val="0"/>
                <w:color w:val="333333"/>
                <w:sz w:val="17"/>
              </w:rPr>
              <w:t>DESIGN</w:t>
            </w:r>
          </w:p>
        </w:tc>
        <w:tc>
          <w:tcPr>
            <w:tcW w:type="dxa" w:w="8712"/>
            <w:vAlign w:val="center"/>
            <w:tcMar>
              <w:top w:w="80" w:type="dxa"/>
              <w:start w:w="100" w:type="dxa"/>
              <w:bottom w:w="80" w:type="dxa"/>
              <w:end w:w="100" w:type="dxa"/>
            </w:tcMar>
          </w:tcPr>
          <w:p>
            <w:r>
              <w:rPr>
                <w:b w:val="0"/>
                <w:color w:val="333333"/>
                <w:sz w:val="17"/>
              </w:rPr>
              <w:t>Define ownership, state model, API/events, tenant/privacy scope and ADRs; confirm no overlap with existing engines.</w:t>
            </w:r>
          </w:p>
        </w:tc>
      </w:tr>
      <w:tr>
        <w:trPr>
          <w:cantSplit/>
        </w:trPr>
        <w:tc>
          <w:tcPr>
            <w:tcW w:type="dxa" w:w="1656"/>
            <w:vAlign w:val="center"/>
            <w:tcMar>
              <w:top w:w="80" w:type="dxa"/>
              <w:start w:w="100" w:type="dxa"/>
              <w:bottom w:w="80" w:type="dxa"/>
              <w:end w:w="100" w:type="dxa"/>
            </w:tcMar>
          </w:tcPr>
          <w:p>
            <w:r>
              <w:rPr>
                <w:b w:val="0"/>
                <w:color w:val="333333"/>
                <w:sz w:val="17"/>
              </w:rPr>
              <w:t>DEVELOP</w:t>
            </w:r>
          </w:p>
        </w:tc>
        <w:tc>
          <w:tcPr>
            <w:tcW w:type="dxa" w:w="8712"/>
            <w:vAlign w:val="center"/>
            <w:tcMar>
              <w:top w:w="80" w:type="dxa"/>
              <w:start w:w="100" w:type="dxa"/>
              <w:bottom w:w="80" w:type="dxa"/>
              <w:end w:w="100" w:type="dxa"/>
            </w:tcMar>
          </w:tcPr>
          <w:p>
            <w:r>
              <w:rPr>
                <w:b w:val="0"/>
                <w:color w:val="333333"/>
                <w:sz w:val="17"/>
              </w:rPr>
              <w:t>Implement smallest generic capability with migrations/contracts/events/observability and no service-specific shortcuts.</w:t>
            </w:r>
          </w:p>
        </w:tc>
      </w:tr>
      <w:tr>
        <w:trPr>
          <w:cantSplit/>
        </w:trPr>
        <w:tc>
          <w:tcPr>
            <w:tcW w:type="dxa" w:w="1656"/>
            <w:vAlign w:val="center"/>
            <w:tcMar>
              <w:top w:w="80" w:type="dxa"/>
              <w:start w:w="100" w:type="dxa"/>
              <w:bottom w:w="80" w:type="dxa"/>
              <w:end w:w="100" w:type="dxa"/>
            </w:tcMar>
          </w:tcPr>
          <w:p>
            <w:r>
              <w:rPr>
                <w:b w:val="0"/>
                <w:color w:val="333333"/>
                <w:sz w:val="17"/>
              </w:rPr>
              <w:t>VERIFY</w:t>
            </w:r>
          </w:p>
        </w:tc>
        <w:tc>
          <w:tcPr>
            <w:tcW w:type="dxa" w:w="8712"/>
            <w:vAlign w:val="center"/>
            <w:tcMar>
              <w:top w:w="80" w:type="dxa"/>
              <w:start w:w="100" w:type="dxa"/>
              <w:bottom w:w="80" w:type="dxa"/>
              <w:end w:w="100" w:type="dxa"/>
            </w:tcMar>
          </w:tcPr>
          <w:p>
            <w:r>
              <w:rPr>
                <w:b w:val="0"/>
                <w:color w:val="333333"/>
                <w:sz w:val="17"/>
              </w:rPr>
              <w:t>Run unit, contract, integration, wrong-tenant/security, idempotency/failure and component-specific acceptance tests.</w:t>
            </w:r>
          </w:p>
        </w:tc>
      </w:tr>
      <w:tr>
        <w:trPr>
          <w:cantSplit/>
        </w:trPr>
        <w:tc>
          <w:tcPr>
            <w:tcW w:type="dxa" w:w="1656"/>
            <w:vAlign w:val="center"/>
            <w:tcMar>
              <w:top w:w="80" w:type="dxa"/>
              <w:start w:w="100" w:type="dxa"/>
              <w:bottom w:w="80" w:type="dxa"/>
              <w:end w:w="100" w:type="dxa"/>
            </w:tcMar>
          </w:tcPr>
          <w:p>
            <w:r>
              <w:rPr>
                <w:b w:val="0"/>
                <w:color w:val="333333"/>
                <w:sz w:val="17"/>
              </w:rPr>
              <w:t>CERTIFY</w:t>
            </w:r>
          </w:p>
        </w:tc>
        <w:tc>
          <w:tcPr>
            <w:tcW w:type="dxa" w:w="8712"/>
            <w:vAlign w:val="center"/>
            <w:tcMar>
              <w:top w:w="80" w:type="dxa"/>
              <w:start w:w="100" w:type="dxa"/>
              <w:bottom w:w="80" w:type="dxa"/>
              <w:end w:w="100" w:type="dxa"/>
            </w:tcMar>
          </w:tcPr>
          <w:p>
            <w:r>
              <w:rPr>
                <w:b w:val="0"/>
                <w:color w:val="333333"/>
                <w:sz w:val="17"/>
              </w:rPr>
              <w:t>Attach executed run IDs, migration/contract evidence, security/privacy evidence and independent review; propagate limitations to module/release.</w:t>
            </w:r>
          </w:p>
        </w:tc>
      </w:tr>
    </w:tbl>
    <w:p>
      <w:pPr>
        <w:pStyle w:val="Heading3"/>
      </w:pPr>
      <w:r>
        <w:rPr>
          <w:b w:val="0"/>
        </w:rPr>
        <w:t>CMP-059 - Migration &amp; Legacy Onboarding Workbench: AI Build &amp; Certification Gate</w:t>
      </w:r>
    </w:p>
    <w:tbl>
      <w:tblPr>
        <w:tblStyle w:val="TableGrid"/>
        <w:tblW w:type="auto" w:w="0"/>
        <w:jc w:val="center"/>
        <w:tblLook w:firstColumn="1" w:firstRow="1" w:lastColumn="0" w:lastRow="0" w:noHBand="0" w:noVBand="1" w:val="04A0"/>
      </w:tblPr>
      <w:tblGrid>
        <w:gridCol w:w="5083"/>
        <w:gridCol w:w="5083"/>
      </w:tblGrid>
      <w:tr>
        <w:trPr>
          <w:cantSplit/>
        </w:trPr>
        <w:tc>
          <w:tcPr>
            <w:tcW w:type="dxa" w:w="1656"/>
            <w:vAlign w:val="center"/>
            <w:tcMar>
              <w:top w:w="80" w:type="dxa"/>
              <w:start w:w="100" w:type="dxa"/>
              <w:bottom w:w="80" w:type="dxa"/>
              <w:end w:w="100" w:type="dxa"/>
            </w:tcMar>
          </w:tcPr>
          <w:p>
            <w:r>
              <w:rPr>
                <w:b w:val="0"/>
                <w:color w:val="333333"/>
                <w:sz w:val="17"/>
              </w:rPr>
              <w:t>DESIGN</w:t>
            </w:r>
          </w:p>
        </w:tc>
        <w:tc>
          <w:tcPr>
            <w:tcW w:type="dxa" w:w="8712"/>
            <w:vAlign w:val="center"/>
            <w:tcMar>
              <w:top w:w="80" w:type="dxa"/>
              <w:start w:w="100" w:type="dxa"/>
              <w:bottom w:w="80" w:type="dxa"/>
              <w:end w:w="100" w:type="dxa"/>
            </w:tcMar>
          </w:tcPr>
          <w:p>
            <w:r>
              <w:rPr>
                <w:b w:val="0"/>
                <w:color w:val="333333"/>
                <w:sz w:val="17"/>
              </w:rPr>
              <w:t>Define ownership, state model, API/events, tenant/privacy scope and ADRs; confirm no overlap with existing engines.</w:t>
            </w:r>
          </w:p>
        </w:tc>
      </w:tr>
      <w:tr>
        <w:trPr>
          <w:cantSplit/>
        </w:trPr>
        <w:tc>
          <w:tcPr>
            <w:tcW w:type="dxa" w:w="1656"/>
            <w:vAlign w:val="center"/>
            <w:tcMar>
              <w:top w:w="80" w:type="dxa"/>
              <w:start w:w="100" w:type="dxa"/>
              <w:bottom w:w="80" w:type="dxa"/>
              <w:end w:w="100" w:type="dxa"/>
            </w:tcMar>
          </w:tcPr>
          <w:p>
            <w:r>
              <w:rPr>
                <w:b w:val="0"/>
                <w:color w:val="333333"/>
                <w:sz w:val="17"/>
              </w:rPr>
              <w:t>DEVELOP</w:t>
            </w:r>
          </w:p>
        </w:tc>
        <w:tc>
          <w:tcPr>
            <w:tcW w:type="dxa" w:w="8712"/>
            <w:vAlign w:val="center"/>
            <w:tcMar>
              <w:top w:w="80" w:type="dxa"/>
              <w:start w:w="100" w:type="dxa"/>
              <w:bottom w:w="80" w:type="dxa"/>
              <w:end w:w="100" w:type="dxa"/>
            </w:tcMar>
          </w:tcPr>
          <w:p>
            <w:r>
              <w:rPr>
                <w:b w:val="0"/>
                <w:color w:val="333333"/>
                <w:sz w:val="17"/>
              </w:rPr>
              <w:t>Implement smallest generic capability with migrations/contracts/events/observability and no service-specific shortcuts.</w:t>
            </w:r>
          </w:p>
        </w:tc>
      </w:tr>
      <w:tr>
        <w:trPr>
          <w:cantSplit/>
        </w:trPr>
        <w:tc>
          <w:tcPr>
            <w:tcW w:type="dxa" w:w="1656"/>
            <w:vAlign w:val="center"/>
            <w:tcMar>
              <w:top w:w="80" w:type="dxa"/>
              <w:start w:w="100" w:type="dxa"/>
              <w:bottom w:w="80" w:type="dxa"/>
              <w:end w:w="100" w:type="dxa"/>
            </w:tcMar>
          </w:tcPr>
          <w:p>
            <w:r>
              <w:rPr>
                <w:b w:val="0"/>
                <w:color w:val="333333"/>
                <w:sz w:val="17"/>
              </w:rPr>
              <w:t>VERIFY</w:t>
            </w:r>
          </w:p>
        </w:tc>
        <w:tc>
          <w:tcPr>
            <w:tcW w:type="dxa" w:w="8712"/>
            <w:vAlign w:val="center"/>
            <w:tcMar>
              <w:top w:w="80" w:type="dxa"/>
              <w:start w:w="100" w:type="dxa"/>
              <w:bottom w:w="80" w:type="dxa"/>
              <w:end w:w="100" w:type="dxa"/>
            </w:tcMar>
          </w:tcPr>
          <w:p>
            <w:r>
              <w:rPr>
                <w:b w:val="0"/>
                <w:color w:val="333333"/>
                <w:sz w:val="17"/>
              </w:rPr>
              <w:t>Run unit, contract, integration, wrong-tenant/security, idempotency/failure and component-specific acceptance tests.</w:t>
            </w:r>
          </w:p>
        </w:tc>
      </w:tr>
      <w:tr>
        <w:trPr>
          <w:cantSplit/>
        </w:trPr>
        <w:tc>
          <w:tcPr>
            <w:tcW w:type="dxa" w:w="1656"/>
            <w:vAlign w:val="center"/>
            <w:tcMar>
              <w:top w:w="80" w:type="dxa"/>
              <w:start w:w="100" w:type="dxa"/>
              <w:bottom w:w="80" w:type="dxa"/>
              <w:end w:w="100" w:type="dxa"/>
            </w:tcMar>
          </w:tcPr>
          <w:p>
            <w:r>
              <w:rPr>
                <w:b w:val="0"/>
                <w:color w:val="333333"/>
                <w:sz w:val="17"/>
              </w:rPr>
              <w:t>CERTIFY</w:t>
            </w:r>
          </w:p>
        </w:tc>
        <w:tc>
          <w:tcPr>
            <w:tcW w:type="dxa" w:w="8712"/>
            <w:vAlign w:val="center"/>
            <w:tcMar>
              <w:top w:w="80" w:type="dxa"/>
              <w:start w:w="100" w:type="dxa"/>
              <w:bottom w:w="80" w:type="dxa"/>
              <w:end w:w="100" w:type="dxa"/>
            </w:tcMar>
          </w:tcPr>
          <w:p>
            <w:r>
              <w:rPr>
                <w:b w:val="0"/>
                <w:color w:val="333333"/>
                <w:sz w:val="17"/>
              </w:rPr>
              <w:t>Attach executed run IDs, migration/contract evidence, security/privacy evidence and independent review; propagate limitations to module/release.</w:t>
            </w:r>
          </w:p>
        </w:tc>
      </w:tr>
    </w:tbl>
    <w:p>
      <w:pPr>
        <w:pStyle w:val="Heading3"/>
      </w:pPr>
      <w:r>
        <w:rPr>
          <w:b w:val="0"/>
        </w:rPr>
        <w:t>CMP-060 - Risk, Fraud &amp; Integrity Service: AI Build &amp; Certification Gate</w:t>
      </w:r>
    </w:p>
    <w:tbl>
      <w:tblPr>
        <w:tblStyle w:val="TableGrid"/>
        <w:tblW w:type="auto" w:w="0"/>
        <w:jc w:val="center"/>
        <w:tblLook w:firstColumn="1" w:firstRow="1" w:lastColumn="0" w:lastRow="0" w:noHBand="0" w:noVBand="1" w:val="04A0"/>
      </w:tblPr>
      <w:tblGrid>
        <w:gridCol w:w="5083"/>
        <w:gridCol w:w="5083"/>
      </w:tblGrid>
      <w:tr>
        <w:trPr>
          <w:cantSplit/>
        </w:trPr>
        <w:tc>
          <w:tcPr>
            <w:tcW w:type="dxa" w:w="1656"/>
            <w:vAlign w:val="center"/>
            <w:tcMar>
              <w:top w:w="80" w:type="dxa"/>
              <w:start w:w="100" w:type="dxa"/>
              <w:bottom w:w="80" w:type="dxa"/>
              <w:end w:w="100" w:type="dxa"/>
            </w:tcMar>
          </w:tcPr>
          <w:p>
            <w:r>
              <w:rPr>
                <w:b w:val="0"/>
                <w:color w:val="333333"/>
                <w:sz w:val="17"/>
              </w:rPr>
              <w:t>DESIGN</w:t>
            </w:r>
          </w:p>
        </w:tc>
        <w:tc>
          <w:tcPr>
            <w:tcW w:type="dxa" w:w="8712"/>
            <w:vAlign w:val="center"/>
            <w:tcMar>
              <w:top w:w="80" w:type="dxa"/>
              <w:start w:w="100" w:type="dxa"/>
              <w:bottom w:w="80" w:type="dxa"/>
              <w:end w:w="100" w:type="dxa"/>
            </w:tcMar>
          </w:tcPr>
          <w:p>
            <w:r>
              <w:rPr>
                <w:b w:val="0"/>
                <w:color w:val="333333"/>
                <w:sz w:val="17"/>
              </w:rPr>
              <w:t>Define ownership, state model, API/events, tenant/privacy scope and ADRs; confirm no overlap with existing engines.</w:t>
            </w:r>
          </w:p>
        </w:tc>
      </w:tr>
      <w:tr>
        <w:trPr>
          <w:cantSplit/>
        </w:trPr>
        <w:tc>
          <w:tcPr>
            <w:tcW w:type="dxa" w:w="1656"/>
            <w:vAlign w:val="center"/>
            <w:tcMar>
              <w:top w:w="80" w:type="dxa"/>
              <w:start w:w="100" w:type="dxa"/>
              <w:bottom w:w="80" w:type="dxa"/>
              <w:end w:w="100" w:type="dxa"/>
            </w:tcMar>
          </w:tcPr>
          <w:p>
            <w:r>
              <w:rPr>
                <w:b w:val="0"/>
                <w:color w:val="333333"/>
                <w:sz w:val="17"/>
              </w:rPr>
              <w:t>DEVELOP</w:t>
            </w:r>
          </w:p>
        </w:tc>
        <w:tc>
          <w:tcPr>
            <w:tcW w:type="dxa" w:w="8712"/>
            <w:vAlign w:val="center"/>
            <w:tcMar>
              <w:top w:w="80" w:type="dxa"/>
              <w:start w:w="100" w:type="dxa"/>
              <w:bottom w:w="80" w:type="dxa"/>
              <w:end w:w="100" w:type="dxa"/>
            </w:tcMar>
          </w:tcPr>
          <w:p>
            <w:r>
              <w:rPr>
                <w:b w:val="0"/>
                <w:color w:val="333333"/>
                <w:sz w:val="17"/>
              </w:rPr>
              <w:t>Implement smallest generic capability with migrations/contracts/events/observability and no service-specific shortcuts.</w:t>
            </w:r>
          </w:p>
        </w:tc>
      </w:tr>
      <w:tr>
        <w:trPr>
          <w:cantSplit/>
        </w:trPr>
        <w:tc>
          <w:tcPr>
            <w:tcW w:type="dxa" w:w="1656"/>
            <w:vAlign w:val="center"/>
            <w:tcMar>
              <w:top w:w="80" w:type="dxa"/>
              <w:start w:w="100" w:type="dxa"/>
              <w:bottom w:w="80" w:type="dxa"/>
              <w:end w:w="100" w:type="dxa"/>
            </w:tcMar>
          </w:tcPr>
          <w:p>
            <w:r>
              <w:rPr>
                <w:b w:val="0"/>
                <w:color w:val="333333"/>
                <w:sz w:val="17"/>
              </w:rPr>
              <w:t>VERIFY</w:t>
            </w:r>
          </w:p>
        </w:tc>
        <w:tc>
          <w:tcPr>
            <w:tcW w:type="dxa" w:w="8712"/>
            <w:vAlign w:val="center"/>
            <w:tcMar>
              <w:top w:w="80" w:type="dxa"/>
              <w:start w:w="100" w:type="dxa"/>
              <w:bottom w:w="80" w:type="dxa"/>
              <w:end w:w="100" w:type="dxa"/>
            </w:tcMar>
          </w:tcPr>
          <w:p>
            <w:r>
              <w:rPr>
                <w:b w:val="0"/>
                <w:color w:val="333333"/>
                <w:sz w:val="17"/>
              </w:rPr>
              <w:t>Run unit, contract, integration, wrong-tenant/security, idempotency/failure and component-specific acceptance tests.</w:t>
            </w:r>
          </w:p>
        </w:tc>
      </w:tr>
      <w:tr>
        <w:trPr>
          <w:cantSplit/>
        </w:trPr>
        <w:tc>
          <w:tcPr>
            <w:tcW w:type="dxa" w:w="1656"/>
            <w:vAlign w:val="center"/>
            <w:tcMar>
              <w:top w:w="80" w:type="dxa"/>
              <w:start w:w="100" w:type="dxa"/>
              <w:bottom w:w="80" w:type="dxa"/>
              <w:end w:w="100" w:type="dxa"/>
            </w:tcMar>
          </w:tcPr>
          <w:p>
            <w:r>
              <w:rPr>
                <w:b w:val="0"/>
                <w:color w:val="333333"/>
                <w:sz w:val="17"/>
              </w:rPr>
              <w:t>CERTIFY</w:t>
            </w:r>
          </w:p>
        </w:tc>
        <w:tc>
          <w:tcPr>
            <w:tcW w:type="dxa" w:w="8712"/>
            <w:vAlign w:val="center"/>
            <w:tcMar>
              <w:top w:w="80" w:type="dxa"/>
              <w:start w:w="100" w:type="dxa"/>
              <w:bottom w:w="80" w:type="dxa"/>
              <w:end w:w="100" w:type="dxa"/>
            </w:tcMar>
          </w:tcPr>
          <w:p>
            <w:r>
              <w:rPr>
                <w:b w:val="0"/>
                <w:color w:val="333333"/>
                <w:sz w:val="17"/>
              </w:rPr>
              <w:t>Attach executed run IDs, migration/contract evidence, security/privacy evidence and independent review; propagate limitations to module/release.</w:t>
            </w:r>
          </w:p>
        </w:tc>
      </w:tr>
    </w:tbl>
    <w:p>
      <w:pPr>
        <w:pStyle w:val="Heading3"/>
      </w:pPr>
      <w:r>
        <w:rPr>
          <w:b w:val="0"/>
        </w:rPr>
        <w:t>CMP-061 - Citizen Privacy &amp; Data Rights Centre: AI Build &amp; Certification Gate</w:t>
      </w:r>
    </w:p>
    <w:tbl>
      <w:tblPr>
        <w:tblStyle w:val="TableGrid"/>
        <w:tblW w:type="auto" w:w="0"/>
        <w:jc w:val="center"/>
        <w:tblLook w:firstColumn="1" w:firstRow="1" w:lastColumn="0" w:lastRow="0" w:noHBand="0" w:noVBand="1" w:val="04A0"/>
      </w:tblPr>
      <w:tblGrid>
        <w:gridCol w:w="5083"/>
        <w:gridCol w:w="5083"/>
      </w:tblGrid>
      <w:tr>
        <w:trPr>
          <w:cantSplit/>
        </w:trPr>
        <w:tc>
          <w:tcPr>
            <w:tcW w:type="dxa" w:w="1656"/>
            <w:vAlign w:val="center"/>
            <w:tcMar>
              <w:top w:w="80" w:type="dxa"/>
              <w:start w:w="100" w:type="dxa"/>
              <w:bottom w:w="80" w:type="dxa"/>
              <w:end w:w="100" w:type="dxa"/>
            </w:tcMar>
          </w:tcPr>
          <w:p>
            <w:r>
              <w:rPr>
                <w:b w:val="0"/>
                <w:color w:val="333333"/>
                <w:sz w:val="17"/>
              </w:rPr>
              <w:t>DESIGN</w:t>
            </w:r>
          </w:p>
        </w:tc>
        <w:tc>
          <w:tcPr>
            <w:tcW w:type="dxa" w:w="8712"/>
            <w:vAlign w:val="center"/>
            <w:tcMar>
              <w:top w:w="80" w:type="dxa"/>
              <w:start w:w="100" w:type="dxa"/>
              <w:bottom w:w="80" w:type="dxa"/>
              <w:end w:w="100" w:type="dxa"/>
            </w:tcMar>
          </w:tcPr>
          <w:p>
            <w:r>
              <w:rPr>
                <w:b w:val="0"/>
                <w:color w:val="333333"/>
                <w:sz w:val="17"/>
              </w:rPr>
              <w:t>Define ownership, state model, API/events, tenant/privacy scope and ADRs; confirm no overlap with existing engines.</w:t>
            </w:r>
          </w:p>
        </w:tc>
      </w:tr>
      <w:tr>
        <w:trPr>
          <w:cantSplit/>
        </w:trPr>
        <w:tc>
          <w:tcPr>
            <w:tcW w:type="dxa" w:w="1656"/>
            <w:vAlign w:val="center"/>
            <w:tcMar>
              <w:top w:w="80" w:type="dxa"/>
              <w:start w:w="100" w:type="dxa"/>
              <w:bottom w:w="80" w:type="dxa"/>
              <w:end w:w="100" w:type="dxa"/>
            </w:tcMar>
          </w:tcPr>
          <w:p>
            <w:r>
              <w:rPr>
                <w:b w:val="0"/>
                <w:color w:val="333333"/>
                <w:sz w:val="17"/>
              </w:rPr>
              <w:t>DEVELOP</w:t>
            </w:r>
          </w:p>
        </w:tc>
        <w:tc>
          <w:tcPr>
            <w:tcW w:type="dxa" w:w="8712"/>
            <w:vAlign w:val="center"/>
            <w:tcMar>
              <w:top w:w="80" w:type="dxa"/>
              <w:start w:w="100" w:type="dxa"/>
              <w:bottom w:w="80" w:type="dxa"/>
              <w:end w:w="100" w:type="dxa"/>
            </w:tcMar>
          </w:tcPr>
          <w:p>
            <w:r>
              <w:rPr>
                <w:b w:val="0"/>
                <w:color w:val="333333"/>
                <w:sz w:val="17"/>
              </w:rPr>
              <w:t>Implement smallest generic capability with migrations/contracts/events/observability and no service-specific shortcuts.</w:t>
            </w:r>
          </w:p>
        </w:tc>
      </w:tr>
      <w:tr>
        <w:trPr>
          <w:cantSplit/>
        </w:trPr>
        <w:tc>
          <w:tcPr>
            <w:tcW w:type="dxa" w:w="1656"/>
            <w:vAlign w:val="center"/>
            <w:tcMar>
              <w:top w:w="80" w:type="dxa"/>
              <w:start w:w="100" w:type="dxa"/>
              <w:bottom w:w="80" w:type="dxa"/>
              <w:end w:w="100" w:type="dxa"/>
            </w:tcMar>
          </w:tcPr>
          <w:p>
            <w:r>
              <w:rPr>
                <w:b w:val="0"/>
                <w:color w:val="333333"/>
                <w:sz w:val="17"/>
              </w:rPr>
              <w:t>VERIFY</w:t>
            </w:r>
          </w:p>
        </w:tc>
        <w:tc>
          <w:tcPr>
            <w:tcW w:type="dxa" w:w="8712"/>
            <w:vAlign w:val="center"/>
            <w:tcMar>
              <w:top w:w="80" w:type="dxa"/>
              <w:start w:w="100" w:type="dxa"/>
              <w:bottom w:w="80" w:type="dxa"/>
              <w:end w:w="100" w:type="dxa"/>
            </w:tcMar>
          </w:tcPr>
          <w:p>
            <w:r>
              <w:rPr>
                <w:b w:val="0"/>
                <w:color w:val="333333"/>
                <w:sz w:val="17"/>
              </w:rPr>
              <w:t>Run unit, contract, integration, wrong-tenant/security, idempotency/failure and component-specific acceptance tests.</w:t>
            </w:r>
          </w:p>
        </w:tc>
      </w:tr>
      <w:tr>
        <w:trPr>
          <w:cantSplit/>
        </w:trPr>
        <w:tc>
          <w:tcPr>
            <w:tcW w:type="dxa" w:w="1656"/>
            <w:vAlign w:val="center"/>
            <w:tcMar>
              <w:top w:w="80" w:type="dxa"/>
              <w:start w:w="100" w:type="dxa"/>
              <w:bottom w:w="80" w:type="dxa"/>
              <w:end w:w="100" w:type="dxa"/>
            </w:tcMar>
          </w:tcPr>
          <w:p>
            <w:r>
              <w:rPr>
                <w:b w:val="0"/>
                <w:color w:val="333333"/>
                <w:sz w:val="17"/>
              </w:rPr>
              <w:t>CERTIFY</w:t>
            </w:r>
          </w:p>
        </w:tc>
        <w:tc>
          <w:tcPr>
            <w:tcW w:type="dxa" w:w="8712"/>
            <w:vAlign w:val="center"/>
            <w:tcMar>
              <w:top w:w="80" w:type="dxa"/>
              <w:start w:w="100" w:type="dxa"/>
              <w:bottom w:w="80" w:type="dxa"/>
              <w:end w:w="100" w:type="dxa"/>
            </w:tcMar>
          </w:tcPr>
          <w:p>
            <w:r>
              <w:rPr>
                <w:b w:val="0"/>
                <w:color w:val="333333"/>
                <w:sz w:val="17"/>
              </w:rPr>
              <w:t>Attach executed run IDs, migration/contract evidence, security/privacy evidence and independent review; propagate limitations to module/release.</w:t>
            </w:r>
          </w:p>
        </w:tc>
      </w:tr>
    </w:tbl>
    <w:p>
      <w:pPr>
        <w:pStyle w:val="Heading1"/>
        <w:keepNext/>
      </w:pPr>
      <w:r>
        <w:t>13. AI Agent Execution Protocol</w:t>
      </w:r>
    </w:p>
    <w:p>
      <w:pPr>
        <w:pStyle w:val="Heading2"/>
        <w:keepNext/>
      </w:pPr>
      <w:r>
        <w:t>13.1 Work-item contract</w:t>
      </w:r>
    </w:p>
    <w:p>
      <w:pPr>
        <w:spacing w:after="100"/>
      </w:pPr>
      <w:r>
        <w:t>Every AI coding task must begin from an issue/task file that identifies requirement IDs, component IDs, integration IDs, allowed files, non-goals, acceptance tests, simulation mode and stop conditions. The agent first produces a plan; implementation begins only when the plan does not conflict with architecture rules.</w:t>
      </w:r>
    </w:p>
    <w:tbl>
      <w:tblPr>
        <w:tblW w:type="auto" w:w="0"/>
        <w:jc w:val="center"/>
        <w:tblLook w:firstColumn="1" w:firstRow="1" w:lastColumn="0" w:lastRow="0" w:noHBand="0" w:noVBand="1" w:val="04A0"/>
      </w:tblPr>
      <w:tblGrid>
        <w:gridCol w:w="10166"/>
      </w:tblGrid>
      <w:tr>
        <w:tc>
          <w:tcPr>
            <w:tcW w:type="dxa" w:w="10166"/>
            <w:shd w:fill="F3F4F6"/>
            <w:tcMar>
              <w:top w:w="100" w:type="dxa"/>
              <w:start w:w="120" w:type="dxa"/>
              <w:bottom w:w="100" w:type="dxa"/>
              <w:end w:w="120" w:type="dxa"/>
            </w:tcMar>
          </w:tcPr>
          <w:p>
            <w:pPr>
              <w:spacing w:after="0"/>
            </w:pPr>
            <w:r>
              <w:rPr>
                <w:rFonts w:ascii="Consolas" w:hAnsi="Consolas"/>
                <w:color w:val="1F2937"/>
                <w:sz w:val="17"/>
              </w:rPr>
              <w:t>task_id: SF-DEV-&lt;id&gt;</w:t>
              <w:br/>
              <w:t>requirements: [REQ-...]</w:t>
              <w:br/>
              <w:t>components: [CMP-...]</w:t>
              <w:br/>
              <w:t>integrations: [INT-...]</w:t>
              <w:br/>
              <w:t>environment: local|ci|dev|sit|uat|preprod|prod</w:t>
              <w:br/>
              <w:t>external_mode: REAL|SANDBOX|SIMULATED</w:t>
              <w:br/>
              <w:t>allowed_paths: [...]</w:t>
              <w:br/>
              <w:t>forbidden_changes: [architecture, tenant boundary, new DB, ...]</w:t>
              <w:br/>
              <w:t>acceptance_tests: [...]</w:t>
              <w:br/>
              <w:t>required_evidence: [...]</w:t>
              <w:br/>
            </w:r>
          </w:p>
        </w:tc>
      </w:tr>
    </w:tbl>
    <w:p>
      <w:pPr>
        <w:spacing w:after="40"/>
      </w:pPr>
    </w:p>
    <w:p>
      <w:pPr>
        <w:pStyle w:val="Heading2"/>
        <w:keepNext/>
      </w:pPr>
      <w:r>
        <w:t>13.2 Agent workflow</w:t>
      </w:r>
    </w:p>
    <w:p>
      <w:pPr>
        <w:spacing w:after="40"/>
        <w:ind w:left="317" w:hanging="317"/>
      </w:pPr>
      <w:r>
        <w:rPr>
          <w:b/>
        </w:rPr>
        <w:t xml:space="preserve">1. </w:t>
      </w:r>
      <w:r>
        <w:t>Read AGENTS.md, Architecture Constitution, accepted ADRs, relevant CMP/INT sections and path-specific instructions.</w:t>
      </w:r>
    </w:p>
    <w:p>
      <w:pPr>
        <w:spacing w:after="40"/>
        <w:ind w:left="317" w:hanging="317"/>
      </w:pPr>
      <w:r>
        <w:rPr>
          <w:b/>
        </w:rPr>
        <w:t xml:space="preserve">2. </w:t>
      </w:r>
      <w:r>
        <w:t>Perform architecture verification for the task; report ambiguities before coding instead of inventing policy.</w:t>
      </w:r>
    </w:p>
    <w:p>
      <w:pPr>
        <w:spacing w:after="40"/>
        <w:ind w:left="317" w:hanging="317"/>
      </w:pPr>
      <w:r>
        <w:rPr>
          <w:b/>
        </w:rPr>
        <w:t xml:space="preserve">3. </w:t>
      </w:r>
      <w:r>
        <w:t>Write/update contracts and tests before or alongside implementation. For state machines/security boundaries, tests are mandatory before marking implementation complete.</w:t>
      </w:r>
    </w:p>
    <w:p>
      <w:pPr>
        <w:spacing w:after="40"/>
        <w:ind w:left="317" w:hanging="317"/>
      </w:pPr>
      <w:r>
        <w:rPr>
          <w:b/>
        </w:rPr>
        <w:t xml:space="preserve">4. </w:t>
      </w:r>
      <w:r>
        <w:t>Implement the smallest change consistent with generic metadata-driven architecture; no tenant/service-specific code unless explicitly approved.</w:t>
      </w:r>
    </w:p>
    <w:p>
      <w:pPr>
        <w:spacing w:after="40"/>
        <w:ind w:left="317" w:hanging="317"/>
      </w:pPr>
      <w:r>
        <w:rPr>
          <w:b/>
        </w:rPr>
        <w:t xml:space="preserve">5. </w:t>
      </w:r>
      <w:r>
        <w:t>Run formatter, lint, typecheck, unit/contract tests and component-local security/tenant tests.</w:t>
      </w:r>
    </w:p>
    <w:p>
      <w:pPr>
        <w:spacing w:after="40"/>
        <w:ind w:left="317" w:hanging="317"/>
      </w:pPr>
      <w:r>
        <w:rPr>
          <w:b/>
        </w:rPr>
        <w:t xml:space="preserve">6. </w:t>
      </w:r>
      <w:r>
        <w:t>Run integration tests using REAL/SANDBOX/SIMULATED adapters as required by the environment. Capture run IDs, logs and traces.</w:t>
      </w:r>
    </w:p>
    <w:p>
      <w:pPr>
        <w:spacing w:after="40"/>
        <w:ind w:left="317" w:hanging="317"/>
      </w:pPr>
      <w:r>
        <w:rPr>
          <w:b/>
        </w:rPr>
        <w:t xml:space="preserve">7. </w:t>
      </w:r>
      <w:r>
        <w:t>Generate a self-review report mapping requirement -&gt; files -&gt; tests -&gt; evidence. This report is not certification.</w:t>
      </w:r>
    </w:p>
    <w:p>
      <w:pPr>
        <w:spacing w:after="40"/>
        <w:ind w:left="317" w:hanging="317"/>
      </w:pPr>
      <w:r>
        <w:rPr>
          <w:b/>
        </w:rPr>
        <w:t xml:space="preserve">8. </w:t>
      </w:r>
      <w:r>
        <w:t>An independent verifier/reviewer executes or inspects required evidence and records findings.</w:t>
      </w:r>
    </w:p>
    <w:p>
      <w:pPr>
        <w:spacing w:after="40"/>
        <w:ind w:left="317" w:hanging="317"/>
      </w:pPr>
      <w:r>
        <w:rPr>
          <w:b/>
        </w:rPr>
        <w:t xml:space="preserve">9. </w:t>
      </w:r>
      <w:r>
        <w:t>CI/CD evaluates mandatory gates and publishes an immutable evidence manifest for the commit/image.</w:t>
      </w:r>
    </w:p>
    <w:p>
      <w:pPr>
        <w:spacing w:after="40"/>
        <w:ind w:left="317" w:hanging="317"/>
      </w:pPr>
      <w:r>
        <w:rPr>
          <w:b/>
        </w:rPr>
        <w:t xml:space="preserve">10. </w:t>
      </w:r>
      <w:r>
        <w:t>Authorized reviewer approves G6 or records a time-bound exception/ADR. No agent may bypass a failed required check.</w:t>
      </w:r>
    </w:p>
    <w:p>
      <w:pPr>
        <w:pStyle w:val="Heading2"/>
        <w:keepNext/>
      </w:pPr>
      <w:r>
        <w:t>13.3 Mandatory pull-request evidence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160"/>
            <w:tcMar>
              <w:top w:w="80" w:type="dxa"/>
              <w:start w:w="100" w:type="dxa"/>
              <w:bottom w:w="80" w:type="dxa"/>
              <w:end w:w="100" w:type="dxa"/>
            </w:tcMar>
            <w:vAlign w:val="center"/>
            <w:shd w:fill="1F4E78"/>
          </w:tcPr>
          <w:p>
            <w:pPr>
              <w:spacing w:after="0" w:before="0"/>
            </w:pPr>
            <w:r/>
            <w:r>
              <w:rPr>
                <w:rFonts w:ascii="Aptos" w:hAnsi="Aptos"/>
                <w:b/>
                <w:color w:val="FFFFFF"/>
                <w:sz w:val="18"/>
              </w:rPr>
              <w:t>Evidence</w:t>
            </w:r>
          </w:p>
        </w:tc>
        <w:tc>
          <w:tcPr>
            <w:tcW w:type="dxa" w:w="8352"/>
            <w:tcMar>
              <w:top w:w="80" w:type="dxa"/>
              <w:start w:w="100" w:type="dxa"/>
              <w:bottom w:w="80" w:type="dxa"/>
              <w:end w:w="100" w:type="dxa"/>
            </w:tcMar>
            <w:vAlign w:val="center"/>
            <w:shd w:fill="1F4E78"/>
          </w:tcPr>
          <w:p>
            <w:pPr>
              <w:spacing w:after="0" w:before="0"/>
            </w:pPr>
            <w:r/>
            <w:r>
              <w:rPr>
                <w:rFonts w:ascii="Aptos" w:hAnsi="Aptos"/>
                <w:b/>
                <w:color w:val="FFFFFF"/>
                <w:sz w:val="18"/>
              </w:rPr>
              <w:t>Minimum content</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Traceability</w:t>
            </w:r>
          </w:p>
        </w:tc>
        <w:tc>
          <w:tcPr>
            <w:tcW w:type="dxa" w:w="8352"/>
            <w:tcMar>
              <w:top w:w="80" w:type="dxa"/>
              <w:start w:w="100" w:type="dxa"/>
              <w:bottom w:w="80" w:type="dxa"/>
              <w:end w:w="100" w:type="dxa"/>
            </w:tcMar>
            <w:vAlign w:val="center"/>
          </w:tcPr>
          <w:p>
            <w:pPr>
              <w:spacing w:after="0" w:before="0"/>
            </w:pPr>
            <w:r/>
            <w:r>
              <w:rPr>
                <w:rFonts w:ascii="Aptos" w:hAnsi="Aptos"/>
                <w:sz w:val="18"/>
              </w:rPr>
              <w:t>Requirement IDs, CMP/INT IDs, ADR refs and changed files.</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Tests</w:t>
            </w:r>
          </w:p>
        </w:tc>
        <w:tc>
          <w:tcPr>
            <w:tcW w:type="dxa" w:w="8352"/>
            <w:tcMar>
              <w:top w:w="80" w:type="dxa"/>
              <w:start w:w="100" w:type="dxa"/>
              <w:bottom w:w="80" w:type="dxa"/>
              <w:end w:w="100" w:type="dxa"/>
            </w:tcMar>
            <w:vAlign w:val="center"/>
          </w:tcPr>
          <w:p>
            <w:pPr>
              <w:spacing w:after="0" w:before="0"/>
            </w:pPr>
            <w:r/>
            <w:r>
              <w:rPr>
                <w:rFonts w:ascii="Aptos" w:hAnsi="Aptos"/>
                <w:sz w:val="18"/>
              </w:rPr>
              <w:t>New/updated tests and actual run links/IDs; generated-but-not-run tests marked UNVERIFIED.</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Database</w:t>
            </w:r>
          </w:p>
        </w:tc>
        <w:tc>
          <w:tcPr>
            <w:tcW w:type="dxa" w:w="8352"/>
            <w:tcMar>
              <w:top w:w="80" w:type="dxa"/>
              <w:start w:w="100" w:type="dxa"/>
              <w:bottom w:w="80" w:type="dxa"/>
              <w:end w:w="100" w:type="dxa"/>
            </w:tcMar>
            <w:vAlign w:val="center"/>
          </w:tcPr>
          <w:p>
            <w:pPr>
              <w:spacing w:after="0" w:before="0"/>
            </w:pPr>
            <w:r/>
            <w:r>
              <w:rPr>
                <w:rFonts w:ascii="Aptos" w:hAnsi="Aptos"/>
                <w:sz w:val="18"/>
              </w:rPr>
              <w:t>Migration up/down/forward strategy, RLS policy impact and rollback/recovery notes.</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API/events</w:t>
            </w:r>
          </w:p>
        </w:tc>
        <w:tc>
          <w:tcPr>
            <w:tcW w:type="dxa" w:w="8352"/>
            <w:tcMar>
              <w:top w:w="80" w:type="dxa"/>
              <w:start w:w="100" w:type="dxa"/>
              <w:bottom w:w="80" w:type="dxa"/>
              <w:end w:w="100" w:type="dxa"/>
            </w:tcMar>
            <w:vAlign w:val="center"/>
          </w:tcPr>
          <w:p>
            <w:pPr>
              <w:spacing w:after="0" w:before="0"/>
            </w:pPr>
            <w:r/>
            <w:r>
              <w:rPr>
                <w:rFonts w:ascii="Aptos" w:hAnsi="Aptos"/>
                <w:sz w:val="18"/>
              </w:rPr>
              <w:t>OpenAPI/AsyncAPI/schema changes and compatibility result.</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Security</w:t>
            </w:r>
          </w:p>
        </w:tc>
        <w:tc>
          <w:tcPr>
            <w:tcW w:type="dxa" w:w="8352"/>
            <w:tcMar>
              <w:top w:w="80" w:type="dxa"/>
              <w:start w:w="100" w:type="dxa"/>
              <w:bottom w:w="80" w:type="dxa"/>
              <w:end w:w="100" w:type="dxa"/>
            </w:tcMar>
            <w:vAlign w:val="center"/>
          </w:tcPr>
          <w:p>
            <w:pPr>
              <w:spacing w:after="0" w:before="0"/>
            </w:pPr>
            <w:r/>
            <w:r>
              <w:rPr>
                <w:rFonts w:ascii="Aptos" w:hAnsi="Aptos"/>
                <w:sz w:val="18"/>
              </w:rPr>
              <w:t>SAST/SCA/secret scan; OPA/RLS negative tests where relevant; privacy/log review.</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External providers</w:t>
            </w:r>
          </w:p>
        </w:tc>
        <w:tc>
          <w:tcPr>
            <w:tcW w:type="dxa" w:w="8352"/>
            <w:tcMar>
              <w:top w:w="80" w:type="dxa"/>
              <w:start w:w="100" w:type="dxa"/>
              <w:bottom w:w="80" w:type="dxa"/>
              <w:end w:w="100" w:type="dxa"/>
            </w:tcMar>
            <w:vAlign w:val="center"/>
          </w:tcPr>
          <w:p>
            <w:pPr>
              <w:spacing w:after="0" w:before="0"/>
            </w:pPr>
            <w:r/>
            <w:r>
              <w:rPr>
                <w:rFonts w:ascii="Aptos" w:hAnsi="Aptos"/>
                <w:sz w:val="18"/>
              </w:rPr>
              <w:t>Mode used (REAL/SANDBOX/SIMULATED), simulator scenario coverage and provider-specific evidence when in scope.</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Performance</w:t>
            </w:r>
          </w:p>
        </w:tc>
        <w:tc>
          <w:tcPr>
            <w:tcW w:type="dxa" w:w="8352"/>
            <w:tcMar>
              <w:top w:w="80" w:type="dxa"/>
              <w:start w:w="100" w:type="dxa"/>
              <w:bottom w:w="80" w:type="dxa"/>
              <w:end w:w="100" w:type="dxa"/>
            </w:tcMar>
            <w:vAlign w:val="center"/>
          </w:tcPr>
          <w:p>
            <w:pPr>
              <w:spacing w:after="0" w:before="0"/>
            </w:pPr>
            <w:r/>
            <w:r>
              <w:rPr>
                <w:rFonts w:ascii="Aptos" w:hAnsi="Aptos"/>
                <w:sz w:val="18"/>
              </w:rPr>
              <w:t>Before/after benchmark for hot-path or high-volume changes; otherwise N/A with reason.</w:t>
            </w:r>
          </w:p>
        </w:tc>
      </w:tr>
      <w:tr>
        <w:trPr>
          <w:cantSplit/>
        </w:trPr>
        <w:tc>
          <w:tcPr>
            <w:tcW w:type="dxa" w:w="2160"/>
            <w:tcMar>
              <w:top w:w="80" w:type="dxa"/>
              <w:start w:w="100" w:type="dxa"/>
              <w:bottom w:w="80" w:type="dxa"/>
              <w:end w:w="100" w:type="dxa"/>
            </w:tcMar>
            <w:vAlign w:val="center"/>
          </w:tcPr>
          <w:p>
            <w:pPr>
              <w:spacing w:after="0" w:before="0"/>
            </w:pPr>
            <w:r/>
            <w:r>
              <w:rPr>
                <w:rFonts w:ascii="Aptos" w:hAnsi="Aptos"/>
                <w:b/>
                <w:color w:val="1F2937"/>
                <w:sz w:val="18"/>
              </w:rPr>
              <w:t>AI provenance</w:t>
            </w:r>
          </w:p>
        </w:tc>
        <w:tc>
          <w:tcPr>
            <w:tcW w:type="dxa" w:w="8352"/>
            <w:tcMar>
              <w:top w:w="80" w:type="dxa"/>
              <w:start w:w="100" w:type="dxa"/>
              <w:bottom w:w="80" w:type="dxa"/>
              <w:end w:w="100" w:type="dxa"/>
            </w:tcMar>
            <w:vAlign w:val="center"/>
          </w:tcPr>
          <w:p>
            <w:pPr>
              <w:spacing w:after="0" w:before="0"/>
            </w:pPr>
            <w:r/>
            <w:r>
              <w:rPr>
                <w:rFonts w:ascii="Aptos" w:hAnsi="Aptos"/>
                <w:sz w:val="18"/>
              </w:rPr>
              <w:t>Agent/tool, model identifier if available, work record, prompt/task reference, base/result commit.</w:t>
            </w:r>
          </w:p>
        </w:tc>
      </w:tr>
    </w:tbl>
    <w:p>
      <w:pPr>
        <w:spacing w:after="40"/>
      </w:pPr>
    </w:p>
    <w:p>
      <w:pPr>
        <w:pStyle w:val="Heading1"/>
        <w:keepNext/>
      </w:pPr>
      <w:r>
        <w:t>14. Integration Verification &amp; Certification Matrix</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008"/>
            <w:tcMar>
              <w:top w:w="80" w:type="dxa"/>
              <w:start w:w="100" w:type="dxa"/>
              <w:bottom w:w="80" w:type="dxa"/>
              <w:end w:w="100" w:type="dxa"/>
            </w:tcMar>
            <w:vAlign w:val="center"/>
            <w:shd w:fill="1F4E78"/>
          </w:tcPr>
          <w:p>
            <w:pPr>
              <w:spacing w:after="0" w:before="0"/>
            </w:pPr>
            <w:r/>
            <w:r>
              <w:rPr>
                <w:rFonts w:ascii="Aptos" w:hAnsi="Aptos"/>
                <w:b/>
                <w:color w:val="FFFFFF"/>
                <w:sz w:val="15"/>
              </w:rPr>
              <w:t>ID</w:t>
            </w:r>
          </w:p>
        </w:tc>
        <w:tc>
          <w:tcPr>
            <w:tcW w:type="dxa" w:w="2520"/>
            <w:tcMar>
              <w:top w:w="80" w:type="dxa"/>
              <w:start w:w="100" w:type="dxa"/>
              <w:bottom w:w="80" w:type="dxa"/>
              <w:end w:w="100" w:type="dxa"/>
            </w:tcMar>
            <w:vAlign w:val="center"/>
            <w:shd w:fill="1F4E78"/>
          </w:tcPr>
          <w:p>
            <w:pPr>
              <w:spacing w:after="0" w:before="0"/>
            </w:pPr>
            <w:r/>
            <w:r>
              <w:rPr>
                <w:rFonts w:ascii="Aptos" w:hAnsi="Aptos"/>
                <w:b/>
                <w:color w:val="FFFFFF"/>
                <w:sz w:val="15"/>
              </w:rPr>
              <w:t>Flow</w:t>
            </w:r>
          </w:p>
        </w:tc>
        <w:tc>
          <w:tcPr>
            <w:tcW w:type="dxa" w:w="2520"/>
            <w:tcMar>
              <w:top w:w="80" w:type="dxa"/>
              <w:start w:w="100" w:type="dxa"/>
              <w:bottom w:w="80" w:type="dxa"/>
              <w:end w:w="100" w:type="dxa"/>
            </w:tcMar>
            <w:vAlign w:val="center"/>
            <w:shd w:fill="1F4E78"/>
          </w:tcPr>
          <w:p>
            <w:pPr>
              <w:spacing w:after="0" w:before="0"/>
            </w:pPr>
            <w:r/>
            <w:r>
              <w:rPr>
                <w:rFonts w:ascii="Aptos" w:hAnsi="Aptos"/>
                <w:b/>
                <w:color w:val="FFFFFF"/>
                <w:sz w:val="15"/>
              </w:rPr>
              <w:t>Dependency mode</w:t>
            </w:r>
          </w:p>
        </w:tc>
        <w:tc>
          <w:tcPr>
            <w:tcW w:type="dxa" w:w="4464"/>
            <w:tcMar>
              <w:top w:w="80" w:type="dxa"/>
              <w:start w:w="100" w:type="dxa"/>
              <w:bottom w:w="80" w:type="dxa"/>
              <w:end w:w="100" w:type="dxa"/>
            </w:tcMar>
            <w:vAlign w:val="center"/>
            <w:shd w:fill="1F4E78"/>
          </w:tcPr>
          <w:p>
            <w:pPr>
              <w:spacing w:after="0" w:before="0"/>
            </w:pPr>
            <w:r/>
            <w:r>
              <w:rPr>
                <w:rFonts w:ascii="Aptos" w:hAnsi="Aptos"/>
                <w:b/>
                <w:color w:val="FFFFFF"/>
                <w:sz w:val="15"/>
              </w:rPr>
              <w:t>Mandatory certification evidence</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INT-001</w:t>
            </w:r>
          </w:p>
        </w:tc>
        <w:tc>
          <w:tcPr>
            <w:tcW w:type="dxa" w:w="2520"/>
            <w:tcMar>
              <w:top w:w="80" w:type="dxa"/>
              <w:start w:w="100" w:type="dxa"/>
              <w:bottom w:w="80" w:type="dxa"/>
              <w:end w:w="100" w:type="dxa"/>
            </w:tcMar>
            <w:vAlign w:val="center"/>
          </w:tcPr>
          <w:p>
            <w:pPr>
              <w:spacing w:after="0" w:before="0"/>
            </w:pPr>
            <w:r/>
            <w:r>
              <w:rPr>
                <w:rFonts w:ascii="Aptos" w:hAnsi="Aptos"/>
                <w:sz w:val="15"/>
              </w:rPr>
              <w:t>Citizen authentication &amp; profile</w:t>
            </w:r>
          </w:p>
        </w:tc>
        <w:tc>
          <w:tcPr>
            <w:tcW w:type="dxa" w:w="2520"/>
            <w:tcMar>
              <w:top w:w="80" w:type="dxa"/>
              <w:start w:w="100" w:type="dxa"/>
              <w:bottom w:w="80" w:type="dxa"/>
              <w:end w:w="100" w:type="dxa"/>
            </w:tcMar>
            <w:vAlign w:val="center"/>
          </w:tcPr>
          <w:p>
            <w:pPr>
              <w:spacing w:after="0" w:before="0"/>
            </w:pPr>
            <w:r/>
            <w:r>
              <w:rPr>
                <w:rFonts w:ascii="Aptos" w:hAnsi="Aptos"/>
                <w:sz w:val="15"/>
              </w:rPr>
              <w:t>OTP simulator/sandbox; session; profile/claims; consent</w:t>
            </w:r>
          </w:p>
        </w:tc>
        <w:tc>
          <w:tcPr>
            <w:tcW w:type="dxa" w:w="4464"/>
            <w:tcMar>
              <w:top w:w="80" w:type="dxa"/>
              <w:start w:w="100" w:type="dxa"/>
              <w:bottom w:w="80" w:type="dxa"/>
              <w:end w:w="100" w:type="dxa"/>
            </w:tcMar>
            <w:vAlign w:val="center"/>
          </w:tcPr>
          <w:p>
            <w:pPr>
              <w:spacing w:after="0" w:before="0"/>
            </w:pPr>
            <w:r/>
            <w:r>
              <w:rPr>
                <w:rFonts w:ascii="Aptos" w:hAnsi="Aptos"/>
                <w:sz w:val="15"/>
              </w:rPr>
              <w:t>OTP success/wrong/expired/resend/abuse; immutable citizen_id; no prod test OTP.</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INT-002</w:t>
            </w:r>
          </w:p>
        </w:tc>
        <w:tc>
          <w:tcPr>
            <w:tcW w:type="dxa" w:w="2520"/>
            <w:tcMar>
              <w:top w:w="80" w:type="dxa"/>
              <w:start w:w="100" w:type="dxa"/>
              <w:bottom w:w="80" w:type="dxa"/>
              <w:end w:w="100" w:type="dxa"/>
            </w:tcMar>
            <w:vAlign w:val="center"/>
          </w:tcPr>
          <w:p>
            <w:pPr>
              <w:spacing w:after="0" w:before="0"/>
            </w:pPr>
            <w:r/>
            <w:r>
              <w:rPr>
                <w:rFonts w:ascii="Aptos" w:hAnsi="Aptos"/>
                <w:sz w:val="15"/>
              </w:rPr>
              <w:t>Studio -&gt; validate -&gt; maker-checker -&gt; publish</w:t>
            </w:r>
          </w:p>
        </w:tc>
        <w:tc>
          <w:tcPr>
            <w:tcW w:type="dxa" w:w="2520"/>
            <w:tcMar>
              <w:top w:w="80" w:type="dxa"/>
              <w:start w:w="100" w:type="dxa"/>
              <w:bottom w:w="80" w:type="dxa"/>
              <w:end w:w="100" w:type="dxa"/>
            </w:tcMar>
            <w:vAlign w:val="center"/>
          </w:tcPr>
          <w:p>
            <w:pPr>
              <w:spacing w:after="0" w:before="0"/>
            </w:pPr>
            <w:r/>
            <w:r>
              <w:rPr>
                <w:rFonts w:ascii="Aptos" w:hAnsi="Aptos"/>
                <w:sz w:val="15"/>
              </w:rPr>
              <w:t>Metadata only</w:t>
            </w:r>
          </w:p>
        </w:tc>
        <w:tc>
          <w:tcPr>
            <w:tcW w:type="dxa" w:w="4464"/>
            <w:tcMar>
              <w:top w:w="80" w:type="dxa"/>
              <w:start w:w="100" w:type="dxa"/>
              <w:bottom w:w="80" w:type="dxa"/>
              <w:end w:w="100" w:type="dxa"/>
            </w:tcMar>
            <w:vAlign w:val="center"/>
          </w:tcPr>
          <w:p>
            <w:pPr>
              <w:spacing w:after="0" w:before="0"/>
            </w:pPr>
            <w:r/>
            <w:r>
              <w:rPr>
                <w:rFonts w:ascii="Aptos" w:hAnsi="Aptos"/>
                <w:sz w:val="15"/>
              </w:rPr>
              <w:t>Invalid schema/rule/workflow/access rejected; maker cannot self-approve; published versions immutable.</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INT-003</w:t>
            </w:r>
          </w:p>
        </w:tc>
        <w:tc>
          <w:tcPr>
            <w:tcW w:type="dxa" w:w="2520"/>
            <w:tcMar>
              <w:top w:w="80" w:type="dxa"/>
              <w:start w:w="100" w:type="dxa"/>
              <w:bottom w:w="80" w:type="dxa"/>
              <w:end w:w="100" w:type="dxa"/>
            </w:tcMar>
            <w:vAlign w:val="center"/>
          </w:tcPr>
          <w:p>
            <w:pPr>
              <w:spacing w:after="0" w:before="0"/>
            </w:pPr>
            <w:r/>
            <w:r>
              <w:rPr>
                <w:rFonts w:ascii="Aptos" w:hAnsi="Aptos"/>
                <w:sz w:val="15"/>
              </w:rPr>
              <w:t>Discovery -&gt; recommendation -&gt; application draft</w:t>
            </w:r>
          </w:p>
        </w:tc>
        <w:tc>
          <w:tcPr>
            <w:tcW w:type="dxa" w:w="2520"/>
            <w:tcMar>
              <w:top w:w="80" w:type="dxa"/>
              <w:start w:w="100" w:type="dxa"/>
              <w:bottom w:w="80" w:type="dxa"/>
              <w:end w:w="100" w:type="dxa"/>
            </w:tcMar>
            <w:vAlign w:val="center"/>
          </w:tcPr>
          <w:p>
            <w:pPr>
              <w:spacing w:after="0" w:before="0"/>
            </w:pPr>
            <w:r/>
            <w:r>
              <w:rPr>
                <w:rFonts w:ascii="Aptos" w:hAnsi="Aptos"/>
                <w:sz w:val="15"/>
              </w:rPr>
              <w:t>OpenSearch optional degraded path</w:t>
            </w:r>
          </w:p>
        </w:tc>
        <w:tc>
          <w:tcPr>
            <w:tcW w:type="dxa" w:w="4464"/>
            <w:tcMar>
              <w:top w:w="80" w:type="dxa"/>
              <w:start w:w="100" w:type="dxa"/>
              <w:bottom w:w="80" w:type="dxa"/>
              <w:end w:w="100" w:type="dxa"/>
            </w:tcMar>
            <w:vAlign w:val="center"/>
          </w:tcPr>
          <w:p>
            <w:pPr>
              <w:spacing w:after="0" w:before="0"/>
            </w:pPr>
            <w:r/>
            <w:r>
              <w:rPr>
                <w:rFonts w:ascii="Aptos" w:hAnsi="Aptos"/>
                <w:sz w:val="15"/>
              </w:rPr>
              <w:t>Jurisdiction/published filter; recommendation reason; application pins offering/binding.</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INT-004</w:t>
            </w:r>
          </w:p>
        </w:tc>
        <w:tc>
          <w:tcPr>
            <w:tcW w:type="dxa" w:w="2520"/>
            <w:tcMar>
              <w:top w:w="80" w:type="dxa"/>
              <w:start w:w="100" w:type="dxa"/>
              <w:bottom w:w="80" w:type="dxa"/>
              <w:end w:w="100" w:type="dxa"/>
            </w:tcMar>
            <w:vAlign w:val="center"/>
          </w:tcPr>
          <w:p>
            <w:pPr>
              <w:spacing w:after="0" w:before="0"/>
            </w:pPr>
            <w:r/>
            <w:r>
              <w:rPr>
                <w:rFonts w:ascii="Aptos" w:hAnsi="Aptos"/>
                <w:sz w:val="15"/>
              </w:rPr>
              <w:t>Application submission hot path</w:t>
            </w:r>
          </w:p>
        </w:tc>
        <w:tc>
          <w:tcPr>
            <w:tcW w:type="dxa" w:w="2520"/>
            <w:tcMar>
              <w:top w:w="80" w:type="dxa"/>
              <w:start w:w="100" w:type="dxa"/>
              <w:bottom w:w="80" w:type="dxa"/>
              <w:end w:w="100" w:type="dxa"/>
            </w:tcMar>
            <w:vAlign w:val="center"/>
          </w:tcPr>
          <w:p>
            <w:pPr>
              <w:spacing w:after="0" w:before="0"/>
            </w:pPr>
            <w:r/>
            <w:r>
              <w:rPr>
                <w:rFonts w:ascii="Aptos" w:hAnsi="Aptos"/>
                <w:sz w:val="15"/>
              </w:rPr>
              <w:t>External calls excluded</w:t>
            </w:r>
          </w:p>
        </w:tc>
        <w:tc>
          <w:tcPr>
            <w:tcW w:type="dxa" w:w="4464"/>
            <w:tcMar>
              <w:top w:w="80" w:type="dxa"/>
              <w:start w:w="100" w:type="dxa"/>
              <w:bottom w:w="80" w:type="dxa"/>
              <w:end w:w="100" w:type="dxa"/>
            </w:tcMar>
            <w:vAlign w:val="center"/>
          </w:tcPr>
          <w:p>
            <w:pPr>
              <w:spacing w:after="0" w:before="0"/>
            </w:pPr>
            <w:r/>
            <w:r>
              <w:rPr>
                <w:rFonts w:ascii="Aptos" w:hAnsi="Aptos"/>
                <w:sz w:val="15"/>
              </w:rPr>
              <w:t>Idempotent duplicate submit; short transaction; audit+outbox commit; no network call in DB tx.</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INT-005</w:t>
            </w:r>
          </w:p>
        </w:tc>
        <w:tc>
          <w:tcPr>
            <w:tcW w:type="dxa" w:w="2520"/>
            <w:tcMar>
              <w:top w:w="80" w:type="dxa"/>
              <w:start w:w="100" w:type="dxa"/>
              <w:bottom w:w="80" w:type="dxa"/>
              <w:end w:w="100" w:type="dxa"/>
            </w:tcMar>
            <w:vAlign w:val="center"/>
          </w:tcPr>
          <w:p>
            <w:pPr>
              <w:spacing w:after="0" w:before="0"/>
            </w:pPr>
            <w:r/>
            <w:r>
              <w:rPr>
                <w:rFonts w:ascii="Aptos" w:hAnsi="Aptos"/>
                <w:sz w:val="15"/>
              </w:rPr>
              <w:t>Workflow &amp; officer task</w:t>
            </w:r>
          </w:p>
        </w:tc>
        <w:tc>
          <w:tcPr>
            <w:tcW w:type="dxa" w:w="2520"/>
            <w:tcMar>
              <w:top w:w="80" w:type="dxa"/>
              <w:start w:w="100" w:type="dxa"/>
              <w:bottom w:w="80" w:type="dxa"/>
              <w:end w:w="100" w:type="dxa"/>
            </w:tcMar>
            <w:vAlign w:val="center"/>
          </w:tcPr>
          <w:p>
            <w:pPr>
              <w:spacing w:after="0" w:before="0"/>
            </w:pPr>
            <w:r/>
            <w:r>
              <w:rPr>
                <w:rFonts w:ascii="Aptos" w:hAnsi="Aptos"/>
                <w:sz w:val="15"/>
              </w:rPr>
              <w:t>Temporal + OPA</w:t>
            </w:r>
          </w:p>
        </w:tc>
        <w:tc>
          <w:tcPr>
            <w:tcW w:type="dxa" w:w="4464"/>
            <w:tcMar>
              <w:top w:w="80" w:type="dxa"/>
              <w:start w:w="100" w:type="dxa"/>
              <w:bottom w:w="80" w:type="dxa"/>
              <w:end w:w="100" w:type="dxa"/>
            </w:tcMar>
            <w:vAlign w:val="center"/>
          </w:tcPr>
          <w:p>
            <w:pPr>
              <w:spacing w:after="0" w:before="0"/>
            </w:pPr>
            <w:r/>
            <w:r>
              <w:rPr>
                <w:rFonts w:ascii="Aptos" w:hAnsi="Aptos"/>
                <w:sz w:val="15"/>
              </w:rPr>
              <w:t>Authoritative state commit before Temporal signal; unauthorized jurisdiction sees/acts on zero tasks; worker restart survives.</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INT-006</w:t>
            </w:r>
          </w:p>
        </w:tc>
        <w:tc>
          <w:tcPr>
            <w:tcW w:type="dxa" w:w="2520"/>
            <w:tcMar>
              <w:top w:w="80" w:type="dxa"/>
              <w:start w:w="100" w:type="dxa"/>
              <w:bottom w:w="80" w:type="dxa"/>
              <w:end w:w="100" w:type="dxa"/>
            </w:tcMar>
            <w:vAlign w:val="center"/>
          </w:tcPr>
          <w:p>
            <w:pPr>
              <w:spacing w:after="0" w:before="0"/>
            </w:pPr>
            <w:r/>
            <w:r>
              <w:rPr>
                <w:rFonts w:ascii="Aptos" w:hAnsi="Aptos"/>
                <w:sz w:val="15"/>
              </w:rPr>
              <w:t>Evidence &amp; verification</w:t>
            </w:r>
          </w:p>
        </w:tc>
        <w:tc>
          <w:tcPr>
            <w:tcW w:type="dxa" w:w="2520"/>
            <w:tcMar>
              <w:top w:w="80" w:type="dxa"/>
              <w:start w:w="100" w:type="dxa"/>
              <w:bottom w:w="80" w:type="dxa"/>
              <w:end w:w="100" w:type="dxa"/>
            </w:tcMar>
            <w:vAlign w:val="center"/>
          </w:tcPr>
          <w:p>
            <w:pPr>
              <w:spacing w:after="0" w:before="0"/>
            </w:pPr>
            <w:r/>
            <w:r>
              <w:rPr>
                <w:rFonts w:ascii="Aptos" w:hAnsi="Aptos"/>
                <w:sz w:val="15"/>
              </w:rPr>
              <w:t>S3/OCR/DigiLocker simulator</w:t>
            </w:r>
          </w:p>
        </w:tc>
        <w:tc>
          <w:tcPr>
            <w:tcW w:type="dxa" w:w="4464"/>
            <w:tcMar>
              <w:top w:w="80" w:type="dxa"/>
              <w:start w:w="100" w:type="dxa"/>
              <w:bottom w:w="80" w:type="dxa"/>
              <w:end w:w="100" w:type="dxa"/>
            </w:tcMar>
            <w:vAlign w:val="center"/>
          </w:tcPr>
          <w:p>
            <w:pPr>
              <w:spacing w:after="0" w:before="0"/>
            </w:pPr>
            <w:r/>
            <w:r>
              <w:rPr>
                <w:rFonts w:ascii="Aptos" w:hAnsi="Aptos"/>
                <w:sz w:val="15"/>
              </w:rPr>
              <w:t>Technical vs business verification states; infected object unusable; consent/provenance and low-confidence review.</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INT-007</w:t>
            </w:r>
          </w:p>
        </w:tc>
        <w:tc>
          <w:tcPr>
            <w:tcW w:type="dxa" w:w="2520"/>
            <w:tcMar>
              <w:top w:w="80" w:type="dxa"/>
              <w:start w:w="100" w:type="dxa"/>
              <w:bottom w:w="80" w:type="dxa"/>
              <w:end w:w="100" w:type="dxa"/>
            </w:tcMar>
            <w:vAlign w:val="center"/>
          </w:tcPr>
          <w:p>
            <w:pPr>
              <w:spacing w:after="0" w:before="0"/>
            </w:pPr>
            <w:r/>
            <w:r>
              <w:rPr>
                <w:rFonts w:ascii="Aptos" w:hAnsi="Aptos"/>
                <w:sz w:val="15"/>
              </w:rPr>
              <w:t>Fee &amp; payment</w:t>
            </w:r>
          </w:p>
        </w:tc>
        <w:tc>
          <w:tcPr>
            <w:tcW w:type="dxa" w:w="2520"/>
            <w:tcMar>
              <w:top w:w="80" w:type="dxa"/>
              <w:start w:w="100" w:type="dxa"/>
              <w:bottom w:w="80" w:type="dxa"/>
              <w:end w:w="100" w:type="dxa"/>
            </w:tcMar>
            <w:vAlign w:val="center"/>
          </w:tcPr>
          <w:p>
            <w:pPr>
              <w:spacing w:after="0" w:before="0"/>
            </w:pPr>
            <w:r/>
            <w:r>
              <w:rPr>
                <w:rFonts w:ascii="Aptos" w:hAnsi="Aptos"/>
                <w:sz w:val="15"/>
              </w:rPr>
              <w:t>Payment REAL/SANDBOX/SIMULATED</w:t>
            </w:r>
          </w:p>
        </w:tc>
        <w:tc>
          <w:tcPr>
            <w:tcW w:type="dxa" w:w="4464"/>
            <w:tcMar>
              <w:top w:w="80" w:type="dxa"/>
              <w:start w:w="100" w:type="dxa"/>
              <w:bottom w:w="80" w:type="dxa"/>
              <w:end w:w="100" w:type="dxa"/>
            </w:tcMar>
            <w:vAlign w:val="center"/>
          </w:tcPr>
          <w:p>
            <w:pPr>
              <w:spacing w:after="0" w:before="0"/>
            </w:pPr>
            <w:r/>
            <w:r>
              <w:rPr>
                <w:rFonts w:ascii="Aptos" w:hAnsi="Aptos"/>
                <w:sz w:val="15"/>
              </w:rPr>
              <w:t>Application committed before provider call; duplicate/amount mismatch/timeout/reconciliation/refund scenarios.</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INT-008</w:t>
            </w:r>
          </w:p>
        </w:tc>
        <w:tc>
          <w:tcPr>
            <w:tcW w:type="dxa" w:w="2520"/>
            <w:tcMar>
              <w:top w:w="80" w:type="dxa"/>
              <w:start w:w="100" w:type="dxa"/>
              <w:bottom w:w="80" w:type="dxa"/>
              <w:end w:w="100" w:type="dxa"/>
            </w:tcMar>
            <w:vAlign w:val="center"/>
          </w:tcPr>
          <w:p>
            <w:pPr>
              <w:spacing w:after="0" w:before="0"/>
            </w:pPr>
            <w:r/>
            <w:r>
              <w:rPr>
                <w:rFonts w:ascii="Aptos" w:hAnsi="Aptos"/>
                <w:sz w:val="15"/>
              </w:rPr>
              <w:t>Approval -&gt; credential issuance</w:t>
            </w:r>
          </w:p>
        </w:tc>
        <w:tc>
          <w:tcPr>
            <w:tcW w:type="dxa" w:w="2520"/>
            <w:tcMar>
              <w:top w:w="80" w:type="dxa"/>
              <w:start w:w="100" w:type="dxa"/>
              <w:bottom w:w="80" w:type="dxa"/>
              <w:end w:w="100" w:type="dxa"/>
            </w:tcMar>
            <w:vAlign w:val="center"/>
          </w:tcPr>
          <w:p>
            <w:pPr>
              <w:spacing w:after="0" w:before="0"/>
            </w:pPr>
            <w:r/>
            <w:r>
              <w:rPr>
                <w:rFonts w:ascii="Aptos" w:hAnsi="Aptos"/>
                <w:sz w:val="15"/>
              </w:rPr>
              <w:t>eSign/DigiLocker simulator</w:t>
            </w:r>
          </w:p>
        </w:tc>
        <w:tc>
          <w:tcPr>
            <w:tcW w:type="dxa" w:w="4464"/>
            <w:tcMar>
              <w:top w:w="80" w:type="dxa"/>
              <w:start w:w="100" w:type="dxa"/>
              <w:bottom w:w="80" w:type="dxa"/>
              <w:end w:w="100" w:type="dxa"/>
            </w:tcMar>
            <w:vAlign w:val="center"/>
          </w:tcPr>
          <w:p>
            <w:pPr>
              <w:spacing w:after="0" w:before="0"/>
            </w:pPr>
            <w:r/>
            <w:r>
              <w:rPr>
                <w:rFonts w:ascii="Aptos" w:hAnsi="Aptos"/>
                <w:sz w:val="15"/>
              </w:rPr>
              <w:t>Decision commit; signing retry; single credential effect; ISSUED/CLOSED; notification/DigiLocker outage does not undo issuance.</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INT-009</w:t>
            </w:r>
          </w:p>
        </w:tc>
        <w:tc>
          <w:tcPr>
            <w:tcW w:type="dxa" w:w="2520"/>
            <w:tcMar>
              <w:top w:w="80" w:type="dxa"/>
              <w:start w:w="100" w:type="dxa"/>
              <w:bottom w:w="80" w:type="dxa"/>
              <w:end w:w="100" w:type="dxa"/>
            </w:tcMar>
            <w:vAlign w:val="center"/>
          </w:tcPr>
          <w:p>
            <w:pPr>
              <w:spacing w:after="0" w:before="0"/>
            </w:pPr>
            <w:r/>
            <w:r>
              <w:rPr>
                <w:rFonts w:ascii="Aptos" w:hAnsi="Aptos"/>
                <w:sz w:val="15"/>
              </w:rPr>
              <w:t>Deficiency &amp; SLA</w:t>
            </w:r>
          </w:p>
        </w:tc>
        <w:tc>
          <w:tcPr>
            <w:tcW w:type="dxa" w:w="2520"/>
            <w:tcMar>
              <w:top w:w="80" w:type="dxa"/>
              <w:start w:w="100" w:type="dxa"/>
              <w:bottom w:w="80" w:type="dxa"/>
              <w:end w:w="100" w:type="dxa"/>
            </w:tcMar>
            <w:vAlign w:val="center"/>
          </w:tcPr>
          <w:p>
            <w:pPr>
              <w:spacing w:after="0" w:before="0"/>
            </w:pPr>
            <w:r/>
            <w:r>
              <w:rPr>
                <w:rFonts w:ascii="Aptos" w:hAnsi="Aptos"/>
                <w:sz w:val="15"/>
              </w:rPr>
              <w:t>No provider dependency required</w:t>
            </w:r>
          </w:p>
        </w:tc>
        <w:tc>
          <w:tcPr>
            <w:tcW w:type="dxa" w:w="4464"/>
            <w:tcMar>
              <w:top w:w="80" w:type="dxa"/>
              <w:start w:w="100" w:type="dxa"/>
              <w:bottom w:w="80" w:type="dxa"/>
              <w:end w:w="100" w:type="dxa"/>
            </w:tcMar>
            <w:vAlign w:val="center"/>
          </w:tcPr>
          <w:p>
            <w:pPr>
              <w:spacing w:after="0" w:before="0"/>
            </w:pPr>
            <w:r/>
            <w:r>
              <w:rPr>
                <w:rFonts w:ascii="Aptos" w:hAnsi="Aptos"/>
                <w:sz w:val="15"/>
              </w:rPr>
              <w:t>Pause/resume from configured anchor; duplicate response; expiry/escalation; max cycles/policy.</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INT-010</w:t>
            </w:r>
          </w:p>
        </w:tc>
        <w:tc>
          <w:tcPr>
            <w:tcW w:type="dxa" w:w="2520"/>
            <w:tcMar>
              <w:top w:w="80" w:type="dxa"/>
              <w:start w:w="100" w:type="dxa"/>
              <w:bottom w:w="80" w:type="dxa"/>
              <w:end w:w="100" w:type="dxa"/>
            </w:tcMar>
            <w:vAlign w:val="center"/>
          </w:tcPr>
          <w:p>
            <w:pPr>
              <w:spacing w:after="0" w:before="0"/>
            </w:pPr>
            <w:r/>
            <w:r>
              <w:rPr>
                <w:rFonts w:ascii="Aptos" w:hAnsi="Aptos"/>
                <w:sz w:val="15"/>
              </w:rPr>
              <w:t>Search/analytics/projections</w:t>
            </w:r>
          </w:p>
        </w:tc>
        <w:tc>
          <w:tcPr>
            <w:tcW w:type="dxa" w:w="2520"/>
            <w:tcMar>
              <w:top w:w="80" w:type="dxa"/>
              <w:start w:w="100" w:type="dxa"/>
              <w:bottom w:w="80" w:type="dxa"/>
              <w:end w:w="100" w:type="dxa"/>
            </w:tcMar>
            <w:vAlign w:val="center"/>
          </w:tcPr>
          <w:p>
            <w:pPr>
              <w:spacing w:after="0" w:before="0"/>
            </w:pPr>
            <w:r/>
            <w:r>
              <w:rPr>
                <w:rFonts w:ascii="Aptos" w:hAnsi="Aptos"/>
                <w:sz w:val="15"/>
              </w:rPr>
              <w:t>Derived stores</w:t>
            </w:r>
          </w:p>
        </w:tc>
        <w:tc>
          <w:tcPr>
            <w:tcW w:type="dxa" w:w="4464"/>
            <w:tcMar>
              <w:top w:w="80" w:type="dxa"/>
              <w:start w:w="100" w:type="dxa"/>
              <w:bottom w:w="80" w:type="dxa"/>
              <w:end w:w="100" w:type="dxa"/>
            </w:tcMar>
            <w:vAlign w:val="center"/>
          </w:tcPr>
          <w:p>
            <w:pPr>
              <w:spacing w:after="0" w:before="0"/>
            </w:pPr>
            <w:r/>
            <w:r>
              <w:rPr>
                <w:rFonts w:ascii="Aptos" w:hAnsi="Aptos"/>
                <w:sz w:val="15"/>
              </w:rPr>
              <w:t>Rebuildable projection; tenant filters; stale index cannot mutate authoritative state.</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INT-011</w:t>
            </w:r>
          </w:p>
        </w:tc>
        <w:tc>
          <w:tcPr>
            <w:tcW w:type="dxa" w:w="2520"/>
            <w:tcMar>
              <w:top w:w="80" w:type="dxa"/>
              <w:start w:w="100" w:type="dxa"/>
              <w:bottom w:w="80" w:type="dxa"/>
              <w:end w:w="100" w:type="dxa"/>
            </w:tcMar>
            <w:vAlign w:val="center"/>
          </w:tcPr>
          <w:p>
            <w:pPr>
              <w:spacing w:after="0" w:before="0"/>
            </w:pPr>
            <w:r/>
            <w:r>
              <w:rPr>
                <w:rFonts w:ascii="Aptos" w:hAnsi="Aptos"/>
                <w:sz w:val="15"/>
              </w:rPr>
              <w:t>Tenant isolation enforcement</w:t>
            </w:r>
          </w:p>
        </w:tc>
        <w:tc>
          <w:tcPr>
            <w:tcW w:type="dxa" w:w="2520"/>
            <w:tcMar>
              <w:top w:w="80" w:type="dxa"/>
              <w:start w:w="100" w:type="dxa"/>
              <w:bottom w:w="80" w:type="dxa"/>
              <w:end w:w="100" w:type="dxa"/>
            </w:tcMar>
            <w:vAlign w:val="center"/>
          </w:tcPr>
          <w:p>
            <w:pPr>
              <w:spacing w:after="0" w:before="0"/>
            </w:pPr>
            <w:r/>
            <w:r>
              <w:rPr>
                <w:rFonts w:ascii="Aptos" w:hAnsi="Aptos"/>
                <w:sz w:val="15"/>
              </w:rPr>
              <w:t>OPA + RLS</w:t>
            </w:r>
          </w:p>
        </w:tc>
        <w:tc>
          <w:tcPr>
            <w:tcW w:type="dxa" w:w="4464"/>
            <w:tcMar>
              <w:top w:w="80" w:type="dxa"/>
              <w:start w:w="100" w:type="dxa"/>
              <w:bottom w:w="80" w:type="dxa"/>
              <w:end w:w="100" w:type="dxa"/>
            </w:tcMar>
            <w:vAlign w:val="center"/>
          </w:tcPr>
          <w:p>
            <w:pPr>
              <w:spacing w:after="0" w:before="0"/>
            </w:pPr>
            <w:r/>
            <w:r>
              <w:rPr>
                <w:rFonts w:ascii="Aptos" w:hAnsi="Aptos"/>
                <w:sz w:val="15"/>
              </w:rPr>
              <w:t>Tenant A cannot read/write/search/task/object/event data of B; server-derived tenant context; break-glass audited.</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INT-012</w:t>
            </w:r>
          </w:p>
        </w:tc>
        <w:tc>
          <w:tcPr>
            <w:tcW w:type="dxa" w:w="2520"/>
            <w:tcMar>
              <w:top w:w="80" w:type="dxa"/>
              <w:start w:w="100" w:type="dxa"/>
              <w:bottom w:w="80" w:type="dxa"/>
              <w:end w:w="100" w:type="dxa"/>
            </w:tcMar>
            <w:vAlign w:val="center"/>
          </w:tcPr>
          <w:p>
            <w:pPr>
              <w:spacing w:after="0" w:before="0"/>
            </w:pPr>
            <w:r/>
            <w:r>
              <w:rPr>
                <w:rFonts w:ascii="Aptos" w:hAnsi="Aptos"/>
                <w:sz w:val="15"/>
              </w:rPr>
              <w:t>AI guarded execution</w:t>
            </w:r>
          </w:p>
        </w:tc>
        <w:tc>
          <w:tcPr>
            <w:tcW w:type="dxa" w:w="2520"/>
            <w:tcMar>
              <w:top w:w="80" w:type="dxa"/>
              <w:start w:w="100" w:type="dxa"/>
              <w:bottom w:w="80" w:type="dxa"/>
              <w:end w:w="100" w:type="dxa"/>
            </w:tcMar>
            <w:vAlign w:val="center"/>
          </w:tcPr>
          <w:p>
            <w:pPr>
              <w:spacing w:after="0" w:before="0"/>
            </w:pPr>
            <w:r/>
            <w:r>
              <w:rPr>
                <w:rFonts w:ascii="Aptos" w:hAnsi="Aptos"/>
                <w:sz w:val="15"/>
              </w:rPr>
              <w:t>AI Gateway/model can be disabled</w:t>
            </w:r>
          </w:p>
        </w:tc>
        <w:tc>
          <w:tcPr>
            <w:tcW w:type="dxa" w:w="4464"/>
            <w:tcMar>
              <w:top w:w="80" w:type="dxa"/>
              <w:start w:w="100" w:type="dxa"/>
              <w:bottom w:w="80" w:type="dxa"/>
              <w:end w:w="100" w:type="dxa"/>
            </w:tcMar>
            <w:vAlign w:val="center"/>
          </w:tcPr>
          <w:p>
            <w:pPr>
              <w:spacing w:after="0" w:before="0"/>
            </w:pPr>
            <w:r/>
            <w:r>
              <w:rPr>
                <w:rFonts w:ascii="Aptos" w:hAnsi="Aptos"/>
                <w:sz w:val="15"/>
              </w:rPr>
              <w:t>No AI final statutory decision; allowlisted tools; PII controls; deterministic fallback; prompt-injection tests.</w:t>
            </w:r>
          </w:p>
        </w:tc>
      </w:tr>
      <w:tr>
        <w:trPr>
          <w:cantSplit/>
        </w:trPr>
        <w:tc>
          <w:tcPr>
            <w:tcW w:type="dxa" w:w="1008"/>
            <w:tcMar>
              <w:top w:w="80" w:type="dxa"/>
              <w:start w:w="100" w:type="dxa"/>
              <w:bottom w:w="80" w:type="dxa"/>
              <w:end w:w="100" w:type="dxa"/>
            </w:tcMar>
            <w:vAlign w:val="center"/>
          </w:tcPr>
          <w:p>
            <w:pPr>
              <w:spacing w:after="0" w:before="0"/>
            </w:pPr>
            <w:r/>
            <w:r>
              <w:rPr>
                <w:rFonts w:ascii="Aptos" w:hAnsi="Aptos"/>
                <w:b/>
                <w:color w:val="1F2937"/>
                <w:sz w:val="15"/>
              </w:rPr>
              <w:t>INT-013</w:t>
            </w:r>
          </w:p>
        </w:tc>
        <w:tc>
          <w:tcPr>
            <w:tcW w:type="dxa" w:w="2520"/>
            <w:tcMar>
              <w:top w:w="80" w:type="dxa"/>
              <w:start w:w="100" w:type="dxa"/>
              <w:bottom w:w="80" w:type="dxa"/>
              <w:end w:w="100" w:type="dxa"/>
            </w:tcMar>
            <w:vAlign w:val="center"/>
          </w:tcPr>
          <w:p>
            <w:pPr>
              <w:spacing w:after="0" w:before="0"/>
            </w:pPr>
            <w:r/>
            <w:r>
              <w:rPr>
                <w:rFonts w:ascii="Aptos" w:hAnsi="Aptos"/>
                <w:sz w:val="15"/>
              </w:rPr>
              <w:t>External dependency simulation</w:t>
            </w:r>
          </w:p>
        </w:tc>
        <w:tc>
          <w:tcPr>
            <w:tcW w:type="dxa" w:w="2520"/>
            <w:tcMar>
              <w:top w:w="80" w:type="dxa"/>
              <w:start w:w="100" w:type="dxa"/>
              <w:bottom w:w="80" w:type="dxa"/>
              <w:end w:w="100" w:type="dxa"/>
            </w:tcMar>
            <w:vAlign w:val="center"/>
          </w:tcPr>
          <w:p>
            <w:pPr>
              <w:spacing w:after="0" w:before="0"/>
            </w:pPr>
            <w:r/>
            <w:r>
              <w:rPr>
                <w:rFonts w:ascii="Aptos" w:hAnsi="Aptos"/>
                <w:sz w:val="15"/>
              </w:rPr>
              <w:t>All connector classes</w:t>
            </w:r>
          </w:p>
        </w:tc>
        <w:tc>
          <w:tcPr>
            <w:tcW w:type="dxa" w:w="4464"/>
            <w:tcMar>
              <w:top w:w="80" w:type="dxa"/>
              <w:start w:w="100" w:type="dxa"/>
              <w:bottom w:w="80" w:type="dxa"/>
              <w:end w:w="100" w:type="dxa"/>
            </w:tcMar>
            <w:vAlign w:val="center"/>
          </w:tcPr>
          <w:p>
            <w:pPr>
              <w:spacing w:after="0" w:before="0"/>
            </w:pPr>
            <w:r/>
            <w:r>
              <w:rPr>
                <w:rFonts w:ascii="Aptos" w:hAnsi="Aptos"/>
                <w:sz w:val="15"/>
              </w:rPr>
              <w:t>Local/CI can complete full journey with simulators; prod rejects critical SIMULATED binding; fixtures are visibly TEST.</w:t>
            </w:r>
          </w:p>
        </w:tc>
      </w:tr>
    </w:tbl>
    <w:p>
      <w:pPr>
        <w:spacing w:after="40"/>
      </w:pPr>
    </w:p>
    <w:p>
      <w:pPr>
        <w:pStyle w:val="Heading2"/>
      </w:pPr>
      <w:r>
        <w:rPr>
          <w:b w:val="0"/>
        </w:rPr>
        <w:t>14.1 Extension integration certification gates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152"/>
            <w:vAlign w:val="center"/>
            <w:tcMar>
              <w:top w:w="80" w:type="dxa"/>
              <w:start w:w="100" w:type="dxa"/>
              <w:bottom w:w="80" w:type="dxa"/>
              <w:end w:w="100" w:type="dxa"/>
            </w:tcMar>
            <w:shd w:fill="EAF1F8"/>
          </w:tcPr>
          <w:p>
            <w:r>
              <w:rPr>
                <w:b/>
                <w:color w:val="17365D"/>
                <w:sz w:val="16"/>
              </w:rPr>
              <w:t>INT</w:t>
            </w:r>
          </w:p>
        </w:tc>
        <w:tc>
          <w:tcPr>
            <w:tcW w:type="dxa" w:w="3312"/>
            <w:vAlign w:val="center"/>
            <w:tcMar>
              <w:top w:w="80" w:type="dxa"/>
              <w:start w:w="100" w:type="dxa"/>
              <w:bottom w:w="80" w:type="dxa"/>
              <w:end w:w="100" w:type="dxa"/>
            </w:tcMar>
            <w:shd w:fill="EAF1F8"/>
          </w:tcPr>
          <w:p>
            <w:r>
              <w:rPr>
                <w:b/>
                <w:color w:val="17365D"/>
                <w:sz w:val="16"/>
              </w:rPr>
              <w:t>Certification focus</w:t>
            </w:r>
          </w:p>
        </w:tc>
        <w:tc>
          <w:tcPr>
            <w:tcW w:type="dxa" w:w="5904"/>
            <w:vAlign w:val="center"/>
            <w:tcMar>
              <w:top w:w="80" w:type="dxa"/>
              <w:start w:w="100" w:type="dxa"/>
              <w:bottom w:w="80" w:type="dxa"/>
              <w:end w:w="100" w:type="dxa"/>
            </w:tcMar>
            <w:shd w:fill="EAF1F8"/>
          </w:tcPr>
          <w:p>
            <w:r>
              <w:rPr>
                <w:b/>
                <w:color w:val="17365D"/>
                <w:sz w:val="16"/>
              </w:rPr>
              <w:t>Minimum evidence</w:t>
            </w:r>
          </w:p>
        </w:tc>
      </w:tr>
      <w:tr>
        <w:trPr>
          <w:cantSplit/>
        </w:trPr>
        <w:tc>
          <w:tcPr>
            <w:tcW w:type="dxa" w:w="1152"/>
            <w:vAlign w:val="center"/>
            <w:tcMar>
              <w:top w:w="80" w:type="dxa"/>
              <w:start w:w="100" w:type="dxa"/>
              <w:bottom w:w="80" w:type="dxa"/>
              <w:end w:w="100" w:type="dxa"/>
            </w:tcMar>
          </w:tcPr>
          <w:p>
            <w:r>
              <w:rPr>
                <w:b w:val="0"/>
                <w:color w:val="333333"/>
                <w:sz w:val="16"/>
              </w:rPr>
              <w:t>INT-013</w:t>
            </w:r>
          </w:p>
        </w:tc>
        <w:tc>
          <w:tcPr>
            <w:tcW w:type="dxa" w:w="3312"/>
            <w:vAlign w:val="center"/>
            <w:tcMar>
              <w:top w:w="80" w:type="dxa"/>
              <w:start w:w="100" w:type="dxa"/>
              <w:bottom w:w="80" w:type="dxa"/>
              <w:end w:w="100" w:type="dxa"/>
            </w:tcMar>
          </w:tcPr>
          <w:p>
            <w:r>
              <w:rPr>
                <w:b w:val="0"/>
                <w:color w:val="333333"/>
                <w:sz w:val="16"/>
              </w:rPr>
              <w:t>Provider simulation</w:t>
            </w:r>
          </w:p>
        </w:tc>
        <w:tc>
          <w:tcPr>
            <w:tcW w:type="dxa" w:w="5904"/>
            <w:vAlign w:val="center"/>
            <w:tcMar>
              <w:top w:w="80" w:type="dxa"/>
              <w:start w:w="100" w:type="dxa"/>
              <w:bottom w:w="80" w:type="dxa"/>
              <w:end w:w="100" w:type="dxa"/>
            </w:tcMar>
          </w:tcPr>
          <w:p>
            <w:r>
              <w:rPr>
                <w:b w:val="0"/>
                <w:color w:val="333333"/>
                <w:sz w:val="16"/>
              </w:rPr>
              <w:t>Same adapter/callback path, scenario matrix, production SIMULATED guard</w:t>
            </w:r>
          </w:p>
        </w:tc>
      </w:tr>
      <w:tr>
        <w:trPr>
          <w:cantSplit/>
        </w:trPr>
        <w:tc>
          <w:tcPr>
            <w:tcW w:type="dxa" w:w="1152"/>
            <w:vAlign w:val="center"/>
            <w:tcMar>
              <w:top w:w="80" w:type="dxa"/>
              <w:start w:w="100" w:type="dxa"/>
              <w:bottom w:w="80" w:type="dxa"/>
              <w:end w:w="100" w:type="dxa"/>
            </w:tcMar>
          </w:tcPr>
          <w:p>
            <w:r>
              <w:rPr>
                <w:b w:val="0"/>
                <w:color w:val="333333"/>
                <w:sz w:val="16"/>
              </w:rPr>
              <w:t>INT-014</w:t>
            </w:r>
          </w:p>
        </w:tc>
        <w:tc>
          <w:tcPr>
            <w:tcW w:type="dxa" w:w="3312"/>
            <w:vAlign w:val="center"/>
            <w:tcMar>
              <w:top w:w="80" w:type="dxa"/>
              <w:start w:w="100" w:type="dxa"/>
              <w:bottom w:w="80" w:type="dxa"/>
              <w:end w:w="100" w:type="dxa"/>
            </w:tcMar>
          </w:tcPr>
          <w:p>
            <w:r>
              <w:rPr>
                <w:b w:val="0"/>
                <w:color w:val="333333"/>
                <w:sz w:val="16"/>
              </w:rPr>
              <w:t>Scheduler</w:t>
            </w:r>
          </w:p>
        </w:tc>
        <w:tc>
          <w:tcPr>
            <w:tcW w:type="dxa" w:w="5904"/>
            <w:vAlign w:val="center"/>
            <w:tcMar>
              <w:top w:w="80" w:type="dxa"/>
              <w:start w:w="100" w:type="dxa"/>
              <w:bottom w:w="80" w:type="dxa"/>
              <w:end w:w="100" w:type="dxa"/>
            </w:tcMar>
          </w:tcPr>
          <w:p>
            <w:r>
              <w:rPr>
                <w:b w:val="0"/>
                <w:color w:val="333333"/>
                <w:sz w:val="16"/>
              </w:rPr>
              <w:t>Atomic booking + Temporal wait/event + notification non-authoritative</w:t>
            </w:r>
          </w:p>
        </w:tc>
      </w:tr>
      <w:tr>
        <w:trPr>
          <w:cantSplit/>
        </w:trPr>
        <w:tc>
          <w:tcPr>
            <w:tcW w:type="dxa" w:w="1152"/>
            <w:vAlign w:val="center"/>
            <w:tcMar>
              <w:top w:w="80" w:type="dxa"/>
              <w:start w:w="100" w:type="dxa"/>
              <w:bottom w:w="80" w:type="dxa"/>
              <w:end w:w="100" w:type="dxa"/>
            </w:tcMar>
          </w:tcPr>
          <w:p>
            <w:r>
              <w:rPr>
                <w:b w:val="0"/>
                <w:color w:val="333333"/>
                <w:sz w:val="16"/>
              </w:rPr>
              <w:t>INT-015</w:t>
            </w:r>
          </w:p>
        </w:tc>
        <w:tc>
          <w:tcPr>
            <w:tcW w:type="dxa" w:w="3312"/>
            <w:vAlign w:val="center"/>
            <w:tcMar>
              <w:top w:w="80" w:type="dxa"/>
              <w:start w:w="100" w:type="dxa"/>
              <w:bottom w:w="80" w:type="dxa"/>
              <w:end w:w="100" w:type="dxa"/>
            </w:tcMar>
          </w:tcPr>
          <w:p>
            <w:r>
              <w:rPr>
                <w:b w:val="0"/>
                <w:color w:val="333333"/>
                <w:sz w:val="16"/>
              </w:rPr>
              <w:t>Assisted service</w:t>
            </w:r>
          </w:p>
        </w:tc>
        <w:tc>
          <w:tcPr>
            <w:tcW w:type="dxa" w:w="5904"/>
            <w:vAlign w:val="center"/>
            <w:tcMar>
              <w:top w:w="80" w:type="dxa"/>
              <w:start w:w="100" w:type="dxa"/>
              <w:bottom w:w="80" w:type="dxa"/>
              <w:end w:w="100" w:type="dxa"/>
            </w:tcMar>
          </w:tcPr>
          <w:p>
            <w:r>
              <w:rPr>
                <w:b w:val="0"/>
                <w:color w:val="333333"/>
                <w:sz w:val="16"/>
              </w:rPr>
              <w:t>Actor separation, representation/consent, kiosk-session isolation, OPA</w:t>
            </w:r>
          </w:p>
        </w:tc>
      </w:tr>
      <w:tr>
        <w:trPr>
          <w:cantSplit/>
        </w:trPr>
        <w:tc>
          <w:tcPr>
            <w:tcW w:type="dxa" w:w="1152"/>
            <w:vAlign w:val="center"/>
            <w:tcMar>
              <w:top w:w="80" w:type="dxa"/>
              <w:start w:w="100" w:type="dxa"/>
              <w:bottom w:w="80" w:type="dxa"/>
              <w:end w:w="100" w:type="dxa"/>
            </w:tcMar>
          </w:tcPr>
          <w:p>
            <w:r>
              <w:rPr>
                <w:b w:val="0"/>
                <w:color w:val="333333"/>
                <w:sz w:val="16"/>
              </w:rPr>
              <w:t>INT-016</w:t>
            </w:r>
          </w:p>
        </w:tc>
        <w:tc>
          <w:tcPr>
            <w:tcW w:type="dxa" w:w="3312"/>
            <w:vAlign w:val="center"/>
            <w:tcMar>
              <w:top w:w="80" w:type="dxa"/>
              <w:start w:w="100" w:type="dxa"/>
              <w:bottom w:w="80" w:type="dxa"/>
              <w:end w:w="100" w:type="dxa"/>
            </w:tcMar>
          </w:tcPr>
          <w:p>
            <w:r>
              <w:rPr>
                <w:b w:val="0"/>
                <w:color w:val="333333"/>
                <w:sz w:val="16"/>
              </w:rPr>
              <w:t>Semantic registry</w:t>
            </w:r>
          </w:p>
        </w:tc>
        <w:tc>
          <w:tcPr>
            <w:tcW w:type="dxa" w:w="5904"/>
            <w:vAlign w:val="center"/>
            <w:tcMar>
              <w:top w:w="80" w:type="dxa"/>
              <w:start w:w="100" w:type="dxa"/>
              <w:bottom w:w="80" w:type="dxa"/>
              <w:end w:w="100" w:type="dxa"/>
            </w:tcMar>
          </w:tcPr>
          <w:p>
            <w:r>
              <w:rPr>
                <w:b w:val="0"/>
                <w:color w:val="333333"/>
                <w:sz w:val="16"/>
              </w:rPr>
              <w:t>Studio binding, published dependency pinning, deprecation impact analysis</w:t>
            </w:r>
          </w:p>
        </w:tc>
      </w:tr>
      <w:tr>
        <w:trPr>
          <w:cantSplit/>
        </w:trPr>
        <w:tc>
          <w:tcPr>
            <w:tcW w:type="dxa" w:w="1152"/>
            <w:vAlign w:val="center"/>
            <w:tcMar>
              <w:top w:w="80" w:type="dxa"/>
              <w:start w:w="100" w:type="dxa"/>
              <w:bottom w:w="80" w:type="dxa"/>
              <w:end w:w="100" w:type="dxa"/>
            </w:tcMar>
          </w:tcPr>
          <w:p>
            <w:r>
              <w:rPr>
                <w:b w:val="0"/>
                <w:color w:val="333333"/>
                <w:sz w:val="16"/>
              </w:rPr>
              <w:t>INT-017</w:t>
            </w:r>
          </w:p>
        </w:tc>
        <w:tc>
          <w:tcPr>
            <w:tcW w:type="dxa" w:w="3312"/>
            <w:vAlign w:val="center"/>
            <w:tcMar>
              <w:top w:w="80" w:type="dxa"/>
              <w:start w:w="100" w:type="dxa"/>
              <w:bottom w:w="80" w:type="dxa"/>
              <w:end w:w="100" w:type="dxa"/>
            </w:tcMar>
          </w:tcPr>
          <w:p>
            <w:r>
              <w:rPr>
                <w:b w:val="0"/>
                <w:color w:val="333333"/>
                <w:sz w:val="16"/>
              </w:rPr>
              <w:t>Migration</w:t>
            </w:r>
          </w:p>
        </w:tc>
        <w:tc>
          <w:tcPr>
            <w:tcW w:type="dxa" w:w="5904"/>
            <w:vAlign w:val="center"/>
            <w:tcMar>
              <w:top w:w="80" w:type="dxa"/>
              <w:start w:w="100" w:type="dxa"/>
              <w:bottom w:w="80" w:type="dxa"/>
              <w:end w:w="100" w:type="dxa"/>
            </w:tcMar>
          </w:tcPr>
          <w:p>
            <w:r>
              <w:rPr>
                <w:b w:val="0"/>
                <w:color w:val="333333"/>
                <w:sz w:val="16"/>
              </w:rPr>
              <w:t>Dry-run, mapping hash, batch resume/rollback, reconciliation</w:t>
            </w:r>
          </w:p>
        </w:tc>
      </w:tr>
      <w:tr>
        <w:trPr>
          <w:cantSplit/>
        </w:trPr>
        <w:tc>
          <w:tcPr>
            <w:tcW w:type="dxa" w:w="1152"/>
            <w:vAlign w:val="center"/>
            <w:tcMar>
              <w:top w:w="80" w:type="dxa"/>
              <w:start w:w="100" w:type="dxa"/>
              <w:bottom w:w="80" w:type="dxa"/>
              <w:end w:w="100" w:type="dxa"/>
            </w:tcMar>
          </w:tcPr>
          <w:p>
            <w:r>
              <w:rPr>
                <w:b w:val="0"/>
                <w:color w:val="333333"/>
                <w:sz w:val="16"/>
              </w:rPr>
              <w:t>INT-018</w:t>
            </w:r>
          </w:p>
        </w:tc>
        <w:tc>
          <w:tcPr>
            <w:tcW w:type="dxa" w:w="3312"/>
            <w:vAlign w:val="center"/>
            <w:tcMar>
              <w:top w:w="80" w:type="dxa"/>
              <w:start w:w="100" w:type="dxa"/>
              <w:bottom w:w="80" w:type="dxa"/>
              <w:end w:w="100" w:type="dxa"/>
            </w:tcMar>
          </w:tcPr>
          <w:p>
            <w:r>
              <w:rPr>
                <w:b w:val="0"/>
                <w:color w:val="333333"/>
                <w:sz w:val="16"/>
              </w:rPr>
              <w:t>Risk/integrity</w:t>
            </w:r>
          </w:p>
        </w:tc>
        <w:tc>
          <w:tcPr>
            <w:tcW w:type="dxa" w:w="5904"/>
            <w:vAlign w:val="center"/>
            <w:tcMar>
              <w:top w:w="80" w:type="dxa"/>
              <w:start w:w="100" w:type="dxa"/>
              <w:bottom w:w="80" w:type="dxa"/>
              <w:end w:w="100" w:type="dxa"/>
            </w:tcMar>
          </w:tcPr>
          <w:p>
            <w:r>
              <w:rPr>
                <w:b w:val="0"/>
                <w:color w:val="333333"/>
                <w:sz w:val="16"/>
              </w:rPr>
              <w:t>Explainable signal -&gt; review task; no autonomous adverse outcome</w:t>
            </w:r>
          </w:p>
        </w:tc>
      </w:tr>
      <w:tr>
        <w:trPr>
          <w:cantSplit/>
        </w:trPr>
        <w:tc>
          <w:tcPr>
            <w:tcW w:type="dxa" w:w="1152"/>
            <w:vAlign w:val="center"/>
            <w:tcMar>
              <w:top w:w="80" w:type="dxa"/>
              <w:start w:w="100" w:type="dxa"/>
              <w:bottom w:w="80" w:type="dxa"/>
              <w:end w:w="100" w:type="dxa"/>
            </w:tcMar>
          </w:tcPr>
          <w:p>
            <w:r>
              <w:rPr>
                <w:b w:val="0"/>
                <w:color w:val="333333"/>
                <w:sz w:val="16"/>
              </w:rPr>
              <w:t>INT-019</w:t>
            </w:r>
          </w:p>
        </w:tc>
        <w:tc>
          <w:tcPr>
            <w:tcW w:type="dxa" w:w="3312"/>
            <w:vAlign w:val="center"/>
            <w:tcMar>
              <w:top w:w="80" w:type="dxa"/>
              <w:start w:w="100" w:type="dxa"/>
              <w:bottom w:w="80" w:type="dxa"/>
              <w:end w:w="100" w:type="dxa"/>
            </w:tcMar>
          </w:tcPr>
          <w:p>
            <w:r>
              <w:rPr>
                <w:b w:val="0"/>
                <w:color w:val="333333"/>
                <w:sz w:val="16"/>
              </w:rPr>
              <w:t>Privacy rights</w:t>
            </w:r>
          </w:p>
        </w:tc>
        <w:tc>
          <w:tcPr>
            <w:tcW w:type="dxa" w:w="5904"/>
            <w:vAlign w:val="center"/>
            <w:tcMar>
              <w:top w:w="80" w:type="dxa"/>
              <w:start w:w="100" w:type="dxa"/>
              <w:bottom w:w="80" w:type="dxa"/>
              <w:end w:w="100" w:type="dxa"/>
            </w:tcMar>
          </w:tcPr>
          <w:p>
            <w:r>
              <w:rPr>
                <w:b w:val="0"/>
                <w:color w:val="333333"/>
                <w:sz w:val="16"/>
              </w:rPr>
              <w:t>Identity-assured request -&gt; owner tasks -&gt; exception handling -&gt; completion evidence</w:t>
            </w:r>
          </w:p>
        </w:tc>
      </w:tr>
    </w:tbl>
    <w:p>
      <w:pPr>
        <w:pStyle w:val="Heading1"/>
        <w:keepNext/>
      </w:pPr>
      <w:r>
        <w:t>15. Golden Residence Certificate - AI Development Certification Plan</w:t>
      </w:r>
    </w:p>
    <w:p>
      <w:pPr>
        <w:spacing w:after="100"/>
      </w:pPr>
      <w:r>
        <w:t>The Residence Certificate is the certification vehicle for the platform, not a bespoke service implementation. It must be created through ServiceForm Studio and run on generic engines. Once certified, a second service (for example Income Certificate) must be onboarded primarily through configuration to prove reuse.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440"/>
            <w:tcMar>
              <w:top w:w="80" w:type="dxa"/>
              <w:start w:w="100" w:type="dxa"/>
              <w:bottom w:w="80" w:type="dxa"/>
              <w:end w:w="100" w:type="dxa"/>
            </w:tcMar>
            <w:vAlign w:val="center"/>
            <w:shd w:fill="1F4E78"/>
          </w:tcPr>
          <w:p>
            <w:pPr>
              <w:spacing w:after="0" w:before="0"/>
            </w:pPr>
            <w:r/>
            <w:r>
              <w:rPr>
                <w:rFonts w:ascii="Aptos" w:hAnsi="Aptos"/>
                <w:b/>
                <w:color w:val="FFFFFF"/>
                <w:sz w:val="17"/>
              </w:rPr>
              <w:t>Stage</w:t>
            </w:r>
          </w:p>
        </w:tc>
        <w:tc>
          <w:tcPr>
            <w:tcW w:type="dxa" w:w="3888"/>
            <w:tcMar>
              <w:top w:w="80" w:type="dxa"/>
              <w:start w:w="100" w:type="dxa"/>
              <w:bottom w:w="80" w:type="dxa"/>
              <w:end w:w="100" w:type="dxa"/>
            </w:tcMar>
            <w:vAlign w:val="center"/>
            <w:shd w:fill="1F4E78"/>
          </w:tcPr>
          <w:p>
            <w:pPr>
              <w:spacing w:after="0" w:before="0"/>
            </w:pPr>
            <w:r/>
            <w:r>
              <w:rPr>
                <w:rFonts w:ascii="Aptos" w:hAnsi="Aptos"/>
                <w:b/>
                <w:color w:val="FFFFFF"/>
                <w:sz w:val="17"/>
              </w:rPr>
              <w:t>Build scope</w:t>
            </w:r>
          </w:p>
        </w:tc>
        <w:tc>
          <w:tcPr>
            <w:tcW w:type="dxa" w:w="5184"/>
            <w:tcMar>
              <w:top w:w="80" w:type="dxa"/>
              <w:start w:w="100" w:type="dxa"/>
              <w:bottom w:w="80" w:type="dxa"/>
              <w:end w:w="100" w:type="dxa"/>
            </w:tcMar>
            <w:vAlign w:val="center"/>
            <w:shd w:fill="1F4E78"/>
          </w:tcPr>
          <w:p>
            <w:pPr>
              <w:spacing w:after="0" w:before="0"/>
            </w:pPr>
            <w:r/>
            <w:r>
              <w:rPr>
                <w:rFonts w:ascii="Aptos" w:hAnsi="Aptos"/>
                <w:b/>
                <w:color w:val="FFFFFF"/>
                <w:sz w:val="17"/>
              </w:rPr>
              <w:t>Verification / exit criterion</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R0 - Design</w:t>
            </w:r>
          </w:p>
        </w:tc>
        <w:tc>
          <w:tcPr>
            <w:tcW w:type="dxa" w:w="3888"/>
            <w:tcMar>
              <w:top w:w="80" w:type="dxa"/>
              <w:start w:w="100" w:type="dxa"/>
              <w:bottom w:w="80" w:type="dxa"/>
              <w:end w:w="100" w:type="dxa"/>
            </w:tcMar>
            <w:vAlign w:val="center"/>
          </w:tcPr>
          <w:p>
            <w:pPr>
              <w:spacing w:after="0" w:before="0"/>
            </w:pPr>
            <w:r/>
            <w:r>
              <w:rPr>
                <w:rFonts w:ascii="Aptos" w:hAnsi="Aptos"/>
                <w:sz w:val="17"/>
              </w:rPr>
              <w:t>Canonical/local offering, tenant binding, form, evidence, rules, workflow, roles, SLA, credential.</w:t>
            </w:r>
          </w:p>
        </w:tc>
        <w:tc>
          <w:tcPr>
            <w:tcW w:type="dxa" w:w="5184"/>
            <w:tcMar>
              <w:top w:w="80" w:type="dxa"/>
              <w:start w:w="100" w:type="dxa"/>
              <w:bottom w:w="80" w:type="dxa"/>
              <w:end w:w="100" w:type="dxa"/>
            </w:tcMar>
            <w:vAlign w:val="center"/>
          </w:tcPr>
          <w:p>
            <w:pPr>
              <w:spacing w:after="0" w:before="0"/>
            </w:pPr>
            <w:r/>
            <w:r>
              <w:rPr>
                <w:rFonts w:ascii="Aptos" w:hAnsi="Aptos"/>
                <w:sz w:val="17"/>
              </w:rPr>
              <w:t>All metadata passes schema and cross-validator; maker/checker path proven.</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R1 - Citizen</w:t>
            </w:r>
          </w:p>
        </w:tc>
        <w:tc>
          <w:tcPr>
            <w:tcW w:type="dxa" w:w="3888"/>
            <w:tcMar>
              <w:top w:w="80" w:type="dxa"/>
              <w:start w:w="100" w:type="dxa"/>
              <w:bottom w:w="80" w:type="dxa"/>
              <w:end w:w="100" w:type="dxa"/>
            </w:tcMar>
            <w:vAlign w:val="center"/>
          </w:tcPr>
          <w:p>
            <w:pPr>
              <w:spacing w:after="0" w:before="0"/>
            </w:pPr>
            <w:r/>
            <w:r>
              <w:rPr>
                <w:rFonts w:ascii="Aptos" w:hAnsi="Aptos"/>
                <w:sz w:val="17"/>
              </w:rPr>
              <w:t>OTP/profile/discovery/form/draft/evidence.</w:t>
            </w:r>
          </w:p>
        </w:tc>
        <w:tc>
          <w:tcPr>
            <w:tcW w:type="dxa" w:w="5184"/>
            <w:tcMar>
              <w:top w:w="80" w:type="dxa"/>
              <w:start w:w="100" w:type="dxa"/>
              <w:bottom w:w="80" w:type="dxa"/>
              <w:end w:w="100" w:type="dxa"/>
            </w:tcMar>
            <w:vAlign w:val="center"/>
          </w:tcPr>
          <w:p>
            <w:pPr>
              <w:spacing w:after="0" w:before="0"/>
            </w:pPr>
            <w:r/>
            <w:r>
              <w:rPr>
                <w:rFonts w:ascii="Aptos" w:hAnsi="Aptos"/>
                <w:sz w:val="17"/>
              </w:rPr>
              <w:t>Complete citizen journey with SIMULATED OTP/SMS/email and fixture DigiLocker; no provider availability required.</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R2 - Submit/Payment</w:t>
            </w:r>
          </w:p>
        </w:tc>
        <w:tc>
          <w:tcPr>
            <w:tcW w:type="dxa" w:w="3888"/>
            <w:tcMar>
              <w:top w:w="80" w:type="dxa"/>
              <w:start w:w="100" w:type="dxa"/>
              <w:bottom w:w="80" w:type="dxa"/>
              <w:end w:w="100" w:type="dxa"/>
            </w:tcMar>
            <w:vAlign w:val="center"/>
          </w:tcPr>
          <w:p>
            <w:pPr>
              <w:spacing w:after="0" w:before="0"/>
            </w:pPr>
            <w:r/>
            <w:r>
              <w:rPr>
                <w:rFonts w:ascii="Aptos" w:hAnsi="Aptos"/>
                <w:sz w:val="17"/>
              </w:rPr>
              <w:t>Submission transaction, no-fee and fee-bearing path.</w:t>
            </w:r>
          </w:p>
        </w:tc>
        <w:tc>
          <w:tcPr>
            <w:tcW w:type="dxa" w:w="5184"/>
            <w:tcMar>
              <w:top w:w="80" w:type="dxa"/>
              <w:start w:w="100" w:type="dxa"/>
              <w:bottom w:w="80" w:type="dxa"/>
              <w:end w:w="100" w:type="dxa"/>
            </w:tcMar>
            <w:vAlign w:val="center"/>
          </w:tcPr>
          <w:p>
            <w:pPr>
              <w:spacing w:after="0" w:before="0"/>
            </w:pPr>
            <w:r/>
            <w:r>
              <w:rPr>
                <w:rFonts w:ascii="Aptos" w:hAnsi="Aptos"/>
                <w:sz w:val="17"/>
              </w:rPr>
              <w:t>Duplicate-safe; payment simulator covers success/failure/pending/timeout/duplicate/amount mismatch/refund.</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R3 - Official process</w:t>
            </w:r>
          </w:p>
        </w:tc>
        <w:tc>
          <w:tcPr>
            <w:tcW w:type="dxa" w:w="3888"/>
            <w:tcMar>
              <w:top w:w="80" w:type="dxa"/>
              <w:start w:w="100" w:type="dxa"/>
              <w:bottom w:w="80" w:type="dxa"/>
              <w:end w:w="100" w:type="dxa"/>
            </w:tcMar>
            <w:vAlign w:val="center"/>
          </w:tcPr>
          <w:p>
            <w:pPr>
              <w:spacing w:after="0" w:before="0"/>
            </w:pPr>
            <w:r/>
            <w:r>
              <w:rPr>
                <w:rFonts w:ascii="Aptos" w:hAnsi="Aptos"/>
                <w:sz w:val="17"/>
              </w:rPr>
              <w:t>Work queue, scrutiny, deficiency, verification, decision.</w:t>
            </w:r>
          </w:p>
        </w:tc>
        <w:tc>
          <w:tcPr>
            <w:tcW w:type="dxa" w:w="5184"/>
            <w:tcMar>
              <w:top w:w="80" w:type="dxa"/>
              <w:start w:w="100" w:type="dxa"/>
              <w:bottom w:w="80" w:type="dxa"/>
              <w:end w:w="100" w:type="dxa"/>
            </w:tcMar>
            <w:vAlign w:val="center"/>
          </w:tcPr>
          <w:p>
            <w:pPr>
              <w:spacing w:after="0" w:before="0"/>
            </w:pPr>
            <w:r/>
            <w:r>
              <w:rPr>
                <w:rFonts w:ascii="Aptos" w:hAnsi="Aptos"/>
                <w:sz w:val="17"/>
              </w:rPr>
              <w:t>OPA + RLS negative tests; transfer/delegation; deficiency/SLA; worker restart.</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R4 - Outcome</w:t>
            </w:r>
          </w:p>
        </w:tc>
        <w:tc>
          <w:tcPr>
            <w:tcW w:type="dxa" w:w="3888"/>
            <w:tcMar>
              <w:top w:w="80" w:type="dxa"/>
              <w:start w:w="100" w:type="dxa"/>
              <w:bottom w:w="80" w:type="dxa"/>
              <w:end w:w="100" w:type="dxa"/>
            </w:tcMar>
            <w:vAlign w:val="center"/>
          </w:tcPr>
          <w:p>
            <w:pPr>
              <w:spacing w:after="0" w:before="0"/>
            </w:pPr>
            <w:r/>
            <w:r>
              <w:rPr>
                <w:rFonts w:ascii="Aptos" w:hAnsi="Aptos"/>
                <w:sz w:val="17"/>
              </w:rPr>
              <w:t>Sign/credential/QR/DigiLocker/notification.</w:t>
            </w:r>
          </w:p>
        </w:tc>
        <w:tc>
          <w:tcPr>
            <w:tcW w:type="dxa" w:w="5184"/>
            <w:tcMar>
              <w:top w:w="80" w:type="dxa"/>
              <w:start w:w="100" w:type="dxa"/>
              <w:bottom w:w="80" w:type="dxa"/>
              <w:end w:w="100" w:type="dxa"/>
            </w:tcMar>
            <w:vAlign w:val="center"/>
          </w:tcPr>
          <w:p>
            <w:pPr>
              <w:spacing w:after="0" w:before="0"/>
            </w:pPr>
            <w:r/>
            <w:r>
              <w:rPr>
                <w:rFonts w:ascii="Aptos" w:hAnsi="Aptos"/>
                <w:sz w:val="17"/>
              </w:rPr>
              <w:t>eSign/DigiLocker simulators; exactly-once business effect; notification outage does not reverse issuance.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R5 - Security</w:t>
            </w:r>
          </w:p>
        </w:tc>
        <w:tc>
          <w:tcPr>
            <w:tcW w:type="dxa" w:w="3888"/>
            <w:tcMar>
              <w:top w:w="80" w:type="dxa"/>
              <w:start w:w="100" w:type="dxa"/>
              <w:bottom w:w="80" w:type="dxa"/>
              <w:end w:w="100" w:type="dxa"/>
            </w:tcMar>
            <w:vAlign w:val="center"/>
          </w:tcPr>
          <w:p>
            <w:pPr>
              <w:spacing w:after="0" w:before="0"/>
            </w:pPr>
            <w:r/>
            <w:r>
              <w:rPr>
                <w:rFonts w:ascii="Aptos" w:hAnsi="Aptos"/>
                <w:sz w:val="17"/>
              </w:rPr>
              <w:t>Tenant/privacy/security controls.</w:t>
            </w:r>
          </w:p>
        </w:tc>
        <w:tc>
          <w:tcPr>
            <w:tcW w:type="dxa" w:w="5184"/>
            <w:tcMar>
              <w:top w:w="80" w:type="dxa"/>
              <w:start w:w="100" w:type="dxa"/>
              <w:bottom w:w="80" w:type="dxa"/>
              <w:end w:w="100" w:type="dxa"/>
            </w:tcMar>
            <w:vAlign w:val="center"/>
          </w:tcPr>
          <w:p>
            <w:pPr>
              <w:spacing w:after="0" w:before="0"/>
            </w:pPr>
            <w:r/>
            <w:r>
              <w:rPr>
                <w:rFonts w:ascii="Aptos" w:hAnsi="Aptos"/>
                <w:sz w:val="17"/>
              </w:rPr>
              <w:t>Cross-tenant suite, SAST/SCA/secret/IaC/container scans, prompt-injection tests.</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R6 - Scale/Resilience</w:t>
            </w:r>
          </w:p>
        </w:tc>
        <w:tc>
          <w:tcPr>
            <w:tcW w:type="dxa" w:w="3888"/>
            <w:tcMar>
              <w:top w:w="80" w:type="dxa"/>
              <w:start w:w="100" w:type="dxa"/>
              <w:bottom w:w="80" w:type="dxa"/>
              <w:end w:w="100" w:type="dxa"/>
            </w:tcMar>
            <w:vAlign w:val="center"/>
          </w:tcPr>
          <w:p>
            <w:pPr>
              <w:spacing w:after="0" w:before="0"/>
            </w:pPr>
            <w:r/>
            <w:r>
              <w:rPr>
                <w:rFonts w:ascii="Aptos" w:hAnsi="Aptos"/>
                <w:sz w:val="17"/>
              </w:rPr>
              <w:t>Certified representative workload.</w:t>
            </w:r>
          </w:p>
        </w:tc>
        <w:tc>
          <w:tcPr>
            <w:tcW w:type="dxa" w:w="5184"/>
            <w:tcMar>
              <w:top w:w="80" w:type="dxa"/>
              <w:start w:w="100" w:type="dxa"/>
              <w:bottom w:w="80" w:type="dxa"/>
              <w:end w:w="100" w:type="dxa"/>
            </w:tcMar>
            <w:vAlign w:val="center"/>
          </w:tcPr>
          <w:p>
            <w:pPr>
              <w:spacing w:after="0" w:before="0"/>
            </w:pPr>
            <w:r/>
            <w:r>
              <w:rPr>
                <w:rFonts w:ascii="Aptos" w:hAnsi="Aptos"/>
                <w:sz w:val="17"/>
              </w:rPr>
              <w:t>10K sustained API target and defined burst/soak/chaos tests on applicable environment; no lost committed application.</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R7 - Provider readiness</w:t>
            </w:r>
          </w:p>
        </w:tc>
        <w:tc>
          <w:tcPr>
            <w:tcW w:type="dxa" w:w="3888"/>
            <w:tcMar>
              <w:top w:w="80" w:type="dxa"/>
              <w:start w:w="100" w:type="dxa"/>
              <w:bottom w:w="80" w:type="dxa"/>
              <w:end w:w="100" w:type="dxa"/>
            </w:tcMar>
            <w:vAlign w:val="center"/>
          </w:tcPr>
          <w:p>
            <w:pPr>
              <w:spacing w:after="0" w:before="0"/>
            </w:pPr>
            <w:r/>
            <w:r>
              <w:rPr>
                <w:rFonts w:ascii="Aptos" w:hAnsi="Aptos"/>
                <w:sz w:val="17"/>
              </w:rPr>
              <w:t>Sandbox/non-prod real providers.</w:t>
            </w:r>
          </w:p>
        </w:tc>
        <w:tc>
          <w:tcPr>
            <w:tcW w:type="dxa" w:w="5184"/>
            <w:tcMar>
              <w:top w:w="80" w:type="dxa"/>
              <w:start w:w="100" w:type="dxa"/>
              <w:bottom w:w="80" w:type="dxa"/>
              <w:end w:w="100" w:type="dxa"/>
            </w:tcMar>
            <w:vAlign w:val="center"/>
          </w:tcPr>
          <w:p>
            <w:pPr>
              <w:spacing w:after="0" w:before="0"/>
            </w:pPr>
            <w:r/>
            <w:r>
              <w:rPr>
                <w:rFonts w:ascii="Aptos" w:hAnsi="Aptos"/>
                <w:sz w:val="17"/>
              </w:rPr>
              <w:t>Payment/OTP/SMS/email/DigiLocker/eSign provider contract tests where credentials/endpoints available.</w:t>
            </w:r>
          </w:p>
        </w:tc>
      </w:tr>
      <w:tr>
        <w:trPr>
          <w:cantSplit/>
        </w:trPr>
        <w:tc>
          <w:tcPr>
            <w:tcW w:type="dxa" w:w="1440"/>
            <w:tcMar>
              <w:top w:w="80" w:type="dxa"/>
              <w:start w:w="100" w:type="dxa"/>
              <w:bottom w:w="80" w:type="dxa"/>
              <w:end w:w="100" w:type="dxa"/>
            </w:tcMar>
            <w:vAlign w:val="center"/>
          </w:tcPr>
          <w:p>
            <w:pPr>
              <w:spacing w:after="0" w:before="0"/>
            </w:pPr>
            <w:r/>
            <w:r>
              <w:rPr>
                <w:rFonts w:ascii="Aptos" w:hAnsi="Aptos"/>
                <w:b/>
                <w:color w:val="1F2937"/>
                <w:sz w:val="17"/>
              </w:rPr>
              <w:t>R8 - Release certification</w:t>
            </w:r>
          </w:p>
        </w:tc>
        <w:tc>
          <w:tcPr>
            <w:tcW w:type="dxa" w:w="3888"/>
            <w:tcMar>
              <w:top w:w="80" w:type="dxa"/>
              <w:start w:w="100" w:type="dxa"/>
              <w:bottom w:w="80" w:type="dxa"/>
              <w:end w:w="100" w:type="dxa"/>
            </w:tcMar>
            <w:vAlign w:val="center"/>
          </w:tcPr>
          <w:p>
            <w:pPr>
              <w:spacing w:after="0" w:before="0"/>
            </w:pPr>
            <w:r/>
            <w:r>
              <w:rPr>
                <w:rFonts w:ascii="Aptos" w:hAnsi="Aptos"/>
                <w:sz w:val="17"/>
              </w:rPr>
              <w:t>Evidence manifest and approvals.</w:t>
            </w:r>
          </w:p>
        </w:tc>
        <w:tc>
          <w:tcPr>
            <w:tcW w:type="dxa" w:w="5184"/>
            <w:tcMar>
              <w:top w:w="80" w:type="dxa"/>
              <w:start w:w="100" w:type="dxa"/>
              <w:bottom w:w="80" w:type="dxa"/>
              <w:end w:w="100" w:type="dxa"/>
            </w:tcMar>
            <w:vAlign w:val="center"/>
          </w:tcPr>
          <w:p>
            <w:pPr>
              <w:spacing w:after="0" w:before="0"/>
            </w:pPr>
            <w:r/>
            <w:r>
              <w:rPr>
                <w:rFonts w:ascii="Aptos" w:hAnsi="Aptos"/>
                <w:sz w:val="17"/>
              </w:rPr>
              <w:t>All mandatory gates green, no unresolved blocker/high, G6 release record signed by authorized reviewer.</w:t>
            </w:r>
          </w:p>
        </w:tc>
      </w:tr>
    </w:tbl>
    <w:p>
      <w:pPr>
        <w:spacing w:after="40"/>
      </w:pPr>
    </w:p>
    <w:p>
      <w:pPr>
        <w:pStyle w:val="Heading2"/>
        <w:keepNext/>
      </w:pPr>
      <w:r>
        <w:t>15.1 Golden flow scenario catalogue</w:t>
      </w:r>
    </w:p>
    <w:p>
      <w:pPr>
        <w:pStyle w:val="ListBullet"/>
        <w:spacing w:after="40"/>
      </w:pPr>
      <w:r>
        <w:t>Happy path, no fee.</w:t>
      </w:r>
    </w:p>
    <w:p>
      <w:pPr>
        <w:pStyle w:val="ListBullet"/>
        <w:spacing w:after="40"/>
      </w:pPr>
      <w:r>
        <w:t>Happy path with fee.</w:t>
      </w:r>
    </w:p>
    <w:p>
      <w:pPr>
        <w:pStyle w:val="ListBullet"/>
        <w:spacing w:after="40"/>
      </w:pPr>
      <w:r>
        <w:t>Payment failed, retry, pending, timeout/unknown, duplicate callback, amount mismatch and refund.</w:t>
      </w:r>
    </w:p>
    <w:p>
      <w:pPr>
        <w:pStyle w:val="ListBullet"/>
        <w:spacing w:after="40"/>
      </w:pPr>
      <w:r>
        <w:t>OTP wrong, expired, resend, attempt limit and provider unavailable.</w:t>
      </w:r>
    </w:p>
    <w:p>
      <w:pPr>
        <w:pStyle w:val="ListBullet"/>
        <w:spacing w:after="40"/>
      </w:pPr>
      <w:r>
        <w:t>SMS/email delivery failure and retry without blocking application state.</w:t>
      </w:r>
    </w:p>
    <w:p>
      <w:pPr>
        <w:pStyle w:val="ListBullet"/>
        <w:spacing w:after="40"/>
      </w:pPr>
      <w:r>
        <w:t>DigiLocker consent denied/document absent/token expired/provider outage.</w:t>
      </w:r>
    </w:p>
    <w:p>
      <w:pPr>
        <w:pStyle w:val="ListBullet"/>
        <w:spacing w:after="40"/>
      </w:pPr>
      <w:r>
        <w:t>Evidence malware rejection, expiry, supersession and low-confidence extraction review.</w:t>
      </w:r>
    </w:p>
    <w:p>
      <w:pPr>
        <w:pStyle w:val="ListBullet"/>
        <w:spacing w:after="40"/>
      </w:pPr>
      <w:r>
        <w:t>Deficiency once and multiple cycles; citizen non-response expiry; SLA pause/resume/escalation.</w:t>
      </w:r>
    </w:p>
    <w:p>
      <w:pPr>
        <w:pStyle w:val="ListBullet"/>
        <w:spacing w:after="40"/>
      </w:pPr>
      <w:r>
        <w:t>Unauthorized role, wrong office, wrong jurisdiction and cross-tenant access.</w:t>
      </w:r>
    </w:p>
    <w:p>
      <w:pPr>
        <w:pStyle w:val="ListBullet"/>
        <w:spacing w:after="40"/>
      </w:pPr>
      <w:r>
        <w:t>Officer transfer/delegation and competing task claim.</w:t>
      </w:r>
    </w:p>
    <w:p>
      <w:pPr>
        <w:pStyle w:val="ListBullet"/>
        <w:spacing w:after="40"/>
      </w:pPr>
      <w:r>
        <w:t>Temporal worker/pod restart and event redelivery without duplicate side effects.</w:t>
      </w:r>
    </w:p>
    <w:p>
      <w:pPr>
        <w:pStyle w:val="ListBullet"/>
        <w:spacing w:after="40"/>
      </w:pPr>
      <w:r>
        <w:t>Approval/rejection, eSign failure/retry, credential issuance, QR verification, revocation/reissue.</w:t>
      </w:r>
    </w:p>
    <w:p>
      <w:pPr>
        <w:pStyle w:val="ListBullet"/>
        <w:spacing w:after="40"/>
      </w:pPr>
      <w:r>
        <w:t>Configuration version changes after submission do not alter pinned historical case behavior.</w:t>
      </w:r>
    </w:p>
    <w:p>
      <w:pPr>
        <w:pStyle w:val="ListBullet"/>
        <w:spacing w:after="40"/>
      </w:pPr>
      <w:r>
        <w:t>AI disabled, model timeout and malicious document/prompt content; deterministic platform continues.</w:t>
      </w:r>
    </w:p>
    <w:p>
      <w:pPr>
        <w:pStyle w:val="Heading1"/>
        <w:keepNext/>
      </w:pPr>
      <w:r>
        <w:t>16. Certification Records</w:t>
      </w:r>
    </w:p>
    <w:p>
      <w:pPr>
        <w:pStyle w:val="Heading2"/>
        <w:keepNext/>
      </w:pPr>
      <w:r>
        <w:t>16.1 Component certification record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880"/>
            <w:tcMar>
              <w:top w:w="80" w:type="dxa"/>
              <w:start w:w="100" w:type="dxa"/>
              <w:bottom w:w="80" w:type="dxa"/>
              <w:end w:w="100" w:type="dxa"/>
            </w:tcMar>
            <w:vAlign w:val="center"/>
            <w:shd w:fill="1F4E78"/>
          </w:tcPr>
          <w:p>
            <w:pPr>
              <w:spacing w:after="0" w:before="0"/>
            </w:pPr>
            <w:r/>
            <w:r>
              <w:rPr>
                <w:rFonts w:ascii="Aptos" w:hAnsi="Aptos"/>
                <w:b/>
                <w:color w:val="FFFFFF"/>
                <w:sz w:val="18"/>
              </w:rPr>
              <w:t>Field</w:t>
            </w:r>
          </w:p>
        </w:tc>
        <w:tc>
          <w:tcPr>
            <w:tcW w:type="dxa" w:w="7632"/>
            <w:tcMar>
              <w:top w:w="80" w:type="dxa"/>
              <w:start w:w="100" w:type="dxa"/>
              <w:bottom w:w="80" w:type="dxa"/>
              <w:end w:w="100" w:type="dxa"/>
            </w:tcMar>
            <w:vAlign w:val="center"/>
            <w:shd w:fill="1F4E78"/>
          </w:tcPr>
          <w:p>
            <w:pPr>
              <w:spacing w:after="0" w:before="0"/>
            </w:pPr>
            <w:r/>
            <w:r>
              <w:rPr>
                <w:rFonts w:ascii="Aptos" w:hAnsi="Aptos"/>
                <w:b/>
                <w:color w:val="FFFFFF"/>
                <w:sz w:val="18"/>
              </w:rPr>
              <w:t>Value</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Certification ID</w:t>
            </w:r>
          </w:p>
        </w:tc>
        <w:tc>
          <w:tcPr>
            <w:tcW w:type="dxa" w:w="7632"/>
            <w:tcMar>
              <w:top w:w="80" w:type="dxa"/>
              <w:start w:w="100" w:type="dxa"/>
              <w:bottom w:w="80" w:type="dxa"/>
              <w:end w:w="100" w:type="dxa"/>
            </w:tcMar>
            <w:vAlign w:val="center"/>
          </w:tcPr>
          <w:p>
            <w:pPr>
              <w:spacing w:after="0" w:before="0"/>
            </w:pPr>
            <w:r/>
            <w:r>
              <w:rPr>
                <w:rFonts w:ascii="Aptos" w:hAnsi="Aptos"/>
                <w:sz w:val="18"/>
              </w:rPr>
              <w:t>SF-CMP-CERT-&lt;component&gt;-&lt;version&gt;-&lt;date&gt;</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Component / version</w:t>
            </w:r>
          </w:p>
        </w:tc>
        <w:tc>
          <w:tcPr>
            <w:tcW w:type="dxa" w:w="7632"/>
            <w:tcMar>
              <w:top w:w="80" w:type="dxa"/>
              <w:start w:w="100" w:type="dxa"/>
              <w:bottom w:w="80" w:type="dxa"/>
              <w:end w:w="100" w:type="dxa"/>
            </w:tcMar>
            <w:vAlign w:val="center"/>
          </w:tcPr>
          <w:p>
            <w:pPr>
              <w:spacing w:after="0" w:before="0"/>
            </w:pPr>
            <w:r/>
            <w:r>
              <w:rPr>
                <w:rFonts w:ascii="Aptos" w:hAnsi="Aptos"/>
                <w:sz w:val="18"/>
              </w:rPr>
              <w:t>CMP-xxx / semantic or release version</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Commit / artifact digest</w:t>
            </w:r>
          </w:p>
        </w:tc>
        <w:tc>
          <w:tcPr>
            <w:tcW w:type="dxa" w:w="7632"/>
            <w:tcMar>
              <w:top w:w="80" w:type="dxa"/>
              <w:start w:w="100" w:type="dxa"/>
              <w:bottom w:w="80" w:type="dxa"/>
              <w:end w:w="100" w:type="dxa"/>
            </w:tcMar>
            <w:vAlign w:val="center"/>
          </w:tcPr>
          <w:p>
            <w:pPr>
              <w:spacing w:after="0" w:before="0"/>
            </w:pPr>
            <w:r/>
            <w:r>
              <w:rPr>
                <w:rFonts w:ascii="Aptos" w:hAnsi="Aptos"/>
                <w:sz w:val="18"/>
              </w:rPr>
              <w:t>Git SHA / container digest / package digest</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Requirements / ADRs</w:t>
            </w:r>
          </w:p>
        </w:tc>
        <w:tc>
          <w:tcPr>
            <w:tcW w:type="dxa" w:w="7632"/>
            <w:tcMar>
              <w:top w:w="80" w:type="dxa"/>
              <w:start w:w="100" w:type="dxa"/>
              <w:bottom w:w="80" w:type="dxa"/>
              <w:end w:w="100" w:type="dxa"/>
            </w:tcMar>
            <w:vAlign w:val="center"/>
          </w:tcPr>
          <w:p>
            <w:pPr>
              <w:spacing w:after="0" w:before="0"/>
            </w:pPr>
            <w:r/>
            <w:r>
              <w:rPr>
                <w:rFonts w:ascii="Aptos" w:hAnsi="Aptos"/>
                <w:sz w:val="18"/>
              </w:rPr>
              <w:t>REQ-* / ADR-*</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AI provenance</w:t>
            </w:r>
          </w:p>
        </w:tc>
        <w:tc>
          <w:tcPr>
            <w:tcW w:type="dxa" w:w="7632"/>
            <w:tcMar>
              <w:top w:w="80" w:type="dxa"/>
              <w:start w:w="100" w:type="dxa"/>
              <w:bottom w:w="80" w:type="dxa"/>
              <w:end w:w="100" w:type="dxa"/>
            </w:tcMar>
            <w:vAlign w:val="center"/>
          </w:tcPr>
          <w:p>
            <w:pPr>
              <w:spacing w:after="0" w:before="0"/>
            </w:pPr>
            <w:r/>
            <w:r>
              <w:rPr>
                <w:rFonts w:ascii="Aptos" w:hAnsi="Aptos"/>
                <w:sz w:val="18"/>
              </w:rPr>
              <w:t>work IDs, agent(s), tool/model metadata where available</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Gates achieved</w:t>
            </w:r>
          </w:p>
        </w:tc>
        <w:tc>
          <w:tcPr>
            <w:tcW w:type="dxa" w:w="7632"/>
            <w:tcMar>
              <w:top w:w="80" w:type="dxa"/>
              <w:start w:w="100" w:type="dxa"/>
              <w:bottom w:w="80" w:type="dxa"/>
              <w:end w:w="100" w:type="dxa"/>
            </w:tcMar>
            <w:vAlign w:val="center"/>
          </w:tcPr>
          <w:p>
            <w:pPr>
              <w:spacing w:after="0" w:before="0"/>
            </w:pPr>
            <w:r/>
            <w:r>
              <w:rPr>
                <w:rFonts w:ascii="Aptos" w:hAnsi="Aptos"/>
                <w:sz w:val="18"/>
              </w:rPr>
              <w:t>G0-G6 with N/A justification where permitted</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Test evidence</w:t>
            </w:r>
          </w:p>
        </w:tc>
        <w:tc>
          <w:tcPr>
            <w:tcW w:type="dxa" w:w="7632"/>
            <w:tcMar>
              <w:top w:w="80" w:type="dxa"/>
              <w:start w:w="100" w:type="dxa"/>
              <w:bottom w:w="80" w:type="dxa"/>
              <w:end w:w="100" w:type="dxa"/>
            </w:tcMar>
            <w:vAlign w:val="center"/>
          </w:tcPr>
          <w:p>
            <w:pPr>
              <w:spacing w:after="0" w:before="0"/>
            </w:pPr>
            <w:r/>
            <w:r>
              <w:rPr>
                <w:rFonts w:ascii="Aptos" w:hAnsi="Aptos"/>
                <w:sz w:val="18"/>
              </w:rPr>
              <w:t>CI run IDs, test suites, contract/E2E runs</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Security evidence</w:t>
            </w:r>
          </w:p>
        </w:tc>
        <w:tc>
          <w:tcPr>
            <w:tcW w:type="dxa" w:w="7632"/>
            <w:tcMar>
              <w:top w:w="80" w:type="dxa"/>
              <w:start w:w="100" w:type="dxa"/>
              <w:bottom w:w="80" w:type="dxa"/>
              <w:end w:w="100" w:type="dxa"/>
            </w:tcMar>
            <w:vAlign w:val="center"/>
          </w:tcPr>
          <w:p>
            <w:pPr>
              <w:spacing w:after="0" w:before="0"/>
            </w:pPr>
            <w:r/>
            <w:r>
              <w:rPr>
                <w:rFonts w:ascii="Aptos" w:hAnsi="Aptos"/>
                <w:sz w:val="18"/>
              </w:rPr>
              <w:t>RLS/OPA negative tests + scanners applicable to component</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Performance/resilience evidence</w:t>
            </w:r>
          </w:p>
        </w:tc>
        <w:tc>
          <w:tcPr>
            <w:tcW w:type="dxa" w:w="7632"/>
            <w:tcMar>
              <w:top w:w="80" w:type="dxa"/>
              <w:start w:w="100" w:type="dxa"/>
              <w:bottom w:w="80" w:type="dxa"/>
              <w:end w:w="100" w:type="dxa"/>
            </w:tcMar>
            <w:vAlign w:val="center"/>
          </w:tcPr>
          <w:p>
            <w:pPr>
              <w:spacing w:after="0" w:before="0"/>
            </w:pPr>
            <w:r/>
            <w:r>
              <w:rPr>
                <w:rFonts w:ascii="Aptos" w:hAnsi="Aptos"/>
                <w:sz w:val="18"/>
              </w:rPr>
              <w:t>Run IDs or N/A reason</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Known limitations</w:t>
            </w:r>
          </w:p>
        </w:tc>
        <w:tc>
          <w:tcPr>
            <w:tcW w:type="dxa" w:w="7632"/>
            <w:tcMar>
              <w:top w:w="80" w:type="dxa"/>
              <w:start w:w="100" w:type="dxa"/>
              <w:bottom w:w="80" w:type="dxa"/>
              <w:end w:w="100" w:type="dxa"/>
            </w:tcMar>
            <w:vAlign w:val="center"/>
          </w:tcPr>
          <w:p>
            <w:pPr>
              <w:spacing w:after="0" w:before="0"/>
            </w:pPr>
            <w:r/>
            <w:r>
              <w:rPr>
                <w:rFonts w:ascii="Aptos" w:hAnsi="Aptos"/>
                <w:sz w:val="18"/>
              </w:rPr>
              <w:t>Open non-blocking issues / provider scopes not tested</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Verifier / reviewer</w:t>
            </w:r>
          </w:p>
        </w:tc>
        <w:tc>
          <w:tcPr>
            <w:tcW w:type="dxa" w:w="7632"/>
            <w:tcMar>
              <w:top w:w="80" w:type="dxa"/>
              <w:start w:w="100" w:type="dxa"/>
              <w:bottom w:w="80" w:type="dxa"/>
              <w:end w:w="100" w:type="dxa"/>
            </w:tcMar>
            <w:vAlign w:val="center"/>
          </w:tcPr>
          <w:p>
            <w:pPr>
              <w:spacing w:after="0" w:before="0"/>
            </w:pPr>
            <w:r/>
            <w:r>
              <w:rPr>
                <w:rFonts w:ascii="Aptos" w:hAnsi="Aptos"/>
                <w:sz w:val="18"/>
              </w:rPr>
              <w:t>Independent verifier + accountable approver</w:t>
            </w:r>
          </w:p>
        </w:tc>
      </w:tr>
      <w:tr>
        <w:trPr>
          <w:cantSplit/>
        </w:trPr>
        <w:tc>
          <w:tcPr>
            <w:tcW w:type="dxa" w:w="2880"/>
            <w:tcMar>
              <w:top w:w="80" w:type="dxa"/>
              <w:start w:w="100" w:type="dxa"/>
              <w:bottom w:w="80" w:type="dxa"/>
              <w:end w:w="100" w:type="dxa"/>
            </w:tcMar>
            <w:vAlign w:val="center"/>
          </w:tcPr>
          <w:p>
            <w:pPr>
              <w:spacing w:after="0" w:before="0"/>
            </w:pPr>
            <w:r/>
            <w:r>
              <w:rPr>
                <w:rFonts w:ascii="Aptos" w:hAnsi="Aptos"/>
                <w:b/>
                <w:color w:val="1F2937"/>
                <w:sz w:val="18"/>
              </w:rPr>
              <w:t>Decision</w:t>
            </w:r>
          </w:p>
        </w:tc>
        <w:tc>
          <w:tcPr>
            <w:tcW w:type="dxa" w:w="7632"/>
            <w:tcMar>
              <w:top w:w="80" w:type="dxa"/>
              <w:start w:w="100" w:type="dxa"/>
              <w:bottom w:w="80" w:type="dxa"/>
              <w:end w:w="100" w:type="dxa"/>
            </w:tcMar>
            <w:vAlign w:val="center"/>
          </w:tcPr>
          <w:p>
            <w:pPr>
              <w:spacing w:after="0" w:before="0"/>
            </w:pPr>
            <w:r/>
            <w:r>
              <w:rPr>
                <w:rFonts w:ascii="Aptos" w:hAnsi="Aptos"/>
                <w:sz w:val="18"/>
              </w:rPr>
              <w:t>CERTIFIED / CERTIFIED_WITH_LIMITATIONS / NOT_CERTIFIED</w:t>
            </w:r>
          </w:p>
        </w:tc>
      </w:tr>
    </w:tbl>
    <w:p>
      <w:pPr>
        <w:spacing w:after="40"/>
      </w:pPr>
    </w:p>
    <w:p>
      <w:pPr>
        <w:pStyle w:val="Heading2"/>
        <w:keepNext/>
      </w:pPr>
      <w:r>
        <w:t>16.2 Module certification record</w:t>
      </w:r>
    </w:p>
    <w:p>
      <w:pPr>
        <w:spacing w:after="100"/>
      </w:pPr>
      <w:r>
        <w:t>A module can be CERTIFIED only when every required component has the necessary component gate, all module integration contracts pass, and no unresolved blocker/high defect affects the module scope. A component with CERTIFIED_WITH_LIMITATIONS must propagate its limitation into the module record.</w:t>
      </w:r>
    </w:p>
    <w:p>
      <w:pPr>
        <w:pStyle w:val="Heading2"/>
        <w:keepNext/>
      </w:pPr>
      <w:r>
        <w:t>16.3 Release certification record</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pPr>
              <w:spacing w:after="80"/>
            </w:pPr>
            <w:r>
              <w:rPr>
                <w:b/>
                <w:color w:val="2F6B2F"/>
                <w:sz w:val="21"/>
              </w:rPr>
              <w:t>Release certification</w:t>
            </w:r>
          </w:p>
          <w:p>
            <w:pPr>
              <w:spacing w:after="0"/>
            </w:pPr>
            <w:r>
              <w:rPr>
                <w:color w:val="1F2937"/>
                <w:sz w:val="20"/>
              </w:rPr>
              <w:t>The release certificate is generated from immutable CI/CD evidence and approved by an authorized human reviewer. Cursor, Copilot, Claude Code or any other coding agent may prepare the report, but the agent is never the certifying authority.</w:t>
            </w:r>
          </w:p>
        </w:tc>
      </w:tr>
    </w:tbl>
    <w:p>
      <w:pPr>
        <w:spacing w:after="40"/>
      </w:pPr>
    </w:p>
    <w:p>
      <w:pPr>
        <w:pStyle w:val="ListBullet"/>
        <w:spacing w:after="40"/>
      </w:pPr>
      <w:r>
        <w:t>Release/version, source commit, container/package digests and SBOM.</w:t>
      </w:r>
    </w:p>
    <w:p>
      <w:pPr>
        <w:pStyle w:val="ListBullet"/>
        <w:spacing w:after="40"/>
      </w:pPr>
      <w:r>
        <w:t>All component/module certification IDs and integration contract results.</w:t>
      </w:r>
    </w:p>
    <w:p>
      <w:pPr>
        <w:pStyle w:val="ListBullet"/>
        <w:spacing w:after="40"/>
      </w:pPr>
      <w:r>
        <w:t>Environment and connector mode inventory; critical production bindings confirmed REAL.</w:t>
      </w:r>
    </w:p>
    <w:p>
      <w:pPr>
        <w:pStyle w:val="ListBullet"/>
        <w:spacing w:after="40"/>
      </w:pPr>
      <w:r>
        <w:t>Security/privacy/tenant-isolation evidence and exception list.</w:t>
      </w:r>
    </w:p>
    <w:p>
      <w:pPr>
        <w:pStyle w:val="ListBullet"/>
        <w:spacing w:after="40"/>
      </w:pPr>
      <w:r>
        <w:t>Performance/soak/chaos/DR evidence applicable to release scope.</w:t>
      </w:r>
    </w:p>
    <w:p>
      <w:pPr>
        <w:pStyle w:val="ListBullet"/>
        <w:spacing w:after="40"/>
      </w:pPr>
      <w:r>
        <w:t>Database migration and rollback/recovery evidence.</w:t>
      </w:r>
    </w:p>
    <w:p>
      <w:pPr>
        <w:pStyle w:val="ListBullet"/>
        <w:spacing w:after="40"/>
      </w:pPr>
      <w:r>
        <w:t>Known limitations and provider features explicitly outside certification scope.</w:t>
      </w:r>
    </w:p>
    <w:p>
      <w:pPr>
        <w:pStyle w:val="ListBullet"/>
        <w:spacing w:after="40"/>
      </w:pPr>
      <w:r>
        <w:t>Authorized engineering, QA/security and release approvals.</w:t>
      </w:r>
    </w:p>
    <w:p>
      <w:pPr>
        <w:pStyle w:val="Heading1"/>
        <w:keepNext/>
      </w:pPr>
      <w:r>
        <w:t>17. Final Development Constitution Additions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512"/>
            <w:tcMar>
              <w:top w:w="80" w:type="dxa"/>
              <w:start w:w="100" w:type="dxa"/>
              <w:bottom w:w="80" w:type="dxa"/>
              <w:end w:w="100" w:type="dxa"/>
            </w:tcMar>
            <w:vAlign w:val="center"/>
            <w:shd w:fill="1F4E78"/>
          </w:tcPr>
          <w:p>
            <w:pPr>
              <w:spacing w:after="0" w:before="0"/>
            </w:pPr>
            <w:r/>
            <w:r>
              <w:rPr>
                <w:rFonts w:ascii="Aptos" w:hAnsi="Aptos"/>
                <w:b/>
                <w:color w:val="FFFFFF"/>
                <w:sz w:val="18"/>
              </w:rPr>
              <w:t>Rule ID</w:t>
            </w:r>
          </w:p>
        </w:tc>
        <w:tc>
          <w:tcPr>
            <w:tcW w:type="dxa" w:w="9000"/>
            <w:tcMar>
              <w:top w:w="80" w:type="dxa"/>
              <w:start w:w="100" w:type="dxa"/>
              <w:bottom w:w="80" w:type="dxa"/>
              <w:end w:w="100" w:type="dxa"/>
            </w:tcMar>
            <w:vAlign w:val="center"/>
            <w:shd w:fill="1F4E78"/>
          </w:tcPr>
          <w:p>
            <w:pPr>
              <w:spacing w:after="0" w:before="0"/>
            </w:pPr>
            <w:r/>
            <w:r>
              <w:rPr>
                <w:rFonts w:ascii="Aptos" w:hAnsi="Aptos"/>
                <w:b/>
                <w:color w:val="FFFFFF"/>
                <w:sz w:val="18"/>
              </w:rPr>
              <w:t>Normative rule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SF-AI-031</w:t>
            </w:r>
          </w:p>
        </w:tc>
        <w:tc>
          <w:tcPr>
            <w:tcW w:type="dxa" w:w="9000"/>
            <w:tcMar>
              <w:top w:w="80" w:type="dxa"/>
              <w:start w:w="100" w:type="dxa"/>
              <w:bottom w:w="80" w:type="dxa"/>
              <w:end w:w="100" w:type="dxa"/>
            </w:tcMar>
            <w:vAlign w:val="center"/>
          </w:tcPr>
          <w:p>
            <w:pPr>
              <w:spacing w:after="0" w:before="0"/>
            </w:pPr>
            <w:r/>
            <w:r>
              <w:rPr>
                <w:rFonts w:ascii="Aptos" w:hAnsi="Aptos"/>
                <w:sz w:val="18"/>
              </w:rPr>
              <w:t>External integrations MUST implement REAL, SANDBOX or SIMULATED adapter modes; development/CI must not depend on external provider uptime.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SF-AI-032</w:t>
            </w:r>
          </w:p>
        </w:tc>
        <w:tc>
          <w:tcPr>
            <w:tcW w:type="dxa" w:w="9000"/>
            <w:tcMar>
              <w:top w:w="80" w:type="dxa"/>
              <w:start w:w="100" w:type="dxa"/>
              <w:bottom w:w="80" w:type="dxa"/>
              <w:end w:w="100" w:type="dxa"/>
            </w:tcMar>
            <w:vAlign w:val="center"/>
          </w:tcPr>
          <w:p>
            <w:pPr>
              <w:spacing w:after="0" w:before="0"/>
            </w:pPr>
            <w:r/>
            <w:r>
              <w:rPr>
                <w:rFonts w:ascii="Aptos" w:hAnsi="Aptos"/>
                <w:sz w:val="18"/>
              </w:rPr>
              <w:t>Production MUST fail closed if a configured critical connector resolves to SIMULATED; there is no automatic production simulator fallback.</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SF-AI-033</w:t>
            </w:r>
          </w:p>
        </w:tc>
        <w:tc>
          <w:tcPr>
            <w:tcW w:type="dxa" w:w="9000"/>
            <w:tcMar>
              <w:top w:w="80" w:type="dxa"/>
              <w:start w:w="100" w:type="dxa"/>
              <w:bottom w:w="80" w:type="dxa"/>
              <w:end w:w="100" w:type="dxa"/>
            </w:tcMar>
            <w:vAlign w:val="center"/>
          </w:tcPr>
          <w:p>
            <w:pPr>
              <w:spacing w:after="0" w:before="0"/>
            </w:pPr>
            <w:r/>
            <w:r>
              <w:rPr>
                <w:rFonts w:ascii="Aptos" w:hAnsi="Aptos"/>
                <w:sz w:val="18"/>
              </w:rPr>
              <w:t>Simulation MUST replace the external provider, not bypass ServiceForm domain logic/state machines/callback handlers.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SF-AI-034</w:t>
            </w:r>
          </w:p>
        </w:tc>
        <w:tc>
          <w:tcPr>
            <w:tcW w:type="dxa" w:w="9000"/>
            <w:tcMar>
              <w:top w:w="80" w:type="dxa"/>
              <w:start w:w="100" w:type="dxa"/>
              <w:bottom w:w="80" w:type="dxa"/>
              <w:end w:w="100" w:type="dxa"/>
            </w:tcMar>
            <w:vAlign w:val="center"/>
          </w:tcPr>
          <w:p>
            <w:pPr>
              <w:spacing w:after="0" w:before="0"/>
            </w:pPr>
            <w:r/>
            <w:r>
              <w:rPr>
                <w:rFonts w:ascii="Aptos" w:hAnsi="Aptos"/>
                <w:sz w:val="18"/>
              </w:rPr>
              <w:t>AI-generated or AI-modified code MUST carry requirement/component traceability and an AI work record when supported by the workflow.</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SF-AI-035</w:t>
            </w:r>
          </w:p>
        </w:tc>
        <w:tc>
          <w:tcPr>
            <w:tcW w:type="dxa" w:w="9000"/>
            <w:tcMar>
              <w:top w:w="80" w:type="dxa"/>
              <w:start w:w="100" w:type="dxa"/>
              <w:bottom w:w="80" w:type="dxa"/>
              <w:end w:w="100" w:type="dxa"/>
            </w:tcMar>
            <w:vAlign w:val="center"/>
          </w:tcPr>
          <w:p>
            <w:pPr>
              <w:spacing w:after="0" w:before="0"/>
            </w:pPr>
            <w:r/>
            <w:r>
              <w:rPr>
                <w:rFonts w:ascii="Aptos" w:hAnsi="Aptos"/>
                <w:sz w:val="18"/>
              </w:rPr>
              <w:t>An AI agent MUST NOT claim VERIFIED/CERTIFIED without actual executed evidence; generated tests, compilation or reasoning alone are insufficient.</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SF-AI-036</w:t>
            </w:r>
          </w:p>
        </w:tc>
        <w:tc>
          <w:tcPr>
            <w:tcW w:type="dxa" w:w="9000"/>
            <w:tcMar>
              <w:top w:w="80" w:type="dxa"/>
              <w:start w:w="100" w:type="dxa"/>
              <w:bottom w:w="80" w:type="dxa"/>
              <w:end w:w="100" w:type="dxa"/>
            </w:tcMar>
            <w:vAlign w:val="center"/>
          </w:tcPr>
          <w:p>
            <w:pPr>
              <w:spacing w:after="0" w:before="0"/>
            </w:pPr>
            <w:r/>
            <w:r>
              <w:rPr>
                <w:rFonts w:ascii="Aptos" w:hAnsi="Aptos"/>
                <w:sz w:val="18"/>
              </w:rPr>
              <w:t>For authoritative case transitions, commit PostgreSQL state and outbox before signalling Temporal.</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SF-AI-037</w:t>
            </w:r>
          </w:p>
        </w:tc>
        <w:tc>
          <w:tcPr>
            <w:tcW w:type="dxa" w:w="9000"/>
            <w:tcMar>
              <w:top w:w="80" w:type="dxa"/>
              <w:start w:w="100" w:type="dxa"/>
              <w:bottom w:w="80" w:type="dxa"/>
              <w:end w:w="100" w:type="dxa"/>
            </w:tcMar>
            <w:vAlign w:val="center"/>
          </w:tcPr>
          <w:p>
            <w:pPr>
              <w:spacing w:after="0" w:before="0"/>
            </w:pPr>
            <w:r/>
            <w:r>
              <w:rPr>
                <w:rFonts w:ascii="Aptos" w:hAnsi="Aptos"/>
                <w:sz w:val="18"/>
              </w:rPr>
              <w:t>Evidence technical acceptance and business verification are distinct state dimensions.</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SF-AI-038</w:t>
            </w:r>
          </w:p>
        </w:tc>
        <w:tc>
          <w:tcPr>
            <w:tcW w:type="dxa" w:w="9000"/>
            <w:tcMar>
              <w:top w:w="80" w:type="dxa"/>
              <w:start w:w="100" w:type="dxa"/>
              <w:bottom w:w="80" w:type="dxa"/>
              <w:end w:w="100" w:type="dxa"/>
            </w:tcMar>
            <w:vAlign w:val="center"/>
          </w:tcPr>
          <w:p>
            <w:pPr>
              <w:spacing w:after="0" w:before="0"/>
            </w:pPr>
            <w:r/>
            <w:r>
              <w:rPr>
                <w:rFonts w:ascii="Aptos" w:hAnsi="Aptos"/>
                <w:sz w:val="18"/>
              </w:rPr>
              <w:t>Payment provider calls occur only after durable application creation; payment and refund ledgers remain authoritative and duplicate-safe.</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SF-AI-039</w:t>
            </w:r>
          </w:p>
        </w:tc>
        <w:tc>
          <w:tcPr>
            <w:tcW w:type="dxa" w:w="9000"/>
            <w:tcMar>
              <w:top w:w="80" w:type="dxa"/>
              <w:start w:w="100" w:type="dxa"/>
              <w:bottom w:w="80" w:type="dxa"/>
              <w:end w:w="100" w:type="dxa"/>
            </w:tcMar>
            <w:vAlign w:val="center"/>
          </w:tcPr>
          <w:p>
            <w:pPr>
              <w:spacing w:after="0" w:before="0"/>
            </w:pPr>
            <w:r/>
            <w:r>
              <w:rPr>
                <w:rFonts w:ascii="Aptos" w:hAnsi="Aptos"/>
                <w:sz w:val="18"/>
              </w:rPr>
              <w:t>Withdrawal, cancellation and SLA anchors are service-version configuration; agents MUST NOT infer them.</w:t>
            </w:r>
          </w:p>
        </w:tc>
      </w:tr>
      <w:tr>
        <w:trPr>
          <w:cantSplit/>
        </w:trPr>
        <w:tc>
          <w:tcPr>
            <w:tcW w:type="dxa" w:w="1512"/>
            <w:tcMar>
              <w:top w:w="80" w:type="dxa"/>
              <w:start w:w="100" w:type="dxa"/>
              <w:bottom w:w="80" w:type="dxa"/>
              <w:end w:w="100" w:type="dxa"/>
            </w:tcMar>
            <w:vAlign w:val="center"/>
          </w:tcPr>
          <w:p>
            <w:pPr>
              <w:spacing w:after="0" w:before="0"/>
            </w:pPr>
            <w:r/>
            <w:r>
              <w:rPr>
                <w:rFonts w:ascii="Aptos" w:hAnsi="Aptos"/>
                <w:b/>
                <w:color w:val="1F2937"/>
                <w:sz w:val="18"/>
              </w:rPr>
              <w:t>SF-AI-040</w:t>
            </w:r>
          </w:p>
        </w:tc>
        <w:tc>
          <w:tcPr>
            <w:tcW w:type="dxa" w:w="9000"/>
            <w:tcMar>
              <w:top w:w="80" w:type="dxa"/>
              <w:start w:w="100" w:type="dxa"/>
              <w:bottom w:w="80" w:type="dxa"/>
              <w:end w:w="100" w:type="dxa"/>
            </w:tcMar>
            <w:vAlign w:val="center"/>
          </w:tcPr>
          <w:p>
            <w:pPr>
              <w:spacing w:after="0" w:before="0"/>
            </w:pPr>
            <w:r/>
            <w:r>
              <w:rPr>
                <w:rFonts w:ascii="Aptos" w:hAnsi="Aptos"/>
                <w:sz w:val="18"/>
              </w:rPr>
              <w:t>Release certification authority is CI/CD evidence plus authorized human approval, never the coding agent itself.</w:t>
            </w:r>
          </w:p>
        </w:tc>
      </w:tr>
    </w:tbl>
    <w:p>
      <w:pPr>
        <w:spacing w:after="40"/>
      </w:pPr>
    </w:p>
    <w:p>
      <w:pPr>
        <w:pStyle w:val="Heading2"/>
      </w:pPr>
      <w:r>
        <w:rPr>
          <w:b w:val="0"/>
        </w:rPr>
        <w:t>17.1 World-class extension constitution additions</w:t>
      </w:r>
    </w:p>
    <w:p>
      <w:pPr>
        <w:pStyle w:val="ListBullet"/>
      </w:pPr>
      <w:r>
        <w:rPr>
          <w:b w:val="0"/>
        </w:rPr>
        <w:t>SF-AI-041: Temporal remains the durable workflow runtime; BPMN 2.0 is an import/export interoperability profile over the canonical ServiceForm Workflow Model, not a second source of truth.</w:t>
      </w:r>
    </w:p>
    <w:p>
      <w:pPr>
        <w:pStyle w:val="ListBullet"/>
      </w:pPr>
      <w:r>
        <w:rPr>
          <w:b w:val="0"/>
        </w:rPr>
        <w:t>SF-AI-042: Publishable service configuration is promotable as a signed, content-addressed .sfpackage; environment secrets/connector credentials are never embedded.</w:t>
      </w:r>
    </w:p>
    <w:p>
      <w:pPr>
        <w:pStyle w:val="ListBullet"/>
      </w:pPr>
      <w:r>
        <w:rPr>
          <w:b w:val="0"/>
        </w:rPr>
        <w:t>SF-AI-043: In-flight workflow/config migration is explicit, simulated, maker-checker approved and evidence-backed; silent version repointing is prohibited.</w:t>
      </w:r>
    </w:p>
    <w:p>
      <w:pPr>
        <w:pStyle w:val="ListBullet"/>
      </w:pPr>
      <w:r>
        <w:rPr>
          <w:b w:val="0"/>
        </w:rPr>
        <w:t>SF-AI-044: Assisted service records applied_by and applied_for separately; operators never impersonate citizens or exceed tenant/role/jurisdiction scope.</w:t>
      </w:r>
    </w:p>
    <w:p>
      <w:pPr>
        <w:pStyle w:val="ListBullet"/>
      </w:pPr>
      <w:r>
        <w:rPr>
          <w:b w:val="0"/>
        </w:rPr>
        <w:t>SF-AI-045: Appointment/scheduling is reusable platform capability; service-specific calendars must not be hard-coded.</w:t>
      </w:r>
    </w:p>
    <w:p>
      <w:pPr>
        <w:pStyle w:val="ListBullet"/>
      </w:pPr>
      <w:r>
        <w:rPr>
          <w:b w:val="0"/>
        </w:rPr>
        <w:t>SF-AI-046: Forms should reference canonical semantic element IDs where common government meaning exists; tenant extensions are namespaced.</w:t>
      </w:r>
    </w:p>
    <w:p>
      <w:pPr>
        <w:pStyle w:val="ListBullet"/>
      </w:pPr>
      <w:r>
        <w:rPr>
          <w:b w:val="0"/>
        </w:rPr>
        <w:t>SF-AI-047: Legacy migration requires mapping version, dry-run, exception list and reconciliation evidence before production cutover certification.</w:t>
      </w:r>
    </w:p>
    <w:p>
      <w:pPr>
        <w:pStyle w:val="ListBullet"/>
      </w:pPr>
      <w:r>
        <w:rPr>
          <w:b w:val="0"/>
        </w:rPr>
        <w:t>SF-AI-048: Risk/AI integrity scores are advisory by default; no adverse statutory outcome may rely solely on an opaque score.</w:t>
      </w:r>
    </w:p>
    <w:p>
      <w:pPr>
        <w:pStyle w:val="ListBullet"/>
      </w:pPr>
      <w:r>
        <w:rPr>
          <w:b w:val="0"/>
        </w:rPr>
        <w:t>SF-AI-049: Privacy-rights fulfilment orchestrates owning components; a privacy portal must not directly mutate foreign authoritative tables.</w:t>
      </w:r>
    </w:p>
    <w:p>
      <w:pPr>
        <w:pStyle w:val="ListBullet"/>
      </w:pPr>
      <w:r>
        <w:rPr>
          <w:b w:val="0"/>
        </w:rPr>
        <w:t>SF-AI-050: Production AI pins model, prompt, toolset and evaluation versions with safety/privacy/cost/latency evidence and monitored fallback.</w:t>
      </w:r>
    </w:p>
    <w:p>
      <w:pPr>
        <w:pStyle w:val="ListBullet"/>
      </w:pPr>
      <w:r>
        <w:rPr>
          <w:b w:val="0"/>
        </w:rPr>
        <w:t>SF-AI-051: UX4G Design System 3.0 is the mandatory design-system baseline for all first-party citizen, officer, Studio and administrative interfaces.</w:t>
      </w:r>
    </w:p>
    <w:p>
      <w:pPr>
        <w:pStyle w:val="ListBullet"/>
      </w:pPr>
      <w:r>
        <w:rPr>
          <w:b w:val="0"/>
        </w:rPr>
        <w:t>SF-AI-052: JSON Forms supplies schema/runtime behavior; product form controls render through UX4G-backed React/Flutter renderers or certified ServiceForm UX4G extensions.</w:t>
      </w:r>
    </w:p>
    <w:p>
      <w:pPr>
        <w:pStyle w:val="ListBullet"/>
      </w:pPr>
      <w:r>
        <w:rPr>
          <w:b w:val="0"/>
        </w:rPr>
        <w:t>SF-AI-053: Tenant branding is a governed token overlay, never an unrestricted CSS/JavaScript or component fork.</w:t>
      </w:r>
    </w:p>
    <w:p>
      <w:pPr>
        <w:pStyle w:val="ListBullet"/>
      </w:pPr>
      <w:r>
        <w:rPr>
          <w:b w:val="0"/>
        </w:rPr>
        <w:t>SF-AI-054: Feature teams and AI agents must reuse UX4G components/patterns before creating custom visual primitives.</w:t>
      </w:r>
    </w:p>
    <w:p>
      <w:pPr>
        <w:pStyle w:val="ListBullet"/>
      </w:pPr>
      <w:r>
        <w:rPr>
          <w:b w:val="0"/>
        </w:rPr>
        <w:t>SF-AI-055: A ServiceForm UX4G extension requires Figma, Storybook, accessibility, responsive, localization and visual-regression evidence before publication.</w:t>
      </w:r>
    </w:p>
    <w:p>
      <w:pPr>
        <w:pStyle w:val="ListBullet"/>
      </w:pPr>
      <w:r>
        <w:rPr>
          <w:b w:val="0"/>
        </w:rPr>
        <w:t>SF-AI-056: Accessibility is verified on assembled journeys; using an accessible component library does not by itself certify the application.</w:t>
      </w:r>
    </w:p>
    <w:p>
      <w:pPr>
        <w:pStyle w:val="ListBullet"/>
      </w:pPr>
      <w:r>
        <w:rPr>
          <w:b w:val="0"/>
        </w:rPr>
        <w:t>SF-AI-057: UX4G dependency upgrades are version-pinned and must pass compatibility/accessibility/visual-regression gates before promotion.</w:t>
      </w:r>
    </w:p>
    <w:p>
      <w:pPr>
        <w:pStyle w:val="ListBullet"/>
      </w:pPr>
      <w:r>
        <w:rPr>
          <w:b w:val="0"/>
        </w:rPr>
        <w:t>SF-AI-058: Ad-hoc colors, spacing, typography, radii and focus styles are prohibited where UX4G tokens exist.</w:t>
      </w:r>
    </w:p>
    <w:p>
      <w:pPr>
        <w:pStyle w:val="ListBullet"/>
      </w:pPr>
      <w:r>
        <w:rPr>
          <w:b w:val="0"/>
        </w:rPr>
        <w:t>SF-AI-059: Introducing a second visual design system such as MUI/Bootstrap/Tailwind component styling requires an ADR and demonstrated UX4G-conformance wrapper; headless utilities remain permitted where they do not change the UX contract.</w:t>
      </w:r>
    </w:p>
    <w:p>
      <w:pPr>
        <w:pStyle w:val="ListBullet"/>
      </w:pPr>
      <w:r>
        <w:rPr>
          <w:b w:val="0"/>
        </w:rPr>
        <w:t>SF-AI-060: G6 release certification for the Golden Residence Certificate requires UX4G conformance evidence across citizen web, mobile and officer work surfaces.</w:t>
      </w:r>
    </w:p>
    <w:p>
      <w:pPr>
        <w:pStyle w:val="Heading1"/>
        <w:keepNext/>
      </w:pPr>
      <w:r>
        <w:t>18. Definition of Ready for AI-Assisted Implementation</w:t>
      </w:r>
    </w:p>
    <w:p>
      <w:pPr>
        <w:spacing w:after="100"/>
      </w:pPr>
      <w:r>
        <w:t>A component is ready for AI-assisted implementation only when its CMP specification, integration contracts, tenant/privacy classification, API/event/data contracts, simulation strategy, acceptance tests and stop conditions are sufficiently defined to prevent the agent from inventing product or legal policy. The objective is constrained autonomous execution: AI may accelerate engineering, while architecture, statutory behavior, security boundaries and certification remain governed.</w:t>
      </w:r>
    </w:p>
    <w:p>
      <w:pPr>
        <w:pStyle w:val="Heading1"/>
      </w:pPr>
      <w:r>
        <w:rPr>
          <w:b w:val="0"/>
        </w:rPr>
        <w:t>19. UX4G Design System Conformance &amp; AI Development Contract</w:t>
      </w:r>
    </w:p>
    <w:tbl>
      <w:tblPr>
        <w:tblStyle w:val="TableGrid"/>
        <w:tblW w:type="auto" w:w="0"/>
        <w:tblLook w:firstColumn="1" w:firstRow="1" w:lastColumn="0" w:lastRow="0" w:noHBand="0" w:noVBand="1" w:val="04A0"/>
      </w:tblPr>
      <w:tblGrid>
        <w:gridCol w:w="10166"/>
      </w:tblGrid>
      <w:tr>
        <w:tc>
          <w:tcPr>
            <w:tcW w:type="dxa" w:w="10166"/>
            <w:shd w:fill="EAF1F8"/>
            <w:tcMar>
              <w:top w:w="120" w:type="dxa"/>
              <w:start w:w="140" w:type="dxa"/>
              <w:bottom w:w="120" w:type="dxa"/>
              <w:end w:w="140" w:type="dxa"/>
            </w:tcMar>
          </w:tcPr>
          <w:p>
            <w:r>
              <w:rPr>
                <w:b/>
                <w:color w:val="17365D"/>
                <w:sz w:val="20"/>
              </w:rPr>
              <w:t>Normative baseline</w:t>
              <w:br/>
            </w:r>
            <w:r>
              <w:rPr>
                <w:sz w:val="19"/>
              </w:rPr>
              <w:t>UX4G Design System 3.0 is the mandatory baseline for ServiceForm AI user experience. This section turns UX4G adoption into executable engineering and certification rules for designers, developers and AI coding agents.</w:t>
            </w:r>
          </w:p>
        </w:tc>
      </w:tr>
    </w:tbl>
    <w:p>
      <w:pPr>
        <w:pStyle w:val="Heading2"/>
      </w:pPr>
      <w:r>
        <w:rPr>
          <w:b w:val="0"/>
        </w:rPr>
        <w:t>19.1 Framework mapping</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tcMar>
              <w:top w:w="90" w:type="dxa"/>
              <w:start w:w="110" w:type="dxa"/>
              <w:bottom w:w="90" w:type="dxa"/>
              <w:end w:w="110" w:type="dxa"/>
            </w:tcMar>
            <w:shd w:fill="EAF1F8"/>
          </w:tcPr>
          <w:p>
            <w:r>
              <w:rPr>
                <w:b/>
                <w:color w:val="17365D"/>
                <w:sz w:val="17"/>
              </w:rPr>
              <w:t>Target</w:t>
            </w:r>
          </w:p>
        </w:tc>
        <w:tc>
          <w:tcPr>
            <w:tcW w:type="dxa" w:w="7344"/>
            <w:vAlign w:val="center"/>
            <w:tcMar>
              <w:top w:w="90" w:type="dxa"/>
              <w:start w:w="110" w:type="dxa"/>
              <w:bottom w:w="90" w:type="dxa"/>
              <w:end w:w="110" w:type="dxa"/>
            </w:tcMar>
            <w:shd w:fill="EAF1F8"/>
          </w:tcPr>
          <w:p>
            <w:r>
              <w:rPr>
                <w:b/>
                <w:color w:val="17365D"/>
                <w:sz w:val="17"/>
              </w:rPr>
              <w:t>Implementation contract</w:t>
            </w:r>
          </w:p>
        </w:tc>
      </w:tr>
      <w:tr>
        <w:trPr>
          <w:cantSplit/>
        </w:trPr>
        <w:tc>
          <w:tcPr>
            <w:tcW w:type="dxa" w:w="2448"/>
            <w:vAlign w:val="center"/>
            <w:tcMar>
              <w:top w:w="90" w:type="dxa"/>
              <w:start w:w="110" w:type="dxa"/>
              <w:bottom w:w="90" w:type="dxa"/>
              <w:end w:w="110" w:type="dxa"/>
            </w:tcMar>
          </w:tcPr>
          <w:p>
            <w:r>
              <w:rPr>
                <w:b w:val="0"/>
                <w:color w:val="333333"/>
                <w:sz w:val="17"/>
              </w:rPr>
              <w:t>Next.js / React</w:t>
            </w:r>
          </w:p>
        </w:tc>
        <w:tc>
          <w:tcPr>
            <w:tcW w:type="dxa" w:w="7344"/>
            <w:vAlign w:val="center"/>
            <w:tcMar>
              <w:top w:w="90" w:type="dxa"/>
              <w:start w:w="110" w:type="dxa"/>
              <w:bottom w:w="90" w:type="dxa"/>
              <w:end w:w="110" w:type="dxa"/>
            </w:tcMar>
          </w:tcPr>
          <w:p>
            <w:r>
              <w:rPr>
                <w:b w:val="0"/>
                <w:color w:val="333333"/>
                <w:sz w:val="17"/>
              </w:rPr>
              <w:t>Use official UX4G React components/tokens/patterns through a governed ServiceForm UI package.</w:t>
            </w:r>
          </w:p>
        </w:tc>
      </w:tr>
      <w:tr>
        <w:trPr>
          <w:cantSplit/>
        </w:trPr>
        <w:tc>
          <w:tcPr>
            <w:tcW w:type="dxa" w:w="2448"/>
            <w:vAlign w:val="center"/>
            <w:tcMar>
              <w:top w:w="90" w:type="dxa"/>
              <w:start w:w="110" w:type="dxa"/>
              <w:bottom w:w="90" w:type="dxa"/>
              <w:end w:w="110" w:type="dxa"/>
            </w:tcMar>
          </w:tcPr>
          <w:p>
            <w:r>
              <w:rPr>
                <w:b w:val="0"/>
                <w:color w:val="333333"/>
                <w:sz w:val="17"/>
              </w:rPr>
              <w:t>Flutter</w:t>
            </w:r>
          </w:p>
        </w:tc>
        <w:tc>
          <w:tcPr>
            <w:tcW w:type="dxa" w:w="7344"/>
            <w:vAlign w:val="center"/>
            <w:tcMar>
              <w:top w:w="90" w:type="dxa"/>
              <w:start w:w="110" w:type="dxa"/>
              <w:bottom w:w="90" w:type="dxa"/>
              <w:end w:w="110" w:type="dxa"/>
            </w:tcMar>
          </w:tcPr>
          <w:p>
            <w:r>
              <w:rPr>
                <w:b w:val="0"/>
                <w:color w:val="333333"/>
                <w:sz w:val="17"/>
              </w:rPr>
              <w:t>Use official UX4G Flutter components/tokens plus certified ServiceForm extension renderers.</w:t>
            </w:r>
          </w:p>
        </w:tc>
      </w:tr>
      <w:tr>
        <w:trPr>
          <w:cantSplit/>
        </w:trPr>
        <w:tc>
          <w:tcPr>
            <w:tcW w:type="dxa" w:w="2448"/>
            <w:vAlign w:val="center"/>
            <w:tcMar>
              <w:top w:w="90" w:type="dxa"/>
              <w:start w:w="110" w:type="dxa"/>
              <w:bottom w:w="90" w:type="dxa"/>
              <w:end w:w="110" w:type="dxa"/>
            </w:tcMar>
          </w:tcPr>
          <w:p>
            <w:r>
              <w:rPr>
                <w:b w:val="0"/>
                <w:color w:val="333333"/>
                <w:sz w:val="17"/>
              </w:rPr>
              <w:t>Web Components</w:t>
            </w:r>
          </w:p>
        </w:tc>
        <w:tc>
          <w:tcPr>
            <w:tcW w:type="dxa" w:w="7344"/>
            <w:vAlign w:val="center"/>
            <w:tcMar>
              <w:top w:w="90" w:type="dxa"/>
              <w:start w:w="110" w:type="dxa"/>
              <w:bottom w:w="90" w:type="dxa"/>
              <w:end w:w="110" w:type="dxa"/>
            </w:tcMar>
          </w:tcPr>
          <w:p>
            <w:r>
              <w:rPr>
                <w:b w:val="0"/>
                <w:color w:val="333333"/>
                <w:sz w:val="17"/>
              </w:rPr>
              <w:t>Use for embeddable/partner surfaces where framework-neutral packaging is required.</w:t>
            </w:r>
          </w:p>
        </w:tc>
      </w:tr>
      <w:tr>
        <w:trPr>
          <w:cantSplit/>
        </w:trPr>
        <w:tc>
          <w:tcPr>
            <w:tcW w:type="dxa" w:w="2448"/>
            <w:vAlign w:val="center"/>
            <w:tcMar>
              <w:top w:w="90" w:type="dxa"/>
              <w:start w:w="110" w:type="dxa"/>
              <w:bottom w:w="90" w:type="dxa"/>
              <w:end w:w="110" w:type="dxa"/>
            </w:tcMar>
          </w:tcPr>
          <w:p>
            <w:r>
              <w:rPr>
                <w:b w:val="0"/>
                <w:color w:val="333333"/>
                <w:sz w:val="17"/>
              </w:rPr>
              <w:t>Figma</w:t>
            </w:r>
          </w:p>
        </w:tc>
        <w:tc>
          <w:tcPr>
            <w:tcW w:type="dxa" w:w="7344"/>
            <w:vAlign w:val="center"/>
            <w:tcMar>
              <w:top w:w="90" w:type="dxa"/>
              <w:start w:w="110" w:type="dxa"/>
              <w:bottom w:w="90" w:type="dxa"/>
              <w:end w:w="110" w:type="dxa"/>
            </w:tcMar>
          </w:tcPr>
          <w:p>
            <w:r>
              <w:rPr>
                <w:b w:val="0"/>
                <w:color w:val="333333"/>
                <w:sz w:val="17"/>
              </w:rPr>
              <w:t>Use official UX4G design kit/tokens; component/state names must map to coded Storybook entries.</w:t>
            </w:r>
          </w:p>
        </w:tc>
      </w:tr>
      <w:tr>
        <w:trPr>
          <w:cantSplit/>
        </w:trPr>
        <w:tc>
          <w:tcPr>
            <w:tcW w:type="dxa" w:w="2448"/>
            <w:vAlign w:val="center"/>
            <w:tcMar>
              <w:top w:w="90" w:type="dxa"/>
              <w:start w:w="110" w:type="dxa"/>
              <w:bottom w:w="90" w:type="dxa"/>
              <w:end w:w="110" w:type="dxa"/>
            </w:tcMar>
          </w:tcPr>
          <w:p>
            <w:r>
              <w:rPr>
                <w:b w:val="0"/>
                <w:color w:val="333333"/>
                <w:sz w:val="17"/>
              </w:rPr>
              <w:t>JSON Forms</w:t>
            </w:r>
          </w:p>
        </w:tc>
        <w:tc>
          <w:tcPr>
            <w:tcW w:type="dxa" w:w="7344"/>
            <w:vAlign w:val="center"/>
            <w:tcMar>
              <w:top w:w="90" w:type="dxa"/>
              <w:start w:w="110" w:type="dxa"/>
              <w:bottom w:w="90" w:type="dxa"/>
              <w:end w:w="110" w:type="dxa"/>
            </w:tcMar>
          </w:tcPr>
          <w:p>
            <w:r>
              <w:rPr>
                <w:b w:val="0"/>
                <w:color w:val="333333"/>
                <w:sz w:val="17"/>
              </w:rPr>
              <w:t>Schema/runtime foundation only; default visual widgets must be replaced by UX4G-backed renderer registry.</w:t>
            </w:r>
          </w:p>
        </w:tc>
      </w:tr>
    </w:tbl>
    <w:p>
      <w:pPr>
        <w:pStyle w:val="Heading2"/>
      </w:pPr>
      <w:r>
        <w:rPr>
          <w:b w:val="0"/>
        </w:rPr>
        <w:t>19.2 ServiceForm UX4G extension registry</w:t>
      </w:r>
    </w:p>
    <w:p>
      <w:pPr>
        <w:pStyle w:val="ListBullet"/>
      </w:pPr>
      <w:r>
        <w:rPr>
          <w:b w:val="0"/>
        </w:rPr>
        <w:t>Every extension declares UX4G basis, semantic purpose, supported states, keyboard contract, ARIA/semantic contract, web renderer, Flutter renderer, design token dependencies and localization behavior.</w:t>
      </w:r>
    </w:p>
    <w:p>
      <w:pPr>
        <w:pStyle w:val="ListBullet"/>
      </w:pPr>
      <w:r>
        <w:rPr>
          <w:b w:val="0"/>
        </w:rPr>
        <w:t>Extension examples include jurisdiction selector, DigiLocker picker, evidence verification card, application timeline, work-queue task card, SLA indicator, appointment slot selector, privacy/consent card, credential viewer and AI-assistance disclosure.</w:t>
      </w:r>
    </w:p>
    <w:p>
      <w:pPr>
        <w:pStyle w:val="ListBullet"/>
      </w:pPr>
      <w:r>
        <w:rPr>
          <w:b w:val="0"/>
        </w:rPr>
        <w:t>Extensions belong to the central design-system package; they must never be copied into one tenant or one service implementation.</w:t>
      </w:r>
    </w:p>
    <w:p>
      <w:pPr>
        <w:pStyle w:val="Heading2"/>
      </w:pPr>
      <w:r>
        <w:rPr>
          <w:b w:val="0"/>
        </w:rPr>
        <w:t>19.3 Required CI evidence</w:t>
      </w:r>
    </w:p>
    <w:p>
      <w:pPr>
        <w:pStyle w:val="ListBullet"/>
      </w:pPr>
      <w:r>
        <w:rPr>
          <w:b w:val="0"/>
        </w:rPr>
        <w:t>Component/unit tests and Storybook build.</w:t>
      </w:r>
    </w:p>
    <w:p>
      <w:pPr>
        <w:pStyle w:val="ListBullet"/>
      </w:pPr>
      <w:r>
        <w:rPr>
          <w:b w:val="0"/>
        </w:rPr>
        <w:t>Automated accessibility scan and keyboard interaction tests.</w:t>
      </w:r>
    </w:p>
    <w:p>
      <w:pPr>
        <w:pStyle w:val="ListBullet"/>
      </w:pPr>
      <w:r>
        <w:rPr>
          <w:b w:val="0"/>
        </w:rPr>
        <w:t>Token/contrast validation and tenant-theme tests.</w:t>
      </w:r>
    </w:p>
    <w:p>
      <w:pPr>
        <w:pStyle w:val="ListBullet"/>
      </w:pPr>
      <w:r>
        <w:rPr>
          <w:b w:val="0"/>
        </w:rPr>
        <w:t>Responsive viewport, 200% zoom/reflow and multilingual truncation tests.</w:t>
      </w:r>
    </w:p>
    <w:p>
      <w:pPr>
        <w:pStyle w:val="ListBullet"/>
      </w:pPr>
      <w:r>
        <w:rPr>
          <w:b w:val="0"/>
        </w:rPr>
        <w:t>Visual-regression snapshots for supported states and critical journeys.</w:t>
      </w:r>
    </w:p>
    <w:p>
      <w:pPr>
        <w:pStyle w:val="ListBullet"/>
      </w:pPr>
      <w:r>
        <w:rPr>
          <w:b w:val="0"/>
        </w:rPr>
        <w:t>Figma/component inventory parity report and approved exception/ADR list.</w:t>
      </w:r>
    </w:p>
    <w:p>
      <w:pPr>
        <w:pStyle w:val="Heading2"/>
      </w:pPr>
      <w:r>
        <w:rPr>
          <w:b w:val="0"/>
        </w:rPr>
        <w:t>19.4 AI coding-agent instructions</w:t>
      </w:r>
    </w:p>
    <w:p>
      <w:pPr>
        <w:pStyle w:val="ListBullet"/>
      </w:pPr>
      <w:r>
        <w:rPr>
          <w:b w:val="0"/>
        </w:rPr>
        <w:t>Before creating a UI control, search the UX4G component/pattern inventory and the ServiceForm extension registry.</w:t>
      </w:r>
    </w:p>
    <w:p>
      <w:pPr>
        <w:pStyle w:val="ListBullet"/>
      </w:pPr>
      <w:r>
        <w:rPr>
          <w:b w:val="0"/>
        </w:rPr>
        <w:t>If an existing component fits, use it. Do not recreate it for aesthetics or convenience.</w:t>
      </w:r>
    </w:p>
    <w:p>
      <w:pPr>
        <w:pStyle w:val="ListBullet"/>
      </w:pPr>
      <w:r>
        <w:rPr>
          <w:b w:val="0"/>
        </w:rPr>
        <w:t>If no component fits, stop and create an extension proposal with gap, states, accessibility and cross-platform behavior before coding.</w:t>
      </w:r>
    </w:p>
    <w:p>
      <w:pPr>
        <w:pStyle w:val="ListBullet"/>
      </w:pPr>
      <w:r>
        <w:rPr>
          <w:b w:val="0"/>
        </w:rPr>
        <w:t>Do not hard-code UX values. Use UX4G tokens and ServiceForm extension tokens.</w:t>
      </w:r>
    </w:p>
    <w:p>
      <w:pPr>
        <w:pStyle w:val="ListBullet"/>
      </w:pPr>
      <w:r>
        <w:rPr>
          <w:b w:val="0"/>
        </w:rPr>
        <w:t>Do not claim UI VERIFIED until the required accessibility/keyboard/responsive/visual tests have actually executed and evidence is recorded.</w:t>
      </w:r>
    </w:p>
    <w:p>
      <w:pPr>
        <w:pStyle w:val="Heading2"/>
      </w:pPr>
      <w:r>
        <w:rPr>
          <w:b w:val="0"/>
        </w:rPr>
        <w:t>19.5 Authoritative references</w:t>
      </w:r>
    </w:p>
    <w:p>
      <w:pPr>
        <w:pStyle w:val="ListBullet"/>
      </w:pPr>
      <w:r>
        <w:rPr>
          <w:b w:val="0"/>
        </w:rPr>
        <w:t>https://www.ux4g.gov.in/get-started</w:t>
      </w:r>
    </w:p>
    <w:p>
      <w:pPr>
        <w:pStyle w:val="ListBullet"/>
      </w:pPr>
      <w:r>
        <w:rPr>
          <w:b w:val="0"/>
        </w:rPr>
        <w:t>https://www.ux4g.gov.in/foundations</w:t>
      </w:r>
    </w:p>
    <w:p>
      <w:pPr>
        <w:pStyle w:val="ListBullet"/>
      </w:pPr>
      <w:r>
        <w:rPr>
          <w:b w:val="0"/>
        </w:rPr>
        <w:t>https://www.ux4g.gov.in/components</w:t>
      </w:r>
    </w:p>
    <w:p>
      <w:pPr>
        <w:pStyle w:val="ListBullet"/>
      </w:pPr>
      <w:r>
        <w:rPr>
          <w:b w:val="0"/>
        </w:rPr>
        <w:t>https://doc.ux4g.gov.in/utilities/api.php/</w:t>
      </w:r>
    </w:p>
    <w:p>
      <w:r>
        <w:br w:type="page"/>
      </w:r>
    </w:p>
    <w:p>
      <w:pPr>
        <w:pStyle w:val="Heading1"/>
      </w:pPr>
      <w:r>
        <w:t>PART III - Multi-Agent AI Development, Orchestration, Integration &amp; Certification</w:t>
      </w:r>
    </w:p>
    <w:p>
      <w:r>
        <w:rPr>
          <w:b/>
        </w:rPr>
        <w:t xml:space="preserve">Normative status. </w:t>
      </w:r>
      <w:r>
        <w:t>This Part III is normative when two or more AI coding agents work concurrently on ServiceForm AI. It supplements Parts I-II; it does not relax any architecture, UX4G, security, tenant-isolation or certification requirement.</w:t>
      </w:r>
    </w:p>
    <w:p>
      <w:pPr>
        <w:pStyle w:val="Heading1"/>
      </w:pPr>
      <w:r>
        <w:t>20. Multi-Agent Development Operating Model</w:t>
      </w:r>
    </w:p>
    <w:p>
      <w:pPr>
        <w:pStyle w:val="Heading2"/>
      </w:pPr>
      <w:r>
        <w:t>20.1 Objective and non-negotiable principles</w:t>
      </w:r>
    </w:p>
    <w:p>
      <w:pPr>
        <w:pStyle w:val="ListBullet"/>
      </w:pPr>
      <w:r>
        <w:t>Parallelize implementation, not architecture: agents may implement approved designs independently, but shared architecture, domain semantics and public contracts are governed centrally.</w:t>
      </w:r>
    </w:p>
    <w:p>
      <w:pPr>
        <w:pStyle w:val="ListBullet"/>
      </w:pPr>
      <w:r>
        <w:t>Contract-first: any component boundary used by more than one agent must be expressed through versioned OpenAPI, AsyncAPI, JSON Schema, event schema or approved shared contract before parallel coding starts.</w:t>
      </w:r>
    </w:p>
    <w:p>
      <w:pPr>
        <w:pStyle w:val="ListBullet"/>
      </w:pPr>
      <w:r>
        <w:t>Single-writer ownership by default: one agent owns a writable path or component at a time. Shared architecture/contracts are modified only through the Contract Guardian workflow.</w:t>
      </w:r>
    </w:p>
    <w:p>
      <w:pPr>
        <w:pStyle w:val="ListBullet"/>
      </w:pPr>
      <w:r>
        <w:t>No direct agent-to-agent hidden state: hand-off occurs through repository artifacts, issues/PRs, contract registry, orchestration state and evidence records so work is reproducible.</w:t>
      </w:r>
    </w:p>
    <w:p>
      <w:pPr>
        <w:pStyle w:val="ListBullet"/>
      </w:pPr>
      <w:r>
        <w:t>Independent verification: builder agents cannot mark their own component, integration or release CERTIFIED. Integration/security/performance evidence must be executed independently.</w:t>
      </w:r>
    </w:p>
    <w:p>
      <w:pPr>
        <w:pStyle w:val="ListBullet"/>
      </w:pPr>
      <w:r>
        <w:t>Human authority remains final for architecture ADRs, statutory ambiguity, security exceptions, production promotion and release certification.</w:t>
      </w:r>
    </w:p>
    <w:p>
      <w:pPr>
        <w:pStyle w:val="Heading2"/>
      </w:pPr>
      <w:r>
        <w:t>20.2 Multi-agent topology and roles</w:t>
      </w:r>
    </w:p>
    <w:p>
      <w:pPr>
        <w:jc w:val="center"/>
      </w:pPr>
      <w:r>
        <w:drawing>
          <wp:inline xmlns:a="http://schemas.openxmlformats.org/drawingml/2006/main" xmlns:pic="http://schemas.openxmlformats.org/drawingml/2006/picture">
            <wp:extent cx="6126480" cy="3811523"/>
            <wp:docPr id="1" name="Picture 1"/>
            <wp:cNvGraphicFramePr>
              <a:graphicFrameLocks noChangeAspect="1"/>
            </wp:cNvGraphicFramePr>
            <a:graphic>
              <a:graphicData uri="http://schemas.openxmlformats.org/drawingml/2006/picture">
                <pic:pic>
                  <pic:nvPicPr>
                    <pic:cNvPr id="0" name="serviceform_multi_agent_orchestration.png"/>
                    <pic:cNvPicPr/>
                  </pic:nvPicPr>
                  <pic:blipFill>
                    <a:blip r:embed="rId11"/>
                    <a:stretch>
                      <a:fillRect/>
                    </a:stretch>
                  </pic:blipFill>
                  <pic:spPr>
                    <a:xfrm>
                      <a:off x="0" y="0"/>
                      <a:ext cx="6126480" cy="3811523"/>
                    </a:xfrm>
                    <a:prstGeom prst="rect"/>
                  </pic:spPr>
                </pic:pic>
              </a:graphicData>
            </a:graphic>
          </wp:inline>
        </w:drawing>
      </w:r>
    </w:p>
    <w:p>
      <w:pPr>
        <w:jc w:val="center"/>
      </w:pPr>
      <w:r>
        <w:t>Figure 20-1. ServiceForm AI multi-agent development topology.</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944"/>
            <w:shd w:fill="D9EAF7"/>
            <w:vAlign w:val="center"/>
            <w:tcMar>
              <w:top w:w="80" w:type="dxa"/>
              <w:start w:w="100" w:type="dxa"/>
              <w:bottom w:w="80" w:type="dxa"/>
              <w:end w:w="100" w:type="dxa"/>
            </w:tcMar>
          </w:tcPr>
          <w:p>
            <w:r>
              <w:rPr>
                <w:b/>
                <w:sz w:val="16"/>
              </w:rPr>
              <w:t>Role</w:t>
            </w:r>
          </w:p>
        </w:tc>
        <w:tc>
          <w:tcPr>
            <w:tcW w:type="dxa" w:w="3240"/>
            <w:shd w:fill="D9EAF7"/>
            <w:vAlign w:val="center"/>
            <w:tcMar>
              <w:top w:w="80" w:type="dxa"/>
              <w:start w:w="100" w:type="dxa"/>
              <w:bottom w:w="80" w:type="dxa"/>
              <w:end w:w="100" w:type="dxa"/>
            </w:tcMar>
          </w:tcPr>
          <w:p>
            <w:r>
              <w:rPr>
                <w:b/>
                <w:sz w:val="16"/>
              </w:rPr>
              <w:t>Primary responsibility</w:t>
            </w:r>
          </w:p>
        </w:tc>
        <w:tc>
          <w:tcPr>
            <w:tcW w:type="dxa" w:w="2232"/>
            <w:shd w:fill="D9EAF7"/>
            <w:vAlign w:val="center"/>
            <w:tcMar>
              <w:top w:w="80" w:type="dxa"/>
              <w:start w:w="100" w:type="dxa"/>
              <w:bottom w:w="80" w:type="dxa"/>
              <w:end w:w="100" w:type="dxa"/>
            </w:tcMar>
          </w:tcPr>
          <w:p>
            <w:r>
              <w:rPr>
                <w:b/>
                <w:sz w:val="16"/>
              </w:rPr>
              <w:t>Default write scope</w:t>
            </w:r>
          </w:p>
        </w:tc>
        <w:tc>
          <w:tcPr>
            <w:tcW w:type="dxa" w:w="2448"/>
            <w:shd w:fill="D9EAF7"/>
            <w:vAlign w:val="center"/>
            <w:tcMar>
              <w:top w:w="80" w:type="dxa"/>
              <w:start w:w="100" w:type="dxa"/>
              <w:bottom w:w="80" w:type="dxa"/>
              <w:end w:w="100" w:type="dxa"/>
            </w:tcMar>
          </w:tcPr>
          <w:p>
            <w:r>
              <w:rPr>
                <w:b/>
                <w:sz w:val="16"/>
              </w:rPr>
              <w:t>Prohibited</w:t>
            </w:r>
          </w:p>
        </w:tc>
      </w:tr>
      <w:tr>
        <w:trPr>
          <w:cantSplit/>
        </w:trPr>
        <w:tc>
          <w:tcPr>
            <w:tcW w:type="dxa" w:w="1944"/>
            <w:vAlign w:val="center"/>
            <w:tcMar>
              <w:top w:w="80" w:type="dxa"/>
              <w:start w:w="100" w:type="dxa"/>
              <w:bottom w:w="80" w:type="dxa"/>
              <w:end w:w="100" w:type="dxa"/>
            </w:tcMar>
          </w:tcPr>
          <w:p>
            <w:r>
              <w:rPr>
                <w:sz w:val="16"/>
              </w:rPr>
              <w:t>AI Engineering Orchestrator</w:t>
            </w:r>
          </w:p>
        </w:tc>
        <w:tc>
          <w:tcPr>
            <w:tcW w:type="dxa" w:w="3240"/>
            <w:vAlign w:val="center"/>
            <w:tcMar>
              <w:top w:w="80" w:type="dxa"/>
              <w:start w:w="100" w:type="dxa"/>
              <w:bottom w:w="80" w:type="dxa"/>
              <w:end w:w="100" w:type="dxa"/>
            </w:tcMar>
          </w:tcPr>
          <w:p>
            <w:r>
              <w:rPr>
                <w:sz w:val="16"/>
              </w:rPr>
              <w:t>Reads build plan/dependency graph; creates task envelopes; assigns agents/worktrees; maintains locks/status; never invents domain policy.</w:t>
            </w:r>
          </w:p>
        </w:tc>
        <w:tc>
          <w:tcPr>
            <w:tcW w:type="dxa" w:w="2232"/>
            <w:vAlign w:val="center"/>
            <w:tcMar>
              <w:top w:w="80" w:type="dxa"/>
              <w:start w:w="100" w:type="dxa"/>
              <w:bottom w:w="80" w:type="dxa"/>
              <w:end w:w="100" w:type="dxa"/>
            </w:tcMar>
          </w:tcPr>
          <w:p>
            <w:r>
              <w:rPr>
                <w:sz w:val="16"/>
              </w:rPr>
              <w:t>orchestrator/**, task metadata, generated status dashboards</w:t>
            </w:r>
          </w:p>
        </w:tc>
        <w:tc>
          <w:tcPr>
            <w:tcW w:type="dxa" w:w="2448"/>
            <w:vAlign w:val="center"/>
            <w:tcMar>
              <w:top w:w="80" w:type="dxa"/>
              <w:start w:w="100" w:type="dxa"/>
              <w:bottom w:w="80" w:type="dxa"/>
              <w:end w:w="100" w:type="dxa"/>
            </w:tcMar>
          </w:tcPr>
          <w:p>
            <w:r>
              <w:rPr>
                <w:sz w:val="16"/>
              </w:rPr>
              <w:t>Must not bypass gates, rewrite frozen contracts or certify release.</w:t>
            </w:r>
          </w:p>
        </w:tc>
      </w:tr>
      <w:tr>
        <w:trPr>
          <w:cantSplit/>
        </w:trPr>
        <w:tc>
          <w:tcPr>
            <w:tcW w:type="dxa" w:w="1944"/>
            <w:vAlign w:val="center"/>
            <w:tcMar>
              <w:top w:w="80" w:type="dxa"/>
              <w:start w:w="100" w:type="dxa"/>
              <w:bottom w:w="80" w:type="dxa"/>
              <w:end w:w="100" w:type="dxa"/>
            </w:tcMar>
          </w:tcPr>
          <w:p>
            <w:r>
              <w:rPr>
                <w:sz w:val="16"/>
              </w:rPr>
              <w:t>Architecture &amp; Contract Guardian</w:t>
            </w:r>
          </w:p>
        </w:tc>
        <w:tc>
          <w:tcPr>
            <w:tcW w:type="dxa" w:w="3240"/>
            <w:vAlign w:val="center"/>
            <w:tcMar>
              <w:top w:w="80" w:type="dxa"/>
              <w:start w:w="100" w:type="dxa"/>
              <w:bottom w:w="80" w:type="dxa"/>
              <w:end w:w="100" w:type="dxa"/>
            </w:tcMar>
          </w:tcPr>
          <w:p>
            <w:r>
              <w:rPr>
                <w:sz w:val="16"/>
              </w:rPr>
              <w:t>Owns Constitution/ADRs and shared API/event/schema contracts; approves contract changes before builders consume them.</w:t>
            </w:r>
          </w:p>
        </w:tc>
        <w:tc>
          <w:tcPr>
            <w:tcW w:type="dxa" w:w="2232"/>
            <w:vAlign w:val="center"/>
            <w:tcMar>
              <w:top w:w="80" w:type="dxa"/>
              <w:start w:w="100" w:type="dxa"/>
              <w:bottom w:w="80" w:type="dxa"/>
              <w:end w:w="100" w:type="dxa"/>
            </w:tcMar>
          </w:tcPr>
          <w:p>
            <w:r>
              <w:rPr>
                <w:sz w:val="16"/>
              </w:rPr>
              <w:t>docs/adr/**, contracts/**, architecture-change proposals</w:t>
            </w:r>
          </w:p>
        </w:tc>
        <w:tc>
          <w:tcPr>
            <w:tcW w:type="dxa" w:w="2448"/>
            <w:vAlign w:val="center"/>
            <w:tcMar>
              <w:top w:w="80" w:type="dxa"/>
              <w:start w:w="100" w:type="dxa"/>
              <w:bottom w:w="80" w:type="dxa"/>
              <w:end w:w="100" w:type="dxa"/>
            </w:tcMar>
          </w:tcPr>
          <w:p>
            <w:r>
              <w:rPr>
                <w:sz w:val="16"/>
              </w:rPr>
              <w:t>Does not implement domain features unless explicitly assigned.</w:t>
            </w:r>
          </w:p>
        </w:tc>
      </w:tr>
      <w:tr>
        <w:trPr>
          <w:cantSplit/>
        </w:trPr>
        <w:tc>
          <w:tcPr>
            <w:tcW w:type="dxa" w:w="1944"/>
            <w:vAlign w:val="center"/>
            <w:tcMar>
              <w:top w:w="80" w:type="dxa"/>
              <w:start w:w="100" w:type="dxa"/>
              <w:bottom w:w="80" w:type="dxa"/>
              <w:end w:w="100" w:type="dxa"/>
            </w:tcMar>
          </w:tcPr>
          <w:p>
            <w:r>
              <w:rPr>
                <w:sz w:val="16"/>
              </w:rPr>
              <w:t>Module / Component Builder Agent</w:t>
            </w:r>
          </w:p>
        </w:tc>
        <w:tc>
          <w:tcPr>
            <w:tcW w:type="dxa" w:w="3240"/>
            <w:vAlign w:val="center"/>
            <w:tcMar>
              <w:top w:w="80" w:type="dxa"/>
              <w:start w:w="100" w:type="dxa"/>
              <w:bottom w:w="80" w:type="dxa"/>
              <w:end w:w="100" w:type="dxa"/>
            </w:tcMar>
          </w:tcPr>
          <w:p>
            <w:r>
              <w:rPr>
                <w:sz w:val="16"/>
              </w:rPr>
              <w:t>Implements one bounded CMP/work item against frozen contracts and acceptance tests.</w:t>
            </w:r>
          </w:p>
        </w:tc>
        <w:tc>
          <w:tcPr>
            <w:tcW w:type="dxa" w:w="2232"/>
            <w:vAlign w:val="center"/>
            <w:tcMar>
              <w:top w:w="80" w:type="dxa"/>
              <w:start w:w="100" w:type="dxa"/>
              <w:bottom w:w="80" w:type="dxa"/>
              <w:end w:w="100" w:type="dxa"/>
            </w:tcMar>
          </w:tcPr>
          <w:p>
            <w:r>
              <w:rPr>
                <w:sz w:val="16"/>
              </w:rPr>
              <w:t>Assigned component paths only</w:t>
            </w:r>
          </w:p>
        </w:tc>
        <w:tc>
          <w:tcPr>
            <w:tcW w:type="dxa" w:w="2448"/>
            <w:vAlign w:val="center"/>
            <w:tcMar>
              <w:top w:w="80" w:type="dxa"/>
              <w:start w:w="100" w:type="dxa"/>
              <w:bottom w:w="80" w:type="dxa"/>
              <w:end w:w="100" w:type="dxa"/>
            </w:tcMar>
          </w:tcPr>
          <w:p>
            <w:r>
              <w:rPr>
                <w:sz w:val="16"/>
              </w:rPr>
              <w:t>Cannot edit another agent's component, shared contract or architecture silently.</w:t>
            </w:r>
          </w:p>
        </w:tc>
      </w:tr>
      <w:tr>
        <w:trPr>
          <w:cantSplit/>
        </w:trPr>
        <w:tc>
          <w:tcPr>
            <w:tcW w:type="dxa" w:w="1944"/>
            <w:vAlign w:val="center"/>
            <w:tcMar>
              <w:top w:w="80" w:type="dxa"/>
              <w:start w:w="100" w:type="dxa"/>
              <w:bottom w:w="80" w:type="dxa"/>
              <w:end w:w="100" w:type="dxa"/>
            </w:tcMar>
          </w:tcPr>
          <w:p>
            <w:r>
              <w:rPr>
                <w:sz w:val="16"/>
              </w:rPr>
              <w:t>UX4G Experience Agent</w:t>
            </w:r>
          </w:p>
        </w:tc>
        <w:tc>
          <w:tcPr>
            <w:tcW w:type="dxa" w:w="3240"/>
            <w:vAlign w:val="center"/>
            <w:tcMar>
              <w:top w:w="80" w:type="dxa"/>
              <w:start w:w="100" w:type="dxa"/>
              <w:bottom w:w="80" w:type="dxa"/>
              <w:end w:w="100" w:type="dxa"/>
            </w:tcMar>
          </w:tcPr>
          <w:p>
            <w:r>
              <w:rPr>
                <w:sz w:val="16"/>
              </w:rPr>
              <w:t>Owns UX4G wrappers, renderer registry, Storybook/Figma parity, a11y and visual regression.</w:t>
            </w:r>
          </w:p>
        </w:tc>
        <w:tc>
          <w:tcPr>
            <w:tcW w:type="dxa" w:w="2232"/>
            <w:vAlign w:val="center"/>
            <w:tcMar>
              <w:top w:w="80" w:type="dxa"/>
              <w:start w:w="100" w:type="dxa"/>
              <w:bottom w:w="80" w:type="dxa"/>
              <w:end w:w="100" w:type="dxa"/>
            </w:tcMar>
          </w:tcPr>
          <w:p>
            <w:r>
              <w:rPr>
                <w:sz w:val="16"/>
              </w:rPr>
              <w:t>packages/ux4g/**, design-system tests, approved app UI paths</w:t>
            </w:r>
          </w:p>
        </w:tc>
        <w:tc>
          <w:tcPr>
            <w:tcW w:type="dxa" w:w="2448"/>
            <w:vAlign w:val="center"/>
            <w:tcMar>
              <w:top w:w="80" w:type="dxa"/>
              <w:start w:w="100" w:type="dxa"/>
              <w:bottom w:w="80" w:type="dxa"/>
              <w:end w:w="100" w:type="dxa"/>
            </w:tcMar>
          </w:tcPr>
          <w:p>
            <w:r>
              <w:rPr>
                <w:sz w:val="16"/>
              </w:rPr>
              <w:t>No alternative design system or tenant-specific CSS forks.</w:t>
            </w:r>
          </w:p>
        </w:tc>
      </w:tr>
      <w:tr>
        <w:trPr>
          <w:cantSplit/>
        </w:trPr>
        <w:tc>
          <w:tcPr>
            <w:tcW w:type="dxa" w:w="1944"/>
            <w:vAlign w:val="center"/>
            <w:tcMar>
              <w:top w:w="80" w:type="dxa"/>
              <w:start w:w="100" w:type="dxa"/>
              <w:bottom w:w="80" w:type="dxa"/>
              <w:end w:w="100" w:type="dxa"/>
            </w:tcMar>
          </w:tcPr>
          <w:p>
            <w:r>
              <w:rPr>
                <w:sz w:val="16"/>
              </w:rPr>
              <w:t>Platform / Integration Agent</w:t>
            </w:r>
          </w:p>
        </w:tc>
        <w:tc>
          <w:tcPr>
            <w:tcW w:type="dxa" w:w="3240"/>
            <w:vAlign w:val="center"/>
            <w:tcMar>
              <w:top w:w="80" w:type="dxa"/>
              <w:start w:w="100" w:type="dxa"/>
              <w:bottom w:w="80" w:type="dxa"/>
              <w:end w:w="100" w:type="dxa"/>
            </w:tcMar>
          </w:tcPr>
          <w:p>
            <w:r>
              <w:rPr>
                <w:sz w:val="16"/>
              </w:rPr>
              <w:t>Builds shared platform adapters, simulator contracts, generated SDKs and environment integration.</w:t>
            </w:r>
          </w:p>
        </w:tc>
        <w:tc>
          <w:tcPr>
            <w:tcW w:type="dxa" w:w="2232"/>
            <w:vAlign w:val="center"/>
            <w:tcMar>
              <w:top w:w="80" w:type="dxa"/>
              <w:start w:w="100" w:type="dxa"/>
              <w:bottom w:w="80" w:type="dxa"/>
              <w:end w:w="100" w:type="dxa"/>
            </w:tcMar>
          </w:tcPr>
          <w:p>
            <w:r>
              <w:rPr>
                <w:sz w:val="16"/>
              </w:rPr>
              <w:t>integration/platform paths assigned by orchestrator</w:t>
            </w:r>
          </w:p>
        </w:tc>
        <w:tc>
          <w:tcPr>
            <w:tcW w:type="dxa" w:w="2448"/>
            <w:vAlign w:val="center"/>
            <w:tcMar>
              <w:top w:w="80" w:type="dxa"/>
              <w:start w:w="100" w:type="dxa"/>
              <w:bottom w:w="80" w:type="dxa"/>
              <w:end w:w="100" w:type="dxa"/>
            </w:tcMar>
          </w:tcPr>
          <w:p>
            <w:r>
              <w:rPr>
                <w:sz w:val="16"/>
              </w:rPr>
              <w:t>No business-state ownership or provider-specific logic leaking into domains.</w:t>
            </w:r>
          </w:p>
        </w:tc>
      </w:tr>
      <w:tr>
        <w:trPr>
          <w:cantSplit/>
        </w:trPr>
        <w:tc>
          <w:tcPr>
            <w:tcW w:type="dxa" w:w="1944"/>
            <w:vAlign w:val="center"/>
            <w:tcMar>
              <w:top w:w="80" w:type="dxa"/>
              <w:start w:w="100" w:type="dxa"/>
              <w:bottom w:w="80" w:type="dxa"/>
              <w:end w:w="100" w:type="dxa"/>
            </w:tcMar>
          </w:tcPr>
          <w:p>
            <w:r>
              <w:rPr>
                <w:sz w:val="16"/>
              </w:rPr>
              <w:t>Integration &amp; Stitching Agent</w:t>
            </w:r>
          </w:p>
        </w:tc>
        <w:tc>
          <w:tcPr>
            <w:tcW w:type="dxa" w:w="3240"/>
            <w:vAlign w:val="center"/>
            <w:tcMar>
              <w:top w:w="80" w:type="dxa"/>
              <w:start w:w="100" w:type="dxa"/>
              <w:bottom w:w="80" w:type="dxa"/>
              <w:end w:w="100" w:type="dxa"/>
            </w:tcMar>
          </w:tcPr>
          <w:p>
            <w:r>
              <w:rPr>
                <w:sz w:val="16"/>
              </w:rPr>
              <w:t>Builds cross-CMP tests and ephemeral integration environments; validates real consumer/provider compatibility.</w:t>
            </w:r>
          </w:p>
        </w:tc>
        <w:tc>
          <w:tcPr>
            <w:tcW w:type="dxa" w:w="2232"/>
            <w:vAlign w:val="center"/>
            <w:tcMar>
              <w:top w:w="80" w:type="dxa"/>
              <w:start w:w="100" w:type="dxa"/>
              <w:bottom w:w="80" w:type="dxa"/>
              <w:end w:w="100" w:type="dxa"/>
            </w:tcMar>
          </w:tcPr>
          <w:p>
            <w:r>
              <w:rPr>
                <w:sz w:val="16"/>
              </w:rPr>
              <w:t>tests/integration/**, tests/e2e/**, integration reports</w:t>
            </w:r>
          </w:p>
        </w:tc>
        <w:tc>
          <w:tcPr>
            <w:tcW w:type="dxa" w:w="2448"/>
            <w:vAlign w:val="center"/>
            <w:tcMar>
              <w:top w:w="80" w:type="dxa"/>
              <w:start w:w="100" w:type="dxa"/>
              <w:bottom w:w="80" w:type="dxa"/>
              <w:end w:w="100" w:type="dxa"/>
            </w:tcMar>
          </w:tcPr>
          <w:p>
            <w:r>
              <w:rPr>
                <w:sz w:val="16"/>
              </w:rPr>
              <w:t>Must not patch production code merely to make integration tests pass.</w:t>
            </w:r>
          </w:p>
        </w:tc>
      </w:tr>
      <w:tr>
        <w:trPr>
          <w:cantSplit/>
        </w:trPr>
        <w:tc>
          <w:tcPr>
            <w:tcW w:type="dxa" w:w="1944"/>
            <w:vAlign w:val="center"/>
            <w:tcMar>
              <w:top w:w="80" w:type="dxa"/>
              <w:start w:w="100" w:type="dxa"/>
              <w:bottom w:w="80" w:type="dxa"/>
              <w:end w:w="100" w:type="dxa"/>
            </w:tcMar>
          </w:tcPr>
          <w:p>
            <w:r>
              <w:rPr>
                <w:sz w:val="16"/>
              </w:rPr>
              <w:t>Security / Tenant Isolation Agent</w:t>
            </w:r>
          </w:p>
        </w:tc>
        <w:tc>
          <w:tcPr>
            <w:tcW w:type="dxa" w:w="3240"/>
            <w:vAlign w:val="center"/>
            <w:tcMar>
              <w:top w:w="80" w:type="dxa"/>
              <w:start w:w="100" w:type="dxa"/>
              <w:bottom w:w="80" w:type="dxa"/>
              <w:end w:w="100" w:type="dxa"/>
            </w:tcMar>
          </w:tcPr>
          <w:p>
            <w:r>
              <w:rPr>
                <w:sz w:val="16"/>
              </w:rPr>
              <w:t>Runs RLS/OPA/IDOR/secret/PII/security tests independent of builders.</w:t>
            </w:r>
          </w:p>
        </w:tc>
        <w:tc>
          <w:tcPr>
            <w:tcW w:type="dxa" w:w="2232"/>
            <w:vAlign w:val="center"/>
            <w:tcMar>
              <w:top w:w="80" w:type="dxa"/>
              <w:start w:w="100" w:type="dxa"/>
              <w:bottom w:w="80" w:type="dxa"/>
              <w:end w:w="100" w:type="dxa"/>
            </w:tcMar>
          </w:tcPr>
          <w:p>
            <w:r>
              <w:rPr>
                <w:sz w:val="16"/>
              </w:rPr>
              <w:t>tests/security/**, evidence/security/**</w:t>
            </w:r>
          </w:p>
        </w:tc>
        <w:tc>
          <w:tcPr>
            <w:tcW w:type="dxa" w:w="2448"/>
            <w:vAlign w:val="center"/>
            <w:tcMar>
              <w:top w:w="80" w:type="dxa"/>
              <w:start w:w="100" w:type="dxa"/>
              <w:bottom w:w="80" w:type="dxa"/>
              <w:end w:w="100" w:type="dxa"/>
            </w:tcMar>
          </w:tcPr>
          <w:p>
            <w:r>
              <w:rPr>
                <w:sz w:val="16"/>
              </w:rPr>
              <w:t>Cannot waive security findings without authorized exception.</w:t>
            </w:r>
          </w:p>
        </w:tc>
      </w:tr>
      <w:tr>
        <w:trPr>
          <w:cantSplit/>
        </w:trPr>
        <w:tc>
          <w:tcPr>
            <w:tcW w:type="dxa" w:w="1944"/>
            <w:vAlign w:val="center"/>
            <w:tcMar>
              <w:top w:w="80" w:type="dxa"/>
              <w:start w:w="100" w:type="dxa"/>
              <w:bottom w:w="80" w:type="dxa"/>
              <w:end w:w="100" w:type="dxa"/>
            </w:tcMar>
          </w:tcPr>
          <w:p>
            <w:r>
              <w:rPr>
                <w:sz w:val="16"/>
              </w:rPr>
              <w:t>Performance / Resilience Agent</w:t>
            </w:r>
          </w:p>
        </w:tc>
        <w:tc>
          <w:tcPr>
            <w:tcW w:type="dxa" w:w="3240"/>
            <w:vAlign w:val="center"/>
            <w:tcMar>
              <w:top w:w="80" w:type="dxa"/>
              <w:start w:w="100" w:type="dxa"/>
              <w:bottom w:w="80" w:type="dxa"/>
              <w:end w:w="100" w:type="dxa"/>
            </w:tcMar>
          </w:tcPr>
          <w:p>
            <w:r>
              <w:rPr>
                <w:sz w:val="16"/>
              </w:rPr>
              <w:t>Runs load, soak, chaos and recovery tests and captures evidence.</w:t>
            </w:r>
          </w:p>
        </w:tc>
        <w:tc>
          <w:tcPr>
            <w:tcW w:type="dxa" w:w="2232"/>
            <w:vAlign w:val="center"/>
            <w:tcMar>
              <w:top w:w="80" w:type="dxa"/>
              <w:start w:w="100" w:type="dxa"/>
              <w:bottom w:w="80" w:type="dxa"/>
              <w:end w:w="100" w:type="dxa"/>
            </w:tcMar>
          </w:tcPr>
          <w:p>
            <w:r>
              <w:rPr>
                <w:sz w:val="16"/>
              </w:rPr>
              <w:t>tests/performance/**, tests/chaos/**, evidence/performance/**</w:t>
            </w:r>
          </w:p>
        </w:tc>
        <w:tc>
          <w:tcPr>
            <w:tcW w:type="dxa" w:w="2448"/>
            <w:vAlign w:val="center"/>
            <w:tcMar>
              <w:top w:w="80" w:type="dxa"/>
              <w:start w:w="100" w:type="dxa"/>
              <w:bottom w:w="80" w:type="dxa"/>
              <w:end w:w="100" w:type="dxa"/>
            </w:tcMar>
          </w:tcPr>
          <w:p>
            <w:r>
              <w:rPr>
                <w:sz w:val="16"/>
              </w:rPr>
              <w:t>Cannot redefine NFRs after observing failures.</w:t>
            </w:r>
          </w:p>
        </w:tc>
      </w:tr>
      <w:tr>
        <w:trPr>
          <w:cantSplit/>
        </w:trPr>
        <w:tc>
          <w:tcPr>
            <w:tcW w:type="dxa" w:w="1944"/>
            <w:vAlign w:val="center"/>
            <w:tcMar>
              <w:top w:w="80" w:type="dxa"/>
              <w:start w:w="100" w:type="dxa"/>
              <w:bottom w:w="80" w:type="dxa"/>
              <w:end w:w="100" w:type="dxa"/>
            </w:tcMar>
          </w:tcPr>
          <w:p>
            <w:r>
              <w:rPr>
                <w:sz w:val="16"/>
              </w:rPr>
              <w:t>Verification / Evidence Agent</w:t>
            </w:r>
          </w:p>
        </w:tc>
        <w:tc>
          <w:tcPr>
            <w:tcW w:type="dxa" w:w="3240"/>
            <w:vAlign w:val="center"/>
            <w:tcMar>
              <w:top w:w="80" w:type="dxa"/>
              <w:start w:w="100" w:type="dxa"/>
              <w:bottom w:w="80" w:type="dxa"/>
              <w:end w:w="100" w:type="dxa"/>
            </w:tcMar>
          </w:tcPr>
          <w:p>
            <w:r>
              <w:rPr>
                <w:sz w:val="16"/>
              </w:rPr>
              <w:t>Checks traceability, executed evidence, provenance and gate readiness.</w:t>
            </w:r>
          </w:p>
        </w:tc>
        <w:tc>
          <w:tcPr>
            <w:tcW w:type="dxa" w:w="2232"/>
            <w:vAlign w:val="center"/>
            <w:tcMar>
              <w:top w:w="80" w:type="dxa"/>
              <w:start w:w="100" w:type="dxa"/>
              <w:bottom w:w="80" w:type="dxa"/>
              <w:end w:w="100" w:type="dxa"/>
            </w:tcMar>
          </w:tcPr>
          <w:p>
            <w:r>
              <w:rPr>
                <w:sz w:val="16"/>
              </w:rPr>
              <w:t>evidence/**, certification reports</w:t>
            </w:r>
          </w:p>
        </w:tc>
        <w:tc>
          <w:tcPr>
            <w:tcW w:type="dxa" w:w="2448"/>
            <w:vAlign w:val="center"/>
            <w:tcMar>
              <w:top w:w="80" w:type="dxa"/>
              <w:start w:w="100" w:type="dxa"/>
              <w:bottom w:w="80" w:type="dxa"/>
              <w:end w:w="100" w:type="dxa"/>
            </w:tcMar>
          </w:tcPr>
          <w:p>
            <w:r>
              <w:rPr>
                <w:sz w:val="16"/>
              </w:rPr>
              <w:t>May recommend gate status; may not self-certify release.</w:t>
            </w:r>
          </w:p>
        </w:tc>
      </w:tr>
      <w:tr>
        <w:trPr>
          <w:cantSplit/>
        </w:trPr>
        <w:tc>
          <w:tcPr>
            <w:tcW w:type="dxa" w:w="1944"/>
            <w:vAlign w:val="center"/>
            <w:tcMar>
              <w:top w:w="80" w:type="dxa"/>
              <w:start w:w="100" w:type="dxa"/>
              <w:bottom w:w="80" w:type="dxa"/>
              <w:end w:w="100" w:type="dxa"/>
            </w:tcMar>
          </w:tcPr>
          <w:p>
            <w:r>
              <w:rPr>
                <w:sz w:val="16"/>
              </w:rPr>
              <w:t>Human / Authorized Approver</w:t>
            </w:r>
          </w:p>
        </w:tc>
        <w:tc>
          <w:tcPr>
            <w:tcW w:type="dxa" w:w="3240"/>
            <w:vAlign w:val="center"/>
            <w:tcMar>
              <w:top w:w="80" w:type="dxa"/>
              <w:start w:w="100" w:type="dxa"/>
              <w:bottom w:w="80" w:type="dxa"/>
              <w:end w:w="100" w:type="dxa"/>
            </w:tcMar>
          </w:tcPr>
          <w:p>
            <w:r>
              <w:rPr>
                <w:sz w:val="16"/>
              </w:rPr>
              <w:t>Approves ADRs, exceptions, production promotion and certification.</w:t>
            </w:r>
          </w:p>
        </w:tc>
        <w:tc>
          <w:tcPr>
            <w:tcW w:type="dxa" w:w="2232"/>
            <w:vAlign w:val="center"/>
            <w:tcMar>
              <w:top w:w="80" w:type="dxa"/>
              <w:start w:w="100" w:type="dxa"/>
              <w:bottom w:w="80" w:type="dxa"/>
              <w:end w:w="100" w:type="dxa"/>
            </w:tcMar>
          </w:tcPr>
          <w:p>
            <w:r>
              <w:rPr>
                <w:sz w:val="16"/>
              </w:rPr>
              <w:t>Governance decision records</w:t>
            </w:r>
          </w:p>
        </w:tc>
        <w:tc>
          <w:tcPr>
            <w:tcW w:type="dxa" w:w="2448"/>
            <w:vAlign w:val="center"/>
            <w:tcMar>
              <w:top w:w="80" w:type="dxa"/>
              <w:start w:w="100" w:type="dxa"/>
              <w:bottom w:w="80" w:type="dxa"/>
              <w:end w:w="100" w:type="dxa"/>
            </w:tcMar>
          </w:tcPr>
          <w:p>
            <w:r>
              <w:rPr>
                <w:sz w:val="16"/>
              </w:rPr>
              <w:t>Must not accept missing mandatory evidence without documented exception.</w:t>
            </w:r>
          </w:p>
        </w:tc>
      </w:tr>
    </w:tbl>
    <w:p/>
    <w:p>
      <w:pPr>
        <w:pStyle w:val="Heading2"/>
      </w:pPr>
      <w:r>
        <w:t>20.3 Agent ownership, write scopes and CODEOWNERS</w:t>
      </w:r>
    </w:p>
    <w:p>
      <w:pPr>
        <w:pStyle w:val="ListBullet"/>
      </w:pPr>
      <w:r>
        <w:t>Every orchestrated task includes allowed_write_paths and read_only_paths. CI rejects modifications outside the assigned write scope unless an approved ownership-transfer record exists.</w:t>
      </w:r>
    </w:p>
    <w:p>
      <w:pPr>
        <w:pStyle w:val="ListBullet"/>
      </w:pPr>
      <w:r>
        <w:t>Use GitHub CODEOWNERS or equivalent repository protection for architecture, contracts, database/RLS, UX4G foundation, security policy and CI/release-gate paths.</w:t>
      </w:r>
    </w:p>
    <w:p>
      <w:pPr>
        <w:pStyle w:val="ListBullet"/>
      </w:pPr>
      <w:r>
        <w:t>Shared generated types/SDKs are regenerated from contracts; builder agents must not hand-edit generated files.</w:t>
      </w:r>
    </w:p>
    <w:p>
      <w:pPr>
        <w:pStyle w:val="ListBullet"/>
      </w:pPr>
      <w:r>
        <w:t>Database migrations are owned by the component that owns the authoritative tables. Cross-domain foreign keys or SQL access require an explicit ADR and are disallowed by default.</w:t>
      </w:r>
    </w:p>
    <w:p>
      <w:pPr>
        <w:pStyle w:val="ListBullet"/>
      </w:pPr>
      <w:r>
        <w:t>When two components share an initial deployment/database cluster, logical ownership remains separate and agents still integrate through approved contracts.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168"/>
            <w:shd w:fill="D9EAF7"/>
            <w:vAlign w:val="center"/>
            <w:tcMar>
              <w:top w:w="80" w:type="dxa"/>
              <w:start w:w="100" w:type="dxa"/>
              <w:bottom w:w="80" w:type="dxa"/>
              <w:end w:w="100" w:type="dxa"/>
            </w:tcMar>
          </w:tcPr>
          <w:p>
            <w:r>
              <w:rPr>
                <w:b/>
                <w:sz w:val="16"/>
              </w:rPr>
              <w:t>Repository area</w:t>
            </w:r>
          </w:p>
        </w:tc>
        <w:tc>
          <w:tcPr>
            <w:tcW w:type="dxa" w:w="2880"/>
            <w:shd w:fill="D9EAF7"/>
            <w:vAlign w:val="center"/>
            <w:tcMar>
              <w:top w:w="80" w:type="dxa"/>
              <w:start w:w="100" w:type="dxa"/>
              <w:bottom w:w="80" w:type="dxa"/>
              <w:end w:w="100" w:type="dxa"/>
            </w:tcMar>
          </w:tcPr>
          <w:p>
            <w:r>
              <w:rPr>
                <w:b/>
                <w:sz w:val="16"/>
              </w:rPr>
              <w:t>Default owner</w:t>
            </w:r>
          </w:p>
        </w:tc>
        <w:tc>
          <w:tcPr>
            <w:tcW w:type="dxa" w:w="4320"/>
            <w:shd w:fill="D9EAF7"/>
            <w:vAlign w:val="center"/>
            <w:tcMar>
              <w:top w:w="80" w:type="dxa"/>
              <w:start w:w="100" w:type="dxa"/>
              <w:bottom w:w="80" w:type="dxa"/>
              <w:end w:w="100" w:type="dxa"/>
            </w:tcMar>
          </w:tcPr>
          <w:p>
            <w:r>
              <w:rPr>
                <w:b/>
                <w:sz w:val="16"/>
              </w:rPr>
              <w:t>Parallel editing rule</w:t>
            </w:r>
          </w:p>
        </w:tc>
      </w:tr>
      <w:tr>
        <w:trPr>
          <w:cantSplit/>
        </w:trPr>
        <w:tc>
          <w:tcPr>
            <w:tcW w:type="dxa" w:w="3168"/>
            <w:vAlign w:val="center"/>
            <w:tcMar>
              <w:top w:w="80" w:type="dxa"/>
              <w:start w:w="100" w:type="dxa"/>
              <w:bottom w:w="80" w:type="dxa"/>
              <w:end w:w="100" w:type="dxa"/>
            </w:tcMar>
          </w:tcPr>
          <w:p>
            <w:r>
              <w:rPr>
                <w:sz w:val="16"/>
              </w:rPr>
              <w:t>ARCHITECTURE-CONSTITUTION.md / ADRs</w:t>
            </w:r>
          </w:p>
        </w:tc>
        <w:tc>
          <w:tcPr>
            <w:tcW w:type="dxa" w:w="2880"/>
            <w:vAlign w:val="center"/>
            <w:tcMar>
              <w:top w:w="80" w:type="dxa"/>
              <w:start w:w="100" w:type="dxa"/>
              <w:bottom w:w="80" w:type="dxa"/>
              <w:end w:w="100" w:type="dxa"/>
            </w:tcMar>
          </w:tcPr>
          <w:p>
            <w:r>
              <w:rPr>
                <w:sz w:val="16"/>
              </w:rPr>
              <w:t>Architecture &amp; Contract Guardian</w:t>
            </w:r>
          </w:p>
        </w:tc>
        <w:tc>
          <w:tcPr>
            <w:tcW w:type="dxa" w:w="4320"/>
            <w:vAlign w:val="center"/>
            <w:tcMar>
              <w:top w:w="80" w:type="dxa"/>
              <w:start w:w="100" w:type="dxa"/>
              <w:bottom w:w="80" w:type="dxa"/>
              <w:end w:w="100" w:type="dxa"/>
            </w:tcMar>
          </w:tcPr>
          <w:p>
            <w:r>
              <w:rPr>
                <w:sz w:val="16"/>
              </w:rPr>
              <w:t>Exclusive lock; human approval for normative change</w:t>
            </w:r>
          </w:p>
        </w:tc>
      </w:tr>
      <w:tr>
        <w:trPr>
          <w:cantSplit/>
        </w:trPr>
        <w:tc>
          <w:tcPr>
            <w:tcW w:type="dxa" w:w="3168"/>
            <w:vAlign w:val="center"/>
            <w:tcMar>
              <w:top w:w="80" w:type="dxa"/>
              <w:start w:w="100" w:type="dxa"/>
              <w:bottom w:w="80" w:type="dxa"/>
              <w:end w:w="100" w:type="dxa"/>
            </w:tcMar>
          </w:tcPr>
          <w:p>
            <w:r>
              <w:rPr>
                <w:sz w:val="16"/>
              </w:rPr>
              <w:t>contracts/openapi, asyncapi, json-schema, events</w:t>
            </w:r>
          </w:p>
        </w:tc>
        <w:tc>
          <w:tcPr>
            <w:tcW w:type="dxa" w:w="2880"/>
            <w:vAlign w:val="center"/>
            <w:tcMar>
              <w:top w:w="80" w:type="dxa"/>
              <w:start w:w="100" w:type="dxa"/>
              <w:bottom w:w="80" w:type="dxa"/>
              <w:end w:w="100" w:type="dxa"/>
            </w:tcMar>
          </w:tcPr>
          <w:p>
            <w:r>
              <w:rPr>
                <w:sz w:val="16"/>
              </w:rPr>
              <w:t>Architecture &amp; Contract Guardian</w:t>
            </w:r>
          </w:p>
        </w:tc>
        <w:tc>
          <w:tcPr>
            <w:tcW w:type="dxa" w:w="4320"/>
            <w:vAlign w:val="center"/>
            <w:tcMar>
              <w:top w:w="80" w:type="dxa"/>
              <w:start w:w="100" w:type="dxa"/>
              <w:bottom w:w="80" w:type="dxa"/>
              <w:end w:w="100" w:type="dxa"/>
            </w:tcMar>
          </w:tcPr>
          <w:p>
            <w:r>
              <w:rPr>
                <w:sz w:val="16"/>
              </w:rPr>
              <w:t>Freeze before parallel implementation; consumer impact review for changes</w:t>
            </w:r>
          </w:p>
        </w:tc>
      </w:tr>
      <w:tr>
        <w:trPr>
          <w:cantSplit/>
        </w:trPr>
        <w:tc>
          <w:tcPr>
            <w:tcW w:type="dxa" w:w="3168"/>
            <w:vAlign w:val="center"/>
            <w:tcMar>
              <w:top w:w="80" w:type="dxa"/>
              <w:start w:w="100" w:type="dxa"/>
              <w:bottom w:w="80" w:type="dxa"/>
              <w:end w:w="100" w:type="dxa"/>
            </w:tcMar>
          </w:tcPr>
          <w:p>
            <w:r>
              <w:rPr>
                <w:sz w:val="16"/>
              </w:rPr>
              <w:t>services/&lt;component&gt;/**</w:t>
            </w:r>
          </w:p>
        </w:tc>
        <w:tc>
          <w:tcPr>
            <w:tcW w:type="dxa" w:w="2880"/>
            <w:vAlign w:val="center"/>
            <w:tcMar>
              <w:top w:w="80" w:type="dxa"/>
              <w:start w:w="100" w:type="dxa"/>
              <w:bottom w:w="80" w:type="dxa"/>
              <w:end w:w="100" w:type="dxa"/>
            </w:tcMar>
          </w:tcPr>
          <w:p>
            <w:r>
              <w:rPr>
                <w:sz w:val="16"/>
              </w:rPr>
              <w:t>Assigned Builder Agent</w:t>
            </w:r>
          </w:p>
        </w:tc>
        <w:tc>
          <w:tcPr>
            <w:tcW w:type="dxa" w:w="4320"/>
            <w:vAlign w:val="center"/>
            <w:tcMar>
              <w:top w:w="80" w:type="dxa"/>
              <w:start w:w="100" w:type="dxa"/>
              <w:bottom w:w="80" w:type="dxa"/>
              <w:end w:w="100" w:type="dxa"/>
            </w:tcMar>
          </w:tcPr>
          <w:p>
            <w:r>
              <w:rPr>
                <w:sz w:val="16"/>
              </w:rPr>
              <w:t>Single writer per component/work item</w:t>
            </w:r>
          </w:p>
        </w:tc>
      </w:tr>
      <w:tr>
        <w:trPr>
          <w:cantSplit/>
        </w:trPr>
        <w:tc>
          <w:tcPr>
            <w:tcW w:type="dxa" w:w="3168"/>
            <w:vAlign w:val="center"/>
            <w:tcMar>
              <w:top w:w="80" w:type="dxa"/>
              <w:start w:w="100" w:type="dxa"/>
              <w:bottom w:w="80" w:type="dxa"/>
              <w:end w:w="100" w:type="dxa"/>
            </w:tcMar>
          </w:tcPr>
          <w:p>
            <w:r>
              <w:rPr>
                <w:sz w:val="16"/>
              </w:rPr>
              <w:t>packages/ux4g/**</w:t>
            </w:r>
          </w:p>
        </w:tc>
        <w:tc>
          <w:tcPr>
            <w:tcW w:type="dxa" w:w="2880"/>
            <w:vAlign w:val="center"/>
            <w:tcMar>
              <w:top w:w="80" w:type="dxa"/>
              <w:start w:w="100" w:type="dxa"/>
              <w:bottom w:w="80" w:type="dxa"/>
              <w:end w:w="100" w:type="dxa"/>
            </w:tcMar>
          </w:tcPr>
          <w:p>
            <w:r>
              <w:rPr>
                <w:sz w:val="16"/>
              </w:rPr>
              <w:t>UX4G Experience Agent</w:t>
            </w:r>
          </w:p>
        </w:tc>
        <w:tc>
          <w:tcPr>
            <w:tcW w:type="dxa" w:w="4320"/>
            <w:vAlign w:val="center"/>
            <w:tcMar>
              <w:top w:w="80" w:type="dxa"/>
              <w:start w:w="100" w:type="dxa"/>
              <w:bottom w:w="80" w:type="dxa"/>
              <w:end w:w="100" w:type="dxa"/>
            </w:tcMar>
          </w:tcPr>
          <w:p>
            <w:r>
              <w:rPr>
                <w:sz w:val="16"/>
              </w:rPr>
              <w:t>Other agents consume; changes via UX4G PR</w:t>
            </w:r>
          </w:p>
        </w:tc>
      </w:tr>
      <w:tr>
        <w:trPr>
          <w:cantSplit/>
        </w:trPr>
        <w:tc>
          <w:tcPr>
            <w:tcW w:type="dxa" w:w="3168"/>
            <w:vAlign w:val="center"/>
            <w:tcMar>
              <w:top w:w="80" w:type="dxa"/>
              <w:start w:w="100" w:type="dxa"/>
              <w:bottom w:w="80" w:type="dxa"/>
              <w:end w:w="100" w:type="dxa"/>
            </w:tcMar>
          </w:tcPr>
          <w:p>
            <w:r>
              <w:rPr>
                <w:sz w:val="16"/>
              </w:rPr>
              <w:t>database/migrations/&lt;component&gt;/**</w:t>
            </w:r>
          </w:p>
        </w:tc>
        <w:tc>
          <w:tcPr>
            <w:tcW w:type="dxa" w:w="2880"/>
            <w:vAlign w:val="center"/>
            <w:tcMar>
              <w:top w:w="80" w:type="dxa"/>
              <w:start w:w="100" w:type="dxa"/>
              <w:bottom w:w="80" w:type="dxa"/>
              <w:end w:w="100" w:type="dxa"/>
            </w:tcMar>
          </w:tcPr>
          <w:p>
            <w:r>
              <w:rPr>
                <w:sz w:val="16"/>
              </w:rPr>
              <w:t>Owning Component Agent</w:t>
            </w:r>
          </w:p>
        </w:tc>
        <w:tc>
          <w:tcPr>
            <w:tcW w:type="dxa" w:w="4320"/>
            <w:vAlign w:val="center"/>
            <w:tcMar>
              <w:top w:w="80" w:type="dxa"/>
              <w:start w:w="100" w:type="dxa"/>
              <w:bottom w:w="80" w:type="dxa"/>
              <w:end w:w="100" w:type="dxa"/>
            </w:tcMar>
          </w:tcPr>
          <w:p>
            <w:r>
              <w:rPr>
                <w:sz w:val="16"/>
              </w:rPr>
              <w:t>Migration ordering coordinated; no cross-domain table writes</w:t>
            </w:r>
          </w:p>
        </w:tc>
      </w:tr>
      <w:tr>
        <w:trPr>
          <w:cantSplit/>
        </w:trPr>
        <w:tc>
          <w:tcPr>
            <w:tcW w:type="dxa" w:w="3168"/>
            <w:vAlign w:val="center"/>
            <w:tcMar>
              <w:top w:w="80" w:type="dxa"/>
              <w:start w:w="100" w:type="dxa"/>
              <w:bottom w:w="80" w:type="dxa"/>
              <w:end w:w="100" w:type="dxa"/>
            </w:tcMar>
          </w:tcPr>
          <w:p>
            <w:r>
              <w:rPr>
                <w:sz w:val="16"/>
              </w:rPr>
              <w:t>tests/integration/** and tests/e2e/**</w:t>
            </w:r>
          </w:p>
        </w:tc>
        <w:tc>
          <w:tcPr>
            <w:tcW w:type="dxa" w:w="2880"/>
            <w:vAlign w:val="center"/>
            <w:tcMar>
              <w:top w:w="80" w:type="dxa"/>
              <w:start w:w="100" w:type="dxa"/>
              <w:bottom w:w="80" w:type="dxa"/>
              <w:end w:w="100" w:type="dxa"/>
            </w:tcMar>
          </w:tcPr>
          <w:p>
            <w:r>
              <w:rPr>
                <w:sz w:val="16"/>
              </w:rPr>
              <w:t>Integration Agent</w:t>
            </w:r>
          </w:p>
        </w:tc>
        <w:tc>
          <w:tcPr>
            <w:tcW w:type="dxa" w:w="4320"/>
            <w:vAlign w:val="center"/>
            <w:tcMar>
              <w:top w:w="80" w:type="dxa"/>
              <w:start w:w="100" w:type="dxa"/>
              <w:bottom w:w="80" w:type="dxa"/>
              <w:end w:w="100" w:type="dxa"/>
            </w:tcMar>
          </w:tcPr>
          <w:p>
            <w:r>
              <w:rPr>
                <w:sz w:val="16"/>
              </w:rPr>
              <w:t>Independent from builders</w:t>
            </w:r>
          </w:p>
        </w:tc>
      </w:tr>
      <w:tr>
        <w:trPr>
          <w:cantSplit/>
        </w:trPr>
        <w:tc>
          <w:tcPr>
            <w:tcW w:type="dxa" w:w="3168"/>
            <w:vAlign w:val="center"/>
            <w:tcMar>
              <w:top w:w="80" w:type="dxa"/>
              <w:start w:w="100" w:type="dxa"/>
              <w:bottom w:w="80" w:type="dxa"/>
              <w:end w:w="100" w:type="dxa"/>
            </w:tcMar>
          </w:tcPr>
          <w:p>
            <w:r>
              <w:rPr>
                <w:sz w:val="16"/>
              </w:rPr>
              <w:t>tests/security/**</w:t>
            </w:r>
          </w:p>
        </w:tc>
        <w:tc>
          <w:tcPr>
            <w:tcW w:type="dxa" w:w="2880"/>
            <w:vAlign w:val="center"/>
            <w:tcMar>
              <w:top w:w="80" w:type="dxa"/>
              <w:start w:w="100" w:type="dxa"/>
              <w:bottom w:w="80" w:type="dxa"/>
              <w:end w:w="100" w:type="dxa"/>
            </w:tcMar>
          </w:tcPr>
          <w:p>
            <w:r>
              <w:rPr>
                <w:sz w:val="16"/>
              </w:rPr>
              <w:t>Security Agent</w:t>
            </w:r>
          </w:p>
        </w:tc>
        <w:tc>
          <w:tcPr>
            <w:tcW w:type="dxa" w:w="4320"/>
            <w:vAlign w:val="center"/>
            <w:tcMar>
              <w:top w:w="80" w:type="dxa"/>
              <w:start w:w="100" w:type="dxa"/>
              <w:bottom w:w="80" w:type="dxa"/>
              <w:end w:w="100" w:type="dxa"/>
            </w:tcMar>
          </w:tcPr>
          <w:p>
            <w:r>
              <w:rPr>
                <w:sz w:val="16"/>
              </w:rPr>
              <w:t>Independent from builders</w:t>
            </w:r>
          </w:p>
        </w:tc>
      </w:tr>
      <w:tr>
        <w:trPr>
          <w:cantSplit/>
        </w:trPr>
        <w:tc>
          <w:tcPr>
            <w:tcW w:type="dxa" w:w="3168"/>
            <w:vAlign w:val="center"/>
            <w:tcMar>
              <w:top w:w="80" w:type="dxa"/>
              <w:start w:w="100" w:type="dxa"/>
              <w:bottom w:w="80" w:type="dxa"/>
              <w:end w:w="100" w:type="dxa"/>
            </w:tcMar>
          </w:tcPr>
          <w:p>
            <w:r>
              <w:rPr>
                <w:sz w:val="16"/>
              </w:rPr>
              <w:t>evidence/**</w:t>
            </w:r>
          </w:p>
        </w:tc>
        <w:tc>
          <w:tcPr>
            <w:tcW w:type="dxa" w:w="2880"/>
            <w:vAlign w:val="center"/>
            <w:tcMar>
              <w:top w:w="80" w:type="dxa"/>
              <w:start w:w="100" w:type="dxa"/>
              <w:bottom w:w="80" w:type="dxa"/>
              <w:end w:w="100" w:type="dxa"/>
            </w:tcMar>
          </w:tcPr>
          <w:p>
            <w:r>
              <w:rPr>
                <w:sz w:val="16"/>
              </w:rPr>
              <w:t>Verification/Evidence Agent + CI</w:t>
            </w:r>
          </w:p>
        </w:tc>
        <w:tc>
          <w:tcPr>
            <w:tcW w:type="dxa" w:w="4320"/>
            <w:vAlign w:val="center"/>
            <w:tcMar>
              <w:top w:w="80" w:type="dxa"/>
              <w:start w:w="100" w:type="dxa"/>
              <w:bottom w:w="80" w:type="dxa"/>
              <w:end w:w="100" w:type="dxa"/>
            </w:tcMar>
          </w:tcPr>
          <w:p>
            <w:r>
              <w:rPr>
                <w:sz w:val="16"/>
              </w:rPr>
              <w:t>Append-only evidence references after execution</w:t>
            </w:r>
          </w:p>
        </w:tc>
      </w:tr>
    </w:tbl>
    <w:p/>
    <w:p>
      <w:pPr>
        <w:pStyle w:val="Heading2"/>
      </w:pPr>
      <w:r>
        <w:t>20.4 Contract-first parallel development and contract locks</w:t>
      </w:r>
    </w:p>
    <w:p>
      <w:r>
        <w:t xml:space="preserve">Shared contracts follow this lifecycle: </w:t>
      </w:r>
      <w:r>
        <w:rPr>
          <w:b/>
        </w:rPr>
        <w:t>DRAFT -&gt; REVIEW -&gt; FROZEN -&gt; CHANGING -&gt; SUPERSEDED/DEPRECATED</w:t>
      </w:r>
    </w:p>
    <w:p>
      <w:pPr>
        <w:pStyle w:val="ListBullet"/>
      </w:pPr>
      <w:r>
        <w:t>FROZEN means builder agents may consume the contract but may not change it inside a feature branch.</w:t>
      </w:r>
    </w:p>
    <w:p>
      <w:pPr>
        <w:pStyle w:val="ListBullet"/>
      </w:pPr>
      <w:r>
        <w:t>A required change creates a Contract Change Request containing reason, affected producers/consumers, compatibility classification, migration strategy, test changes and rollout plan.</w:t>
      </w:r>
    </w:p>
    <w:p>
      <w:pPr>
        <w:pStyle w:val="ListBullet"/>
      </w:pPr>
      <w:r>
        <w:t>Breaking changes require versioning plus explicit consumer migration; silent in-place breaking changes are prohibited.</w:t>
      </w:r>
    </w:p>
    <w:p>
      <w:pPr>
        <w:pStyle w:val="ListBullet"/>
      </w:pPr>
      <w:r>
        <w:t>The orchestrator maintains a contracts-lock.yaml containing contract ID, semantic version/hash, owner, status, producer, consumers and approved change request.</w:t>
      </w:r>
    </w:p>
    <w:p>
      <w:pPr>
        <w:pStyle w:val="ListBullet"/>
      </w:pPr>
      <w:r>
        <w:t>Consumer-driven contract tests run before merge so each producer is checked against the expectations of active consumers.</w:t>
      </w:r>
    </w:p>
    <w:p>
      <w:pPr>
        <w:ind w:left="360"/>
      </w:pPr>
      <w:r>
        <w:rPr>
          <w:rFonts w:ascii="Liberation Mono" w:hAnsi="Liberation Mono"/>
          <w:sz w:val="17"/>
        </w:rPr>
        <w:t>contract_lock:</w:t>
      </w:r>
    </w:p>
    <w:p>
      <w:pPr>
        <w:ind w:left="360"/>
      </w:pPr>
      <w:r>
        <w:rPr>
          <w:rFonts w:ascii="Liberation Mono" w:hAnsi="Liberation Mono"/>
          <w:sz w:val="17"/>
        </w:rPr>
        <w:t xml:space="preserve">  id: EVT-APPLICATION-SUBMITTED</w:t>
      </w:r>
    </w:p>
    <w:p>
      <w:pPr>
        <w:ind w:left="360"/>
      </w:pPr>
      <w:r>
        <w:rPr>
          <w:rFonts w:ascii="Liberation Mono" w:hAnsi="Liberation Mono"/>
          <w:sz w:val="17"/>
        </w:rPr>
        <w:t xml:space="preserve">  version: 1.2.0</w:t>
      </w:r>
    </w:p>
    <w:p>
      <w:pPr>
        <w:ind w:left="360"/>
      </w:pPr>
      <w:r>
        <w:rPr>
          <w:rFonts w:ascii="Liberation Mono" w:hAnsi="Liberation Mono"/>
          <w:sz w:val="17"/>
        </w:rPr>
        <w:t xml:space="preserve">  status: FROZEN</w:t>
      </w:r>
    </w:p>
    <w:p>
      <w:pPr>
        <w:ind w:left="360"/>
      </w:pPr>
      <w:r>
        <w:rPr>
          <w:rFonts w:ascii="Liberation Mono" w:hAnsi="Liberation Mono"/>
          <w:sz w:val="17"/>
        </w:rPr>
        <w:t xml:space="preserve">  owner: architecture-contract-agent</w:t>
      </w:r>
    </w:p>
    <w:p>
      <w:pPr>
        <w:ind w:left="360"/>
      </w:pPr>
      <w:r>
        <w:rPr>
          <w:rFonts w:ascii="Liberation Mono" w:hAnsi="Liberation Mono"/>
          <w:sz w:val="17"/>
        </w:rPr>
        <w:t xml:space="preserve">  producer: CMP-015</w:t>
      </w:r>
    </w:p>
    <w:p>
      <w:pPr>
        <w:ind w:left="360"/>
      </w:pPr>
      <w:r>
        <w:rPr>
          <w:rFonts w:ascii="Liberation Mono" w:hAnsi="Liberation Mono"/>
          <w:sz w:val="17"/>
        </w:rPr>
        <w:t xml:space="preserve">  consumers: [CMP-016, CMP-035, CMP-045]</w:t>
      </w:r>
    </w:p>
    <w:p>
      <w:pPr>
        <w:ind w:left="360"/>
      </w:pPr>
      <w:r>
        <w:rPr>
          <w:rFonts w:ascii="Liberation Mono" w:hAnsi="Liberation Mono"/>
          <w:sz w:val="17"/>
        </w:rPr>
        <w:t xml:space="preserve">  schema_hash: sha256:...</w:t>
      </w:r>
    </w:p>
    <w:p>
      <w:pPr>
        <w:ind w:left="360"/>
      </w:pPr>
      <w:r>
        <w:rPr>
          <w:rFonts w:ascii="Liberation Mono" w:hAnsi="Liberation Mono"/>
          <w:sz w:val="17"/>
        </w:rPr>
        <w:t xml:space="preserve">  change_request: null</w:t>
      </w:r>
    </w:p>
    <w:p>
      <w:pPr>
        <w:pStyle w:val="Heading2"/>
      </w:pPr>
      <w:r>
        <w:t>20.5 Orchestrator work-item contract and task state machine</w:t>
      </w:r>
    </w:p>
    <w:p>
      <w:pPr>
        <w:ind w:left="360"/>
      </w:pPr>
      <w:r>
        <w:rPr>
          <w:rFonts w:ascii="Liberation Mono" w:hAnsi="Liberation Mono"/>
          <w:sz w:val="17"/>
        </w:rPr>
        <w:t>task_id: SF-MA-M05-CMP015-0042</w:t>
      </w:r>
    </w:p>
    <w:p>
      <w:pPr>
        <w:ind w:left="360"/>
      </w:pPr>
      <w:r>
        <w:rPr>
          <w:rFonts w:ascii="Liberation Mono" w:hAnsi="Liberation Mono"/>
          <w:sz w:val="17"/>
        </w:rPr>
        <w:t>module_id: M05</w:t>
      </w:r>
    </w:p>
    <w:p>
      <w:pPr>
        <w:ind w:left="360"/>
      </w:pPr>
      <w:r>
        <w:rPr>
          <w:rFonts w:ascii="Liberation Mono" w:hAnsi="Liberation Mono"/>
          <w:sz w:val="17"/>
        </w:rPr>
        <w:t>component_ids: [CMP-015]</w:t>
      </w:r>
    </w:p>
    <w:p>
      <w:pPr>
        <w:ind w:left="360"/>
      </w:pPr>
      <w:r>
        <w:rPr>
          <w:rFonts w:ascii="Liberation Mono" w:hAnsi="Liberation Mono"/>
          <w:sz w:val="17"/>
        </w:rPr>
        <w:t>integration_ids: [INT-004, INT-005, INT-011]</w:t>
      </w:r>
    </w:p>
    <w:p>
      <w:pPr>
        <w:ind w:left="360"/>
      </w:pPr>
      <w:r>
        <w:rPr>
          <w:rFonts w:ascii="Liberation Mono" w:hAnsi="Liberation Mono"/>
          <w:sz w:val="17"/>
        </w:rPr>
        <w:t>agent_role: component-builder</w:t>
      </w:r>
    </w:p>
    <w:p>
      <w:pPr>
        <w:ind w:left="360"/>
      </w:pPr>
      <w:r>
        <w:rPr>
          <w:rFonts w:ascii="Liberation Mono" w:hAnsi="Liberation Mono"/>
          <w:sz w:val="17"/>
        </w:rPr>
        <w:t>branch: agent/m05-cmp015-0042</w:t>
      </w:r>
    </w:p>
    <w:p>
      <w:pPr>
        <w:ind w:left="360"/>
      </w:pPr>
      <w:r>
        <w:rPr>
          <w:rFonts w:ascii="Liberation Mono" w:hAnsi="Liberation Mono"/>
          <w:sz w:val="17"/>
        </w:rPr>
        <w:t>worktree: ../wt-m05-cmp015-0042</w:t>
      </w:r>
    </w:p>
    <w:p>
      <w:pPr>
        <w:ind w:left="360"/>
      </w:pPr>
      <w:r>
        <w:rPr>
          <w:rFonts w:ascii="Liberation Mono" w:hAnsi="Liberation Mono"/>
          <w:sz w:val="17"/>
        </w:rPr>
        <w:t>allowed_write_paths:</w:t>
      </w:r>
    </w:p>
    <w:p>
      <w:pPr>
        <w:ind w:left="360"/>
      </w:pPr>
      <w:r>
        <w:rPr>
          <w:rFonts w:ascii="Liberation Mono" w:hAnsi="Liberation Mono"/>
          <w:sz w:val="17"/>
        </w:rPr>
        <w:t xml:space="preserve">  - services/application/**</w:t>
      </w:r>
    </w:p>
    <w:p>
      <w:pPr>
        <w:ind w:left="360"/>
      </w:pPr>
      <w:r>
        <w:rPr>
          <w:rFonts w:ascii="Liberation Mono" w:hAnsi="Liberation Mono"/>
          <w:sz w:val="17"/>
        </w:rPr>
        <w:t xml:space="preserve">  - database/migrations/application/**</w:t>
      </w:r>
    </w:p>
    <w:p>
      <w:pPr>
        <w:ind w:left="360"/>
      </w:pPr>
      <w:r>
        <w:rPr>
          <w:rFonts w:ascii="Liberation Mono" w:hAnsi="Liberation Mono"/>
          <w:sz w:val="17"/>
        </w:rPr>
        <w:t xml:space="preserve">  - tests/component/application/**</w:t>
      </w:r>
    </w:p>
    <w:p>
      <w:pPr>
        <w:ind w:left="360"/>
      </w:pPr>
      <w:r>
        <w:rPr>
          <w:rFonts w:ascii="Liberation Mono" w:hAnsi="Liberation Mono"/>
          <w:sz w:val="17"/>
        </w:rPr>
        <w:t>read_only_paths:</w:t>
      </w:r>
    </w:p>
    <w:p>
      <w:pPr>
        <w:ind w:left="360"/>
      </w:pPr>
      <w:r>
        <w:rPr>
          <w:rFonts w:ascii="Liberation Mono" w:hAnsi="Liberation Mono"/>
          <w:sz w:val="17"/>
        </w:rPr>
        <w:t xml:space="preserve">  - contracts/**</w:t>
      </w:r>
    </w:p>
    <w:p>
      <w:pPr>
        <w:ind w:left="360"/>
      </w:pPr>
      <w:r>
        <w:rPr>
          <w:rFonts w:ascii="Liberation Mono" w:hAnsi="Liberation Mono"/>
          <w:sz w:val="17"/>
        </w:rPr>
        <w:t xml:space="preserve">  - ARCHITECTURE-CONSTITUTION.md</w:t>
      </w:r>
    </w:p>
    <w:p>
      <w:pPr>
        <w:ind w:left="360"/>
      </w:pPr>
      <w:r>
        <w:rPr>
          <w:rFonts w:ascii="Liberation Mono" w:hAnsi="Liberation Mono"/>
          <w:sz w:val="17"/>
        </w:rPr>
        <w:t>contract_locks:</w:t>
      </w:r>
    </w:p>
    <w:p>
      <w:pPr>
        <w:ind w:left="360"/>
      </w:pPr>
      <w:r>
        <w:rPr>
          <w:rFonts w:ascii="Liberation Mono" w:hAnsi="Liberation Mono"/>
          <w:sz w:val="17"/>
        </w:rPr>
        <w:t xml:space="preserve">  - API-APPLICATION-v1</w:t>
      </w:r>
    </w:p>
    <w:p>
      <w:pPr>
        <w:ind w:left="360"/>
      </w:pPr>
      <w:r>
        <w:rPr>
          <w:rFonts w:ascii="Liberation Mono" w:hAnsi="Liberation Mono"/>
          <w:sz w:val="17"/>
        </w:rPr>
        <w:t xml:space="preserve">  - EVT-APPLICATION-SUBMITTED-v1</w:t>
      </w:r>
    </w:p>
    <w:p>
      <w:pPr>
        <w:ind w:left="360"/>
      </w:pPr>
      <w:r>
        <w:rPr>
          <w:rFonts w:ascii="Liberation Mono" w:hAnsi="Liberation Mono"/>
          <w:sz w:val="17"/>
        </w:rPr>
        <w:t>acceptance_tests:</w:t>
      </w:r>
    </w:p>
    <w:p>
      <w:pPr>
        <w:ind w:left="360"/>
      </w:pPr>
      <w:r>
        <w:rPr>
          <w:rFonts w:ascii="Liberation Mono" w:hAnsi="Liberation Mono"/>
          <w:sz w:val="17"/>
        </w:rPr>
        <w:t xml:space="preserve">  - duplicate submit is idempotent</w:t>
      </w:r>
    </w:p>
    <w:p>
      <w:pPr>
        <w:ind w:left="360"/>
      </w:pPr>
      <w:r>
        <w:rPr>
          <w:rFonts w:ascii="Liberation Mono" w:hAnsi="Liberation Mono"/>
          <w:sz w:val="17"/>
        </w:rPr>
        <w:t xml:space="preserve">  - wrong tenant is denied by RLS and authorization</w:t>
      </w:r>
    </w:p>
    <w:p>
      <w:pPr>
        <w:ind w:left="360"/>
      </w:pPr>
      <w:r>
        <w:rPr>
          <w:rFonts w:ascii="Liberation Mono" w:hAnsi="Liberation Mono"/>
          <w:sz w:val="17"/>
        </w:rPr>
        <w:t xml:space="preserve">  - committed state precedes workflow signal</w:t>
      </w:r>
    </w:p>
    <w:p>
      <w:pPr>
        <w:ind w:left="360"/>
      </w:pPr>
      <w:r>
        <w:rPr>
          <w:rFonts w:ascii="Liberation Mono" w:hAnsi="Liberation Mono"/>
          <w:sz w:val="17"/>
        </w:rPr>
        <w:t>required_evidence:</w:t>
      </w:r>
    </w:p>
    <w:p>
      <w:pPr>
        <w:ind w:left="360"/>
      </w:pPr>
      <w:r>
        <w:rPr>
          <w:rFonts w:ascii="Liberation Mono" w:hAnsi="Liberation Mono"/>
          <w:sz w:val="17"/>
        </w:rPr>
        <w:t xml:space="preserve">  - unit</w:t>
      </w:r>
    </w:p>
    <w:p>
      <w:pPr>
        <w:ind w:left="360"/>
      </w:pPr>
      <w:r>
        <w:rPr>
          <w:rFonts w:ascii="Liberation Mono" w:hAnsi="Liberation Mono"/>
          <w:sz w:val="17"/>
        </w:rPr>
        <w:t xml:space="preserve">  - contract</w:t>
      </w:r>
    </w:p>
    <w:p>
      <w:pPr>
        <w:ind w:left="360"/>
      </w:pPr>
      <w:r>
        <w:rPr>
          <w:rFonts w:ascii="Liberation Mono" w:hAnsi="Liberation Mono"/>
          <w:sz w:val="17"/>
        </w:rPr>
        <w:t xml:space="preserve">  - component_integration</w:t>
      </w:r>
    </w:p>
    <w:p>
      <w:pPr>
        <w:ind w:left="360"/>
      </w:pPr>
      <w:r>
        <w:rPr>
          <w:rFonts w:ascii="Liberation Mono" w:hAnsi="Liberation Mono"/>
          <w:sz w:val="17"/>
        </w:rPr>
        <w:t xml:space="preserve">  - tenant_negative</w:t>
      </w:r>
    </w:p>
    <w:p>
      <w:pPr>
        <w:ind w:left="360"/>
      </w:pPr>
      <w:r>
        <w:rPr>
          <w:rFonts w:ascii="Liberation Mono" w:hAnsi="Liberation Mono"/>
          <w:sz w:val="17"/>
        </w:rPr>
        <w:t>stop_conditions:</w:t>
      </w:r>
    </w:p>
    <w:p>
      <w:pPr>
        <w:ind w:left="360"/>
      </w:pPr>
      <w:r>
        <w:rPr>
          <w:rFonts w:ascii="Liberation Mono" w:hAnsi="Liberation Mono"/>
          <w:sz w:val="17"/>
        </w:rPr>
        <w:t xml:space="preserve">  - frozen contract must change</w:t>
      </w:r>
    </w:p>
    <w:p>
      <w:pPr>
        <w:ind w:left="360"/>
      </w:pPr>
      <w:r>
        <w:rPr>
          <w:rFonts w:ascii="Liberation Mono" w:hAnsi="Liberation Mono"/>
          <w:sz w:val="17"/>
        </w:rPr>
        <w:t xml:space="preserve">  - statutory ambiguity</w:t>
      </w:r>
    </w:p>
    <w:p>
      <w:pPr>
        <w:ind w:left="360"/>
      </w:pPr>
      <w:r>
        <w:rPr>
          <w:rFonts w:ascii="Liberation Mono" w:hAnsi="Liberation Mono"/>
          <w:sz w:val="17"/>
        </w:rPr>
        <w:t xml:space="preserve">  - tenant boundary changes</w:t>
      </w:r>
    </w:p>
    <w:p>
      <w:pPr>
        <w:pStyle w:val="ListBullet"/>
      </w:pPr>
      <w:r>
        <w:t>Task states: PLANNED -&gt; READY -&gt; CLAIMED -&gt; IMPLEMENTING -&gt; PR_OPEN -&gt; VERIFYING -&gt; INTEGRATION -&gt; GATE_READY -&gt; MERGED.</w:t>
      </w:r>
    </w:p>
    <w:p>
      <w:pPr>
        <w:pStyle w:val="ListBullet"/>
      </w:pPr>
      <w:r>
        <w:t>Any state may move to BLOCKED with a structured blocker reason. BLOCKED tasks are never worked around by weakening contracts/tests.</w:t>
      </w:r>
    </w:p>
    <w:p>
      <w:pPr>
        <w:pStyle w:val="ListBullet"/>
      </w:pPr>
      <w:r>
        <w:t>A task becomes READY only when dependencies and required contract locks are satisfied.</w:t>
      </w:r>
    </w:p>
    <w:p>
      <w:pPr>
        <w:pStyle w:val="ListBullet"/>
      </w:pPr>
      <w:r>
        <w:t>A merged task does not imply component certification; it means the approved PR entered the integration branch with required checks passing.</w:t>
      </w:r>
    </w:p>
    <w:p>
      <w:pPr>
        <w:pStyle w:val="Heading2"/>
      </w:pPr>
      <w:r>
        <w:t>20.6 Git branch and worktree strategy</w:t>
      </w:r>
    </w:p>
    <w:p>
      <w:pPr>
        <w:pStyle w:val="ListBullet"/>
      </w:pPr>
      <w:r>
        <w:t>Each active coding agent uses a dedicated Git branch and, where the tool supports it, a dedicated Git worktree. Agents never share an editable working directory.</w:t>
      </w:r>
    </w:p>
    <w:p>
      <w:pPr>
        <w:pStyle w:val="ListBullet"/>
      </w:pPr>
      <w:r>
        <w:t>Branch convention: agent/&lt;module&gt;-&lt;component-or-purpose&gt;-&lt;task-id&gt;. Example: agent/m04-cmp009-forms-0048.</w:t>
      </w:r>
    </w:p>
    <w:p>
      <w:pPr>
        <w:pStyle w:val="ListBullet"/>
      </w:pPr>
      <w:r>
        <w:t>The orchestrator creates the branch from the latest approved integration/main base and records base_commit in the task envelope.</w:t>
      </w:r>
    </w:p>
    <w:p>
      <w:pPr>
        <w:pStyle w:val="ListBullet"/>
      </w:pPr>
      <w:r>
        <w:t>Agents commit small, reviewable changes with CMP/INT/REQ IDs in commit or PR metadata.</w:t>
      </w:r>
    </w:p>
    <w:p>
      <w:pPr>
        <w:pStyle w:val="ListBullet"/>
      </w:pPr>
      <w:r>
        <w:t>Before PR verification, the branch is rebased/merged onto the latest approved base and contract tests are rerun.</w:t>
      </w:r>
    </w:p>
    <w:p>
      <w:pPr>
        <w:pStyle w:val="ListBullet"/>
      </w:pPr>
      <w:r>
        <w:t>Only CI/authorized merger writes to protected main/release branches. Agent credentials must not bypass branch protection.</w:t>
      </w:r>
    </w:p>
    <w:p>
      <w:pPr>
        <w:pStyle w:val="Heading2"/>
      </w:pPr>
      <w:r>
        <w:t>20.7 Parallelization plan for ServiceForm AI modules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shd w:fill="D9EAF7"/>
            <w:vAlign w:val="center"/>
            <w:tcMar>
              <w:top w:w="80" w:type="dxa"/>
              <w:start w:w="100" w:type="dxa"/>
              <w:bottom w:w="80" w:type="dxa"/>
              <w:end w:w="100" w:type="dxa"/>
            </w:tcMar>
          </w:tcPr>
          <w:p>
            <w:r>
              <w:rPr>
                <w:b/>
                <w:sz w:val="17"/>
              </w:rPr>
              <w:t>Wave/module</w:t>
            </w:r>
          </w:p>
        </w:tc>
        <w:tc>
          <w:tcPr>
            <w:tcW w:type="dxa" w:w="2160"/>
            <w:shd w:fill="D9EAF7"/>
            <w:vAlign w:val="center"/>
            <w:tcMar>
              <w:top w:w="80" w:type="dxa"/>
              <w:start w:w="100" w:type="dxa"/>
              <w:bottom w:w="80" w:type="dxa"/>
              <w:end w:w="100" w:type="dxa"/>
            </w:tcMar>
          </w:tcPr>
          <w:p>
            <w:r>
              <w:rPr>
                <w:b/>
                <w:sz w:val="17"/>
              </w:rPr>
              <w:t>Parallelism</w:t>
            </w:r>
          </w:p>
        </w:tc>
        <w:tc>
          <w:tcPr>
            <w:tcW w:type="dxa" w:w="6192"/>
            <w:shd w:fill="D9EAF7"/>
            <w:vAlign w:val="center"/>
            <w:tcMar>
              <w:top w:w="80" w:type="dxa"/>
              <w:start w:w="100" w:type="dxa"/>
              <w:bottom w:w="80" w:type="dxa"/>
              <w:end w:w="100" w:type="dxa"/>
            </w:tcMar>
          </w:tcPr>
          <w:p>
            <w:r>
              <w:rPr>
                <w:b/>
                <w:sz w:val="17"/>
              </w:rPr>
              <w:t>Rule</w:t>
            </w:r>
          </w:p>
        </w:tc>
      </w:tr>
      <w:tr>
        <w:trPr>
          <w:cantSplit/>
        </w:trPr>
        <w:tc>
          <w:tcPr>
            <w:tcW w:type="dxa" w:w="1872"/>
            <w:vAlign w:val="center"/>
            <w:tcMar>
              <w:top w:w="80" w:type="dxa"/>
              <w:start w:w="100" w:type="dxa"/>
              <w:bottom w:w="80" w:type="dxa"/>
              <w:end w:w="100" w:type="dxa"/>
            </w:tcMar>
          </w:tcPr>
          <w:p>
            <w:r>
              <w:rPr>
                <w:sz w:val="17"/>
              </w:rPr>
              <w:t>M00</w:t>
            </w:r>
          </w:p>
        </w:tc>
        <w:tc>
          <w:tcPr>
            <w:tcW w:type="dxa" w:w="2160"/>
            <w:vAlign w:val="center"/>
            <w:tcMar>
              <w:top w:w="80" w:type="dxa"/>
              <w:start w:w="100" w:type="dxa"/>
              <w:bottom w:w="80" w:type="dxa"/>
              <w:end w:w="100" w:type="dxa"/>
            </w:tcMar>
          </w:tcPr>
          <w:p>
            <w:r>
              <w:rPr>
                <w:sz w:val="17"/>
              </w:rPr>
              <w:t>Serial</w:t>
            </w:r>
          </w:p>
        </w:tc>
        <w:tc>
          <w:tcPr>
            <w:tcW w:type="dxa" w:w="6192"/>
            <w:vAlign w:val="center"/>
            <w:tcMar>
              <w:top w:w="80" w:type="dxa"/>
              <w:start w:w="100" w:type="dxa"/>
              <w:bottom w:w="80" w:type="dxa"/>
              <w:end w:w="100" w:type="dxa"/>
            </w:tcMar>
          </w:tcPr>
          <w:p>
            <w:r>
              <w:rPr>
                <w:sz w:val="17"/>
              </w:rPr>
              <w:t>Architecture verification, repo bootstrap, rules, CI and orchestrator foundation must exist before broad parallel work.</w:t>
            </w:r>
          </w:p>
        </w:tc>
      </w:tr>
      <w:tr>
        <w:trPr>
          <w:cantSplit/>
        </w:trPr>
        <w:tc>
          <w:tcPr>
            <w:tcW w:type="dxa" w:w="1872"/>
            <w:vAlign w:val="center"/>
            <w:tcMar>
              <w:top w:w="80" w:type="dxa"/>
              <w:start w:w="100" w:type="dxa"/>
              <w:bottom w:w="80" w:type="dxa"/>
              <w:end w:w="100" w:type="dxa"/>
            </w:tcMar>
          </w:tcPr>
          <w:p>
            <w:r>
              <w:rPr>
                <w:sz w:val="17"/>
              </w:rPr>
              <w:t>M01</w:t>
            </w:r>
          </w:p>
        </w:tc>
        <w:tc>
          <w:tcPr>
            <w:tcW w:type="dxa" w:w="2160"/>
            <w:vAlign w:val="center"/>
            <w:tcMar>
              <w:top w:w="80" w:type="dxa"/>
              <w:start w:w="100" w:type="dxa"/>
              <w:bottom w:w="80" w:type="dxa"/>
              <w:end w:w="100" w:type="dxa"/>
            </w:tcMar>
          </w:tcPr>
          <w:p>
            <w:r>
              <w:rPr>
                <w:sz w:val="17"/>
              </w:rPr>
              <w:t>Controlled parallel</w:t>
            </w:r>
          </w:p>
        </w:tc>
        <w:tc>
          <w:tcPr>
            <w:tcW w:type="dxa" w:w="6192"/>
            <w:vAlign w:val="center"/>
            <w:tcMar>
              <w:top w:w="80" w:type="dxa"/>
              <w:start w:w="100" w:type="dxa"/>
              <w:bottom w:w="80" w:type="dxa"/>
              <w:end w:w="100" w:type="dxa"/>
            </w:tcMar>
          </w:tcPr>
          <w:p>
            <w:r>
              <w:rPr>
                <w:sz w:val="17"/>
              </w:rPr>
              <w:t>Tenant/organisation/jurisdiction; security/audit; developer-platform work may run as separate streams against frozen context contracts.</w:t>
            </w:r>
          </w:p>
        </w:tc>
      </w:tr>
      <w:tr>
        <w:trPr>
          <w:cantSplit/>
        </w:trPr>
        <w:tc>
          <w:tcPr>
            <w:tcW w:type="dxa" w:w="1872"/>
            <w:vAlign w:val="center"/>
            <w:tcMar>
              <w:top w:w="80" w:type="dxa"/>
              <w:start w:w="100" w:type="dxa"/>
              <w:bottom w:w="80" w:type="dxa"/>
              <w:end w:w="100" w:type="dxa"/>
            </w:tcMar>
          </w:tcPr>
          <w:p>
            <w:r>
              <w:rPr>
                <w:sz w:val="17"/>
              </w:rPr>
              <w:t>M02 + M03</w:t>
            </w:r>
          </w:p>
        </w:tc>
        <w:tc>
          <w:tcPr>
            <w:tcW w:type="dxa" w:w="2160"/>
            <w:vAlign w:val="center"/>
            <w:tcMar>
              <w:top w:w="80" w:type="dxa"/>
              <w:start w:w="100" w:type="dxa"/>
              <w:bottom w:w="80" w:type="dxa"/>
              <w:end w:w="100" w:type="dxa"/>
            </w:tcMar>
          </w:tcPr>
          <w:p>
            <w:r>
              <w:rPr>
                <w:sz w:val="17"/>
              </w:rPr>
              <w:t>Parallel after M01</w:t>
            </w:r>
          </w:p>
        </w:tc>
        <w:tc>
          <w:tcPr>
            <w:tcW w:type="dxa" w:w="6192"/>
            <w:vAlign w:val="center"/>
            <w:tcMar>
              <w:top w:w="80" w:type="dxa"/>
              <w:start w:w="100" w:type="dxa"/>
              <w:bottom w:w="80" w:type="dxa"/>
              <w:end w:w="100" w:type="dxa"/>
            </w:tcMar>
          </w:tcPr>
          <w:p>
            <w:r>
              <w:rPr>
                <w:sz w:val="17"/>
              </w:rPr>
              <w:t>Identity/Profile and Catalogue/Studio/UX4G can proceed concurrently; shared identity/tenant contracts stay frozen.</w:t>
            </w:r>
          </w:p>
        </w:tc>
      </w:tr>
      <w:tr>
        <w:trPr>
          <w:cantSplit/>
        </w:trPr>
        <w:tc>
          <w:tcPr>
            <w:tcW w:type="dxa" w:w="1872"/>
            <w:vAlign w:val="center"/>
            <w:tcMar>
              <w:top w:w="80" w:type="dxa"/>
              <w:start w:w="100" w:type="dxa"/>
              <w:bottom w:w="80" w:type="dxa"/>
              <w:end w:w="100" w:type="dxa"/>
            </w:tcMar>
          </w:tcPr>
          <w:p>
            <w:r>
              <w:rPr>
                <w:sz w:val="17"/>
              </w:rPr>
              <w:t>M04</w:t>
            </w:r>
          </w:p>
        </w:tc>
        <w:tc>
          <w:tcPr>
            <w:tcW w:type="dxa" w:w="2160"/>
            <w:vAlign w:val="center"/>
            <w:tcMar>
              <w:top w:w="80" w:type="dxa"/>
              <w:start w:w="100" w:type="dxa"/>
              <w:bottom w:w="80" w:type="dxa"/>
              <w:end w:w="100" w:type="dxa"/>
            </w:tcMar>
          </w:tcPr>
          <w:p>
            <w:r>
              <w:rPr>
                <w:sz w:val="17"/>
              </w:rPr>
              <w:t>High parallelism</w:t>
            </w:r>
          </w:p>
        </w:tc>
        <w:tc>
          <w:tcPr>
            <w:tcW w:type="dxa" w:w="6192"/>
            <w:vAlign w:val="center"/>
            <w:tcMar>
              <w:top w:w="80" w:type="dxa"/>
              <w:start w:w="100" w:type="dxa"/>
              <w:bottom w:w="80" w:type="dxa"/>
              <w:end w:w="100" w:type="dxa"/>
            </w:tcMar>
          </w:tcPr>
          <w:p>
            <w:r>
              <w:rPr>
                <w:sz w:val="17"/>
              </w:rPr>
              <w:t>Forms, Rules, Evidence, Upload/OCR and AI design agents can work in parallel after schemas/contracts are frozen.</w:t>
            </w:r>
          </w:p>
        </w:tc>
      </w:tr>
      <w:tr>
        <w:trPr>
          <w:cantSplit/>
        </w:trPr>
        <w:tc>
          <w:tcPr>
            <w:tcW w:type="dxa" w:w="1872"/>
            <w:vAlign w:val="center"/>
            <w:tcMar>
              <w:top w:w="80" w:type="dxa"/>
              <w:start w:w="100" w:type="dxa"/>
              <w:bottom w:w="80" w:type="dxa"/>
              <w:end w:w="100" w:type="dxa"/>
            </w:tcMar>
          </w:tcPr>
          <w:p>
            <w:r>
              <w:rPr>
                <w:sz w:val="17"/>
              </w:rPr>
              <w:t>M05</w:t>
            </w:r>
          </w:p>
        </w:tc>
        <w:tc>
          <w:tcPr>
            <w:tcW w:type="dxa" w:w="2160"/>
            <w:vAlign w:val="center"/>
            <w:tcMar>
              <w:top w:w="80" w:type="dxa"/>
              <w:start w:w="100" w:type="dxa"/>
              <w:bottom w:w="80" w:type="dxa"/>
              <w:end w:w="100" w:type="dxa"/>
            </w:tcMar>
          </w:tcPr>
          <w:p>
            <w:r>
              <w:rPr>
                <w:sz w:val="17"/>
              </w:rPr>
              <w:t>Tightly coordinated pod</w:t>
            </w:r>
          </w:p>
        </w:tc>
        <w:tc>
          <w:tcPr>
            <w:tcW w:type="dxa" w:w="6192"/>
            <w:vAlign w:val="center"/>
            <w:tcMar>
              <w:top w:w="80" w:type="dxa"/>
              <w:start w:w="100" w:type="dxa"/>
              <w:bottom w:w="80" w:type="dxa"/>
              <w:end w:w="100" w:type="dxa"/>
            </w:tcMar>
          </w:tcPr>
          <w:p>
            <w:r>
              <w:rPr>
                <w:sz w:val="17"/>
              </w:rPr>
              <w:t>Application, Workflow, Tasks, Deficiency and SLA are transactionally coupled. Use a Case Execution lead plus sub-agents; integrate continuously.</w:t>
            </w:r>
          </w:p>
        </w:tc>
      </w:tr>
      <w:tr>
        <w:trPr>
          <w:cantSplit/>
        </w:trPr>
        <w:tc>
          <w:tcPr>
            <w:tcW w:type="dxa" w:w="1872"/>
            <w:vAlign w:val="center"/>
            <w:tcMar>
              <w:top w:w="80" w:type="dxa"/>
              <w:start w:w="100" w:type="dxa"/>
              <w:bottom w:w="80" w:type="dxa"/>
              <w:end w:w="100" w:type="dxa"/>
            </w:tcMar>
          </w:tcPr>
          <w:p>
            <w:r>
              <w:rPr>
                <w:sz w:val="17"/>
              </w:rPr>
              <w:t>M06 + M08</w:t>
            </w:r>
          </w:p>
        </w:tc>
        <w:tc>
          <w:tcPr>
            <w:tcW w:type="dxa" w:w="2160"/>
            <w:vAlign w:val="center"/>
            <w:tcMar>
              <w:top w:w="80" w:type="dxa"/>
              <w:start w:w="100" w:type="dxa"/>
              <w:bottom w:w="80" w:type="dxa"/>
              <w:end w:w="100" w:type="dxa"/>
            </w:tcMar>
          </w:tcPr>
          <w:p>
            <w:r>
              <w:rPr>
                <w:sz w:val="17"/>
              </w:rPr>
              <w:t>Parallel after M05</w:t>
            </w:r>
          </w:p>
        </w:tc>
        <w:tc>
          <w:tcPr>
            <w:tcW w:type="dxa" w:w="6192"/>
            <w:vAlign w:val="center"/>
            <w:tcMar>
              <w:top w:w="80" w:type="dxa"/>
              <w:start w:w="100" w:type="dxa"/>
              <w:bottom w:w="80" w:type="dxa"/>
              <w:end w:w="100" w:type="dxa"/>
            </w:tcMar>
          </w:tcPr>
          <w:p>
            <w:r>
              <w:rPr>
                <w:sz w:val="17"/>
              </w:rPr>
              <w:t>Payment/integration runtime and Search/AI/Analytics may proceed concurrently against stable case events.</w:t>
            </w:r>
          </w:p>
        </w:tc>
      </w:tr>
      <w:tr>
        <w:trPr>
          <w:cantSplit/>
        </w:trPr>
        <w:tc>
          <w:tcPr>
            <w:tcW w:type="dxa" w:w="1872"/>
            <w:vAlign w:val="center"/>
            <w:tcMar>
              <w:top w:w="80" w:type="dxa"/>
              <w:start w:w="100" w:type="dxa"/>
              <w:bottom w:w="80" w:type="dxa"/>
              <w:end w:w="100" w:type="dxa"/>
            </w:tcMar>
          </w:tcPr>
          <w:p>
            <w:r>
              <w:rPr>
                <w:sz w:val="17"/>
              </w:rPr>
              <w:t>M07</w:t>
            </w:r>
          </w:p>
        </w:tc>
        <w:tc>
          <w:tcPr>
            <w:tcW w:type="dxa" w:w="2160"/>
            <w:vAlign w:val="center"/>
            <w:tcMar>
              <w:top w:w="80" w:type="dxa"/>
              <w:start w:w="100" w:type="dxa"/>
              <w:bottom w:w="80" w:type="dxa"/>
              <w:end w:w="100" w:type="dxa"/>
            </w:tcMar>
          </w:tcPr>
          <w:p>
            <w:r>
              <w:rPr>
                <w:sz w:val="17"/>
              </w:rPr>
              <w:t>After M06</w:t>
            </w:r>
          </w:p>
        </w:tc>
        <w:tc>
          <w:tcPr>
            <w:tcW w:type="dxa" w:w="6192"/>
            <w:vAlign w:val="center"/>
            <w:tcMar>
              <w:top w:w="80" w:type="dxa"/>
              <w:start w:w="100" w:type="dxa"/>
              <w:bottom w:w="80" w:type="dxa"/>
              <w:end w:w="100" w:type="dxa"/>
            </w:tcMar>
          </w:tcPr>
          <w:p>
            <w:r>
              <w:rPr>
                <w:sz w:val="17"/>
              </w:rPr>
              <w:t>Credential/QR/DigiLocker outcome chain consumes payment/integration contracts.</w:t>
            </w:r>
          </w:p>
        </w:tc>
      </w:tr>
      <w:tr>
        <w:trPr>
          <w:cantSplit/>
        </w:trPr>
        <w:tc>
          <w:tcPr>
            <w:tcW w:type="dxa" w:w="1872"/>
            <w:vAlign w:val="center"/>
            <w:tcMar>
              <w:top w:w="80" w:type="dxa"/>
              <w:start w:w="100" w:type="dxa"/>
              <w:bottom w:w="80" w:type="dxa"/>
              <w:end w:w="100" w:type="dxa"/>
            </w:tcMar>
          </w:tcPr>
          <w:p>
            <w:r>
              <w:rPr>
                <w:sz w:val="17"/>
              </w:rPr>
              <w:t>M09</w:t>
            </w:r>
          </w:p>
        </w:tc>
        <w:tc>
          <w:tcPr>
            <w:tcW w:type="dxa" w:w="2160"/>
            <w:vAlign w:val="center"/>
            <w:tcMar>
              <w:top w:w="80" w:type="dxa"/>
              <w:start w:w="100" w:type="dxa"/>
              <w:bottom w:w="80" w:type="dxa"/>
              <w:end w:w="100" w:type="dxa"/>
            </w:tcMar>
          </w:tcPr>
          <w:p>
            <w:r>
              <w:rPr>
                <w:sz w:val="17"/>
              </w:rPr>
              <w:t>Parallel substreams after prerequisites</w:t>
            </w:r>
          </w:p>
        </w:tc>
        <w:tc>
          <w:tcPr>
            <w:tcW w:type="dxa" w:w="6192"/>
            <w:vAlign w:val="center"/>
            <w:tcMar>
              <w:top w:w="80" w:type="dxa"/>
              <w:start w:w="100" w:type="dxa"/>
              <w:bottom w:w="80" w:type="dxa"/>
              <w:end w:w="100" w:type="dxa"/>
            </w:tcMar>
          </w:tcPr>
          <w:p>
            <w:r>
              <w:rPr>
                <w:sz w:val="17"/>
              </w:rPr>
              <w:t>Scheduler, assisted service, semantic registry, migration, integrity and privacy rights can run as separate bounded agents.</w:t>
            </w:r>
          </w:p>
        </w:tc>
      </w:tr>
      <w:tr>
        <w:trPr>
          <w:cantSplit/>
        </w:trPr>
        <w:tc>
          <w:tcPr>
            <w:tcW w:type="dxa" w:w="1872"/>
            <w:vAlign w:val="center"/>
            <w:tcMar>
              <w:top w:w="80" w:type="dxa"/>
              <w:start w:w="100" w:type="dxa"/>
              <w:bottom w:w="80" w:type="dxa"/>
              <w:end w:w="100" w:type="dxa"/>
            </w:tcMar>
          </w:tcPr>
          <w:p>
            <w:r>
              <w:rPr>
                <w:sz w:val="17"/>
              </w:rPr>
              <w:t>M10</w:t>
            </w:r>
          </w:p>
        </w:tc>
        <w:tc>
          <w:tcPr>
            <w:tcW w:type="dxa" w:w="2160"/>
            <w:vAlign w:val="center"/>
            <w:tcMar>
              <w:top w:w="80" w:type="dxa"/>
              <w:start w:w="100" w:type="dxa"/>
              <w:bottom w:w="80" w:type="dxa"/>
              <w:end w:w="100" w:type="dxa"/>
            </w:tcMar>
          </w:tcPr>
          <w:p>
            <w:r>
              <w:rPr>
                <w:sz w:val="17"/>
              </w:rPr>
              <w:t>Integration-first</w:t>
            </w:r>
          </w:p>
        </w:tc>
        <w:tc>
          <w:tcPr>
            <w:tcW w:type="dxa" w:w="6192"/>
            <w:vAlign w:val="center"/>
            <w:tcMar>
              <w:top w:w="80" w:type="dxa"/>
              <w:start w:w="100" w:type="dxa"/>
              <w:bottom w:w="80" w:type="dxa"/>
              <w:end w:w="100" w:type="dxa"/>
            </w:tcMar>
          </w:tcPr>
          <w:p>
            <w:r>
              <w:rPr>
                <w:sz w:val="17"/>
              </w:rPr>
              <w:t>Golden Residence Certificate is an E2E certification exercise; do not split the citizen journey into disconnected demos.</w:t>
            </w:r>
          </w:p>
        </w:tc>
      </w:tr>
      <w:tr>
        <w:trPr>
          <w:cantSplit/>
        </w:trPr>
        <w:tc>
          <w:tcPr>
            <w:tcW w:type="dxa" w:w="1872"/>
            <w:vAlign w:val="center"/>
            <w:tcMar>
              <w:top w:w="80" w:type="dxa"/>
              <w:start w:w="100" w:type="dxa"/>
              <w:bottom w:w="80" w:type="dxa"/>
              <w:end w:w="100" w:type="dxa"/>
            </w:tcMar>
          </w:tcPr>
          <w:p>
            <w:r>
              <w:rPr>
                <w:sz w:val="17"/>
              </w:rPr>
              <w:t>M11</w:t>
            </w:r>
          </w:p>
        </w:tc>
        <w:tc>
          <w:tcPr>
            <w:tcW w:type="dxa" w:w="2160"/>
            <w:vAlign w:val="center"/>
            <w:tcMar>
              <w:top w:w="80" w:type="dxa"/>
              <w:start w:w="100" w:type="dxa"/>
              <w:bottom w:w="80" w:type="dxa"/>
              <w:end w:w="100" w:type="dxa"/>
            </w:tcMar>
          </w:tcPr>
          <w:p>
            <w:r>
              <w:rPr>
                <w:sz w:val="17"/>
              </w:rPr>
              <w:t>Reuse proof</w:t>
            </w:r>
          </w:p>
        </w:tc>
        <w:tc>
          <w:tcPr>
            <w:tcW w:type="dxa" w:w="6192"/>
            <w:vAlign w:val="center"/>
            <w:tcMar>
              <w:top w:w="80" w:type="dxa"/>
              <w:start w:w="100" w:type="dxa"/>
              <w:bottom w:w="80" w:type="dxa"/>
              <w:end w:w="100" w:type="dxa"/>
            </w:tcMar>
          </w:tcPr>
          <w:p>
            <w:r>
              <w:rPr>
                <w:sz w:val="17"/>
              </w:rPr>
              <w:t>Second service should be mostly metadata and is used to expose missing reusable capabilities.</w:t>
            </w:r>
          </w:p>
        </w:tc>
      </w:tr>
    </w:tbl>
    <w:p/>
    <w:p>
      <w:r>
        <w:rPr>
          <w:b/>
        </w:rPr>
        <w:t xml:space="preserve">Recommended concurrency. </w:t>
      </w:r>
      <w:r>
        <w:t>Begin with approximately 5-8 simultaneous coding agents while contracts/foundations are stabilizing. Increase toward roughly 10-15 only after CI, contract locks, ownership and integration environments are reliable. These are operating guidelines, not architectural limits.</w:t>
      </w:r>
    </w:p>
    <w:p>
      <w:pPr>
        <w:pStyle w:val="Heading2"/>
      </w:pPr>
      <w:r>
        <w:t>20.8 Integration and stitching protocol</w:t>
      </w:r>
    </w:p>
    <w:p>
      <w:pPr>
        <w:pStyle w:val="ListBullet"/>
      </w:pPr>
      <w:r>
        <w:t>Stitch through contracts, not manual code copying. OpenAPI/AsyncAPI/JSON Schema/event contracts generate or validate shared types/SDKs.</w:t>
      </w:r>
    </w:p>
    <w:p>
      <w:pPr>
        <w:pStyle w:val="ListBullet"/>
      </w:pPr>
      <w:r>
        <w:t>Each PR must pass producer/consumer contract tests for the contracts it changes or consumes.</w:t>
      </w:r>
    </w:p>
    <w:p>
      <w:pPr>
        <w:pStyle w:val="ListBullet"/>
      </w:pPr>
      <w:r>
        <w:t>The Integration Agent creates ephemeral or shared integration environments from immutable build artifacts and runs relevant INT scenarios.</w:t>
      </w:r>
    </w:p>
    <w:p>
      <w:pPr>
        <w:pStyle w:val="ListBullet"/>
      </w:pPr>
      <w:r>
        <w:t>At-least-once event delivery, idempotency, retry, duplicate callback and dependency-timeout behavior are tested at seams, not only inside components.</w:t>
      </w:r>
    </w:p>
    <w:p>
      <w:pPr>
        <w:pStyle w:val="ListBullet"/>
      </w:pPr>
      <w:r>
        <w:t>No Integration Agent may directly update another component database to simulate interoperability.</w:t>
      </w:r>
    </w:p>
    <w:p>
      <w:pPr>
        <w:pStyle w:val="ListBullet"/>
      </w:pPr>
      <w:r>
        <w:t>Contract-compatible SIMULATED providers are used for deterministic CI; SANDBOX/REAL provider evidence is added at the environment gates specified elsewhere.</w:t>
      </w:r>
    </w:p>
    <w:p>
      <w:pPr>
        <w:pStyle w:val="ListBullet"/>
      </w:pPr>
      <w:r>
        <w:t>Integration failures create a defect against the owning component/contract; the Integration Agent must not patch unrelated production code on its own branch.</w:t>
      </w:r>
    </w:p>
    <w:p>
      <w:pPr>
        <w:pStyle w:val="Heading2"/>
      </w:pPr>
      <w:r>
        <w:t>20.9 Pull request, merge and promotion protocol</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D9EAF7"/>
            <w:vAlign w:val="center"/>
            <w:tcMar>
              <w:top w:w="80" w:type="dxa"/>
              <w:start w:w="100" w:type="dxa"/>
              <w:bottom w:w="80" w:type="dxa"/>
              <w:end w:w="100" w:type="dxa"/>
            </w:tcMar>
          </w:tcPr>
          <w:p>
            <w:r>
              <w:rPr>
                <w:b/>
                <w:sz w:val="17"/>
              </w:rPr>
              <w:t>Gate</w:t>
            </w:r>
          </w:p>
        </w:tc>
        <w:tc>
          <w:tcPr>
            <w:tcW w:type="dxa" w:w="8064"/>
            <w:shd w:fill="D9EAF7"/>
            <w:vAlign w:val="center"/>
            <w:tcMar>
              <w:top w:w="80" w:type="dxa"/>
              <w:start w:w="100" w:type="dxa"/>
              <w:bottom w:w="80" w:type="dxa"/>
              <w:end w:w="100" w:type="dxa"/>
            </w:tcMar>
          </w:tcPr>
          <w:p>
            <w:r>
              <w:rPr>
                <w:b/>
                <w:sz w:val="17"/>
              </w:rPr>
              <w:t>Mandatory checks before progression</w:t>
            </w:r>
          </w:p>
        </w:tc>
      </w:tr>
      <w:tr>
        <w:trPr>
          <w:cantSplit/>
        </w:trPr>
        <w:tc>
          <w:tcPr>
            <w:tcW w:type="dxa" w:w="2232"/>
            <w:vAlign w:val="center"/>
            <w:tcMar>
              <w:top w:w="80" w:type="dxa"/>
              <w:start w:w="100" w:type="dxa"/>
              <w:bottom w:w="80" w:type="dxa"/>
              <w:end w:w="100" w:type="dxa"/>
            </w:tcMar>
          </w:tcPr>
          <w:p>
            <w:r>
              <w:rPr>
                <w:sz w:val="17"/>
              </w:rPr>
              <w:t>Builder PR ready</w:t>
            </w:r>
          </w:p>
        </w:tc>
        <w:tc>
          <w:tcPr>
            <w:tcW w:type="dxa" w:w="8064"/>
            <w:vAlign w:val="center"/>
            <w:tcMar>
              <w:top w:w="80" w:type="dxa"/>
              <w:start w:w="100" w:type="dxa"/>
              <w:bottom w:w="80" w:type="dxa"/>
              <w:end w:w="100" w:type="dxa"/>
            </w:tcMar>
          </w:tcPr>
          <w:p>
            <w:r>
              <w:rPr>
                <w:sz w:val="17"/>
              </w:rPr>
              <w:t>Format/lint/typecheck; unit tests; component tests; migrations; local security/tenant tests; traceability updated.</w:t>
            </w:r>
          </w:p>
        </w:tc>
      </w:tr>
      <w:tr>
        <w:trPr>
          <w:cantSplit/>
        </w:trPr>
        <w:tc>
          <w:tcPr>
            <w:tcW w:type="dxa" w:w="2232"/>
            <w:vAlign w:val="center"/>
            <w:tcMar>
              <w:top w:w="80" w:type="dxa"/>
              <w:start w:w="100" w:type="dxa"/>
              <w:bottom w:w="80" w:type="dxa"/>
              <w:end w:w="100" w:type="dxa"/>
            </w:tcMar>
          </w:tcPr>
          <w:p>
            <w:r>
              <w:rPr>
                <w:sz w:val="17"/>
              </w:rPr>
              <w:t>Contract verification</w:t>
            </w:r>
          </w:p>
        </w:tc>
        <w:tc>
          <w:tcPr>
            <w:tcW w:type="dxa" w:w="8064"/>
            <w:vAlign w:val="center"/>
            <w:tcMar>
              <w:top w:w="80" w:type="dxa"/>
              <w:start w:w="100" w:type="dxa"/>
              <w:bottom w:w="80" w:type="dxa"/>
              <w:end w:w="100" w:type="dxa"/>
            </w:tcMar>
          </w:tcPr>
          <w:p>
            <w:r>
              <w:rPr>
                <w:sz w:val="17"/>
              </w:rPr>
              <w:t>Schema compatibility; generated client consistency; consumer-driven tests; contract hash/lock validation.</w:t>
            </w:r>
          </w:p>
        </w:tc>
      </w:tr>
      <w:tr>
        <w:trPr>
          <w:cantSplit/>
        </w:trPr>
        <w:tc>
          <w:tcPr>
            <w:tcW w:type="dxa" w:w="2232"/>
            <w:vAlign w:val="center"/>
            <w:tcMar>
              <w:top w:w="80" w:type="dxa"/>
              <w:start w:w="100" w:type="dxa"/>
              <w:bottom w:w="80" w:type="dxa"/>
              <w:end w:w="100" w:type="dxa"/>
            </w:tcMar>
          </w:tcPr>
          <w:p>
            <w:r>
              <w:rPr>
                <w:sz w:val="17"/>
              </w:rPr>
              <w:t>Integration verification</w:t>
            </w:r>
          </w:p>
        </w:tc>
        <w:tc>
          <w:tcPr>
            <w:tcW w:type="dxa" w:w="8064"/>
            <w:vAlign w:val="center"/>
            <w:tcMar>
              <w:top w:w="80" w:type="dxa"/>
              <w:start w:w="100" w:type="dxa"/>
              <w:bottom w:w="80" w:type="dxa"/>
              <w:end w:w="100" w:type="dxa"/>
            </w:tcMar>
          </w:tcPr>
          <w:p>
            <w:r>
              <w:rPr>
                <w:sz w:val="17"/>
              </w:rPr>
              <w:t>Relevant INT flows in an integration environment; retries/idempotency/failure injection; no cross-component SQL.</w:t>
            </w:r>
          </w:p>
        </w:tc>
      </w:tr>
      <w:tr>
        <w:trPr>
          <w:cantSplit/>
        </w:trPr>
        <w:tc>
          <w:tcPr>
            <w:tcW w:type="dxa" w:w="2232"/>
            <w:vAlign w:val="center"/>
            <w:tcMar>
              <w:top w:w="80" w:type="dxa"/>
              <w:start w:w="100" w:type="dxa"/>
              <w:bottom w:w="80" w:type="dxa"/>
              <w:end w:w="100" w:type="dxa"/>
            </w:tcMar>
          </w:tcPr>
          <w:p>
            <w:r>
              <w:rPr>
                <w:sz w:val="17"/>
              </w:rPr>
              <w:t>Security verification</w:t>
            </w:r>
          </w:p>
        </w:tc>
        <w:tc>
          <w:tcPr>
            <w:tcW w:type="dxa" w:w="8064"/>
            <w:vAlign w:val="center"/>
            <w:tcMar>
              <w:top w:w="80" w:type="dxa"/>
              <w:start w:w="100" w:type="dxa"/>
              <w:bottom w:w="80" w:type="dxa"/>
              <w:end w:w="100" w:type="dxa"/>
            </w:tcMar>
          </w:tcPr>
          <w:p>
            <w:r>
              <w:rPr>
                <w:sz w:val="17"/>
              </w:rPr>
              <w:t>RLS/OPA/IDOR/secret/PII and dependency/security scans as applicable.</w:t>
            </w:r>
          </w:p>
        </w:tc>
      </w:tr>
      <w:tr>
        <w:trPr>
          <w:cantSplit/>
        </w:trPr>
        <w:tc>
          <w:tcPr>
            <w:tcW w:type="dxa" w:w="2232"/>
            <w:vAlign w:val="center"/>
            <w:tcMar>
              <w:top w:w="80" w:type="dxa"/>
              <w:start w:w="100" w:type="dxa"/>
              <w:bottom w:w="80" w:type="dxa"/>
              <w:end w:w="100" w:type="dxa"/>
            </w:tcMar>
          </w:tcPr>
          <w:p>
            <w:r>
              <w:rPr>
                <w:sz w:val="17"/>
              </w:rPr>
              <w:t>Performance/resilience</w:t>
            </w:r>
          </w:p>
        </w:tc>
        <w:tc>
          <w:tcPr>
            <w:tcW w:type="dxa" w:w="8064"/>
            <w:vAlign w:val="center"/>
            <w:tcMar>
              <w:top w:w="80" w:type="dxa"/>
              <w:start w:w="100" w:type="dxa"/>
              <w:bottom w:w="80" w:type="dxa"/>
              <w:end w:w="100" w:type="dxa"/>
            </w:tcMar>
          </w:tcPr>
          <w:p>
            <w:r>
              <w:rPr>
                <w:sz w:val="17"/>
              </w:rPr>
              <w:t>Required only where component/path is in G5 scope; load/soak/chaos evidence linked.</w:t>
            </w:r>
          </w:p>
        </w:tc>
      </w:tr>
      <w:tr>
        <w:trPr>
          <w:cantSplit/>
        </w:trPr>
        <w:tc>
          <w:tcPr>
            <w:tcW w:type="dxa" w:w="2232"/>
            <w:vAlign w:val="center"/>
            <w:tcMar>
              <w:top w:w="80" w:type="dxa"/>
              <w:start w:w="100" w:type="dxa"/>
              <w:bottom w:w="80" w:type="dxa"/>
              <w:end w:w="100" w:type="dxa"/>
            </w:tcMar>
          </w:tcPr>
          <w:p>
            <w:r>
              <w:rPr>
                <w:sz w:val="17"/>
              </w:rPr>
              <w:t>Merge</w:t>
            </w:r>
          </w:p>
        </w:tc>
        <w:tc>
          <w:tcPr>
            <w:tcW w:type="dxa" w:w="8064"/>
            <w:vAlign w:val="center"/>
            <w:tcMar>
              <w:top w:w="80" w:type="dxa"/>
              <w:start w:w="100" w:type="dxa"/>
              <w:bottom w:w="80" w:type="dxa"/>
              <w:end w:w="100" w:type="dxa"/>
            </w:tcMar>
          </w:tcPr>
          <w:p>
            <w:r>
              <w:rPr>
                <w:sz w:val="17"/>
              </w:rPr>
              <w:t>Required reviews/checks passed; conflicts resolved by owner; evidence manifest references immutable run IDs.</w:t>
            </w:r>
          </w:p>
        </w:tc>
      </w:tr>
      <w:tr>
        <w:trPr>
          <w:cantSplit/>
        </w:trPr>
        <w:tc>
          <w:tcPr>
            <w:tcW w:type="dxa" w:w="2232"/>
            <w:vAlign w:val="center"/>
            <w:tcMar>
              <w:top w:w="80" w:type="dxa"/>
              <w:start w:w="100" w:type="dxa"/>
              <w:bottom w:w="80" w:type="dxa"/>
              <w:end w:w="100" w:type="dxa"/>
            </w:tcMar>
          </w:tcPr>
          <w:p>
            <w:r>
              <w:rPr>
                <w:sz w:val="17"/>
              </w:rPr>
              <w:t>Release certification</w:t>
            </w:r>
          </w:p>
        </w:tc>
        <w:tc>
          <w:tcPr>
            <w:tcW w:type="dxa" w:w="8064"/>
            <w:vAlign w:val="center"/>
            <w:tcMar>
              <w:top w:w="80" w:type="dxa"/>
              <w:start w:w="100" w:type="dxa"/>
              <w:bottom w:w="80" w:type="dxa"/>
              <w:end w:w="100" w:type="dxa"/>
            </w:tcMar>
          </w:tcPr>
          <w:p>
            <w:r>
              <w:rPr>
                <w:sz w:val="17"/>
              </w:rPr>
              <w:t>Module/release evidence aggregated; unresolved exceptions documented; authorized human approves.</w:t>
            </w:r>
          </w:p>
        </w:tc>
      </w:tr>
    </w:tbl>
    <w:p/>
    <w:p>
      <w:pPr>
        <w:pStyle w:val="Heading2"/>
      </w:pPr>
      <w:r>
        <w:t>20.10 Conflict resolution and architecture drift</w:t>
      </w:r>
    </w:p>
    <w:p>
      <w:pPr>
        <w:pStyle w:val="ListBullet"/>
      </w:pPr>
      <w:r>
        <w:t>When agents disagree, precedence is: Architecture Constitution -&gt; approved ADR -&gt; frozen contract -&gt; component specification -&gt; integration specification -&gt; implementation.</w:t>
      </w:r>
    </w:p>
    <w:p>
      <w:pPr>
        <w:pStyle w:val="ListBullet"/>
      </w:pPr>
      <w:r>
        <w:t>A contract or architecture conflict pauses affected tasks. The orchestrator opens one canonical issue/change request instead of allowing divergent local solutions.</w:t>
      </w:r>
    </w:p>
    <w:p>
      <w:pPr>
        <w:pStyle w:val="ListBullet"/>
      </w:pPr>
      <w:r>
        <w:t>Merge conflicts in shared files are resolved by the owner/guardian, not by whichever agent reaches main first.</w:t>
      </w:r>
    </w:p>
    <w:p>
      <w:pPr>
        <w:pStyle w:val="ListBullet"/>
      </w:pPr>
      <w:r>
        <w:t>Duplicate capability implementations are consolidated before merge; the reusable generic implementation wins only after contract/architecture review.</w:t>
      </w:r>
    </w:p>
    <w:p>
      <w:pPr>
        <w:pStyle w:val="ListBullet"/>
      </w:pPr>
      <w:r>
        <w:t>No agent may solve a conflict by introducing a second database, event bus, workflow engine, IAM model or design system without an approved ADR.</w:t>
      </w:r>
    </w:p>
    <w:p>
      <w:pPr>
        <w:pStyle w:val="Heading2"/>
      </w:pPr>
      <w:r>
        <w:t>20.11 Independent verification and anti-self-certification</w:t>
      </w:r>
    </w:p>
    <w:p>
      <w:pPr>
        <w:pStyle w:val="ListBullet"/>
      </w:pPr>
      <w:r>
        <w:t>Builder Agent: writes implementation and component tests; provides evidence but cannot certify.</w:t>
      </w:r>
    </w:p>
    <w:p>
      <w:pPr>
        <w:pStyle w:val="ListBullet"/>
      </w:pPr>
      <w:r>
        <w:t>Integration Agent: independently executes cross-component INT/E2E tests and verifies contract compatibility.</w:t>
      </w:r>
    </w:p>
    <w:p>
      <w:pPr>
        <w:pStyle w:val="ListBullet"/>
      </w:pPr>
      <w:r>
        <w:t>Security Agent: independently executes tenant-isolation/security tests; findings cannot be suppressed by builder prompts.</w:t>
      </w:r>
    </w:p>
    <w:p>
      <w:pPr>
        <w:pStyle w:val="ListBullet"/>
      </w:pPr>
      <w:r>
        <w:t>Performance Agent: executes G5 load/soak/chaos where required.</w:t>
      </w:r>
    </w:p>
    <w:p>
      <w:pPr>
        <w:pStyle w:val="ListBullet"/>
      </w:pPr>
      <w:r>
        <w:t>Verification/Evidence Agent: validates evidence completeness, traceability and reproducibility and recommends gate state.</w:t>
      </w:r>
    </w:p>
    <w:p>
      <w:pPr>
        <w:pStyle w:val="ListBullet"/>
      </w:pPr>
      <w:r>
        <w:t>Authorized human/release governance: accepts/rejects ADRs, exceptions and final certification.</w:t>
      </w:r>
    </w:p>
    <w:p>
      <w:pPr>
        <w:pStyle w:val="Heading2"/>
      </w:pPr>
      <w:r>
        <w:t>20.12 Agent hand-off and durable collaboration record</w:t>
      </w:r>
    </w:p>
    <w:p>
      <w:pPr>
        <w:pStyle w:val="ListBullet"/>
      </w:pPr>
      <w:r>
        <w:t>Every unfinished or merged work item must provide a machine-readable handoff containing completed work, remaining work, decisions, changed contracts, migrations, known risks and evidence links.</w:t>
      </w:r>
    </w:p>
    <w:p>
      <w:pPr>
        <w:pStyle w:val="ListBullet"/>
      </w:pPr>
      <w:r>
        <w:t>Use repository artifacts such as orchestrator/work-queue.yaml, orchestrator/handovers/&lt;task-id&gt;.yaml and PR descriptions rather than relying on an AI chat transcript.</w:t>
      </w:r>
    </w:p>
    <w:p>
      <w:pPr>
        <w:pStyle w:val="ListBullet"/>
      </w:pPr>
      <w:r>
        <w:t>The next agent must verify base commit, contract hashes and unresolved blockers before continuing.</w:t>
      </w:r>
    </w:p>
    <w:p>
      <w:pPr>
        <w:pStyle w:val="ListBullet"/>
      </w:pPr>
      <w:r>
        <w:t>Prompt/context is not the source of truth. Repository artifacts and immutable commit/evidence references are.</w:t>
      </w:r>
    </w:p>
    <w:p>
      <w:pPr>
        <w:pStyle w:val="Heading2"/>
      </w:pPr>
      <w:r>
        <w:t>20.13 Example: five-agent parallel implementation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800"/>
            <w:shd w:fill="D9EAF7"/>
            <w:vAlign w:val="center"/>
            <w:tcMar>
              <w:top w:w="80" w:type="dxa"/>
              <w:start w:w="100" w:type="dxa"/>
              <w:bottom w:w="80" w:type="dxa"/>
              <w:end w:w="100" w:type="dxa"/>
            </w:tcMar>
          </w:tcPr>
          <w:p>
            <w:r>
              <w:rPr>
                <w:b/>
                <w:sz w:val="16"/>
              </w:rPr>
              <w:t>Agent</w:t>
            </w:r>
          </w:p>
        </w:tc>
        <w:tc>
          <w:tcPr>
            <w:tcW w:type="dxa" w:w="2448"/>
            <w:shd w:fill="D9EAF7"/>
            <w:vAlign w:val="center"/>
            <w:tcMar>
              <w:top w:w="80" w:type="dxa"/>
              <w:start w:w="100" w:type="dxa"/>
              <w:bottom w:w="80" w:type="dxa"/>
              <w:end w:w="100" w:type="dxa"/>
            </w:tcMar>
          </w:tcPr>
          <w:p>
            <w:r>
              <w:rPr>
                <w:b/>
                <w:sz w:val="16"/>
              </w:rPr>
              <w:t>Assigned scope</w:t>
            </w:r>
          </w:p>
        </w:tc>
        <w:tc>
          <w:tcPr>
            <w:tcW w:type="dxa" w:w="3168"/>
            <w:shd w:fill="D9EAF7"/>
            <w:vAlign w:val="center"/>
            <w:tcMar>
              <w:top w:w="80" w:type="dxa"/>
              <w:start w:w="100" w:type="dxa"/>
              <w:bottom w:w="80" w:type="dxa"/>
              <w:end w:w="100" w:type="dxa"/>
            </w:tcMar>
          </w:tcPr>
          <w:p>
            <w:r>
              <w:rPr>
                <w:b/>
                <w:sz w:val="16"/>
              </w:rPr>
              <w:t>Shared contracts consumed</w:t>
            </w:r>
          </w:p>
        </w:tc>
        <w:tc>
          <w:tcPr>
            <w:tcW w:type="dxa" w:w="2952"/>
            <w:shd w:fill="D9EAF7"/>
            <w:vAlign w:val="center"/>
            <w:tcMar>
              <w:top w:w="80" w:type="dxa"/>
              <w:start w:w="100" w:type="dxa"/>
              <w:bottom w:w="80" w:type="dxa"/>
              <w:end w:w="100" w:type="dxa"/>
            </w:tcMar>
          </w:tcPr>
          <w:p>
            <w:r>
              <w:rPr>
                <w:b/>
                <w:sz w:val="16"/>
              </w:rPr>
              <w:t>Integration checkpoint</w:t>
            </w:r>
          </w:p>
        </w:tc>
      </w:tr>
      <w:tr>
        <w:trPr>
          <w:cantSplit/>
        </w:trPr>
        <w:tc>
          <w:tcPr>
            <w:tcW w:type="dxa" w:w="1800"/>
            <w:vAlign w:val="center"/>
            <w:tcMar>
              <w:top w:w="80" w:type="dxa"/>
              <w:start w:w="100" w:type="dxa"/>
              <w:bottom w:w="80" w:type="dxa"/>
              <w:end w:w="100" w:type="dxa"/>
            </w:tcMar>
          </w:tcPr>
          <w:p>
            <w:r>
              <w:rPr>
                <w:sz w:val="16"/>
              </w:rPr>
              <w:t>Forms Agent</w:t>
            </w:r>
          </w:p>
        </w:tc>
        <w:tc>
          <w:tcPr>
            <w:tcW w:type="dxa" w:w="2448"/>
            <w:vAlign w:val="center"/>
            <w:tcMar>
              <w:top w:w="80" w:type="dxa"/>
              <w:start w:w="100" w:type="dxa"/>
              <w:bottom w:w="80" w:type="dxa"/>
              <w:end w:w="100" w:type="dxa"/>
            </w:tcMar>
          </w:tcPr>
          <w:p>
            <w:r>
              <w:rPr>
                <w:sz w:val="16"/>
              </w:rPr>
              <w:t>CMP-009 Dynamic Forms</w:t>
            </w:r>
          </w:p>
        </w:tc>
        <w:tc>
          <w:tcPr>
            <w:tcW w:type="dxa" w:w="3168"/>
            <w:vAlign w:val="center"/>
            <w:tcMar>
              <w:top w:w="80" w:type="dxa"/>
              <w:start w:w="100" w:type="dxa"/>
              <w:bottom w:w="80" w:type="dxa"/>
              <w:end w:w="100" w:type="dxa"/>
            </w:tcMar>
          </w:tcPr>
          <w:p>
            <w:r>
              <w:rPr>
                <w:sz w:val="16"/>
              </w:rPr>
              <w:t>FormVersion, ServiceBinding, RuleReference</w:t>
            </w:r>
          </w:p>
        </w:tc>
        <w:tc>
          <w:tcPr>
            <w:tcW w:type="dxa" w:w="2952"/>
            <w:vAlign w:val="center"/>
            <w:tcMar>
              <w:top w:w="80" w:type="dxa"/>
              <w:start w:w="100" w:type="dxa"/>
              <w:bottom w:w="80" w:type="dxa"/>
              <w:end w:w="100" w:type="dxa"/>
            </w:tcMar>
          </w:tcPr>
          <w:p>
            <w:r>
              <w:rPr>
                <w:sz w:val="16"/>
              </w:rPr>
              <w:t>Form schema renders via UX4G and validates server-side</w:t>
            </w:r>
          </w:p>
        </w:tc>
      </w:tr>
      <w:tr>
        <w:trPr>
          <w:cantSplit/>
        </w:trPr>
        <w:tc>
          <w:tcPr>
            <w:tcW w:type="dxa" w:w="1800"/>
            <w:vAlign w:val="center"/>
            <w:tcMar>
              <w:top w:w="80" w:type="dxa"/>
              <w:start w:w="100" w:type="dxa"/>
              <w:bottom w:w="80" w:type="dxa"/>
              <w:end w:w="100" w:type="dxa"/>
            </w:tcMar>
          </w:tcPr>
          <w:p>
            <w:r>
              <w:rPr>
                <w:sz w:val="16"/>
              </w:rPr>
              <w:t>Rules Agent</w:t>
            </w:r>
          </w:p>
        </w:tc>
        <w:tc>
          <w:tcPr>
            <w:tcW w:type="dxa" w:w="2448"/>
            <w:vAlign w:val="center"/>
            <w:tcMar>
              <w:top w:w="80" w:type="dxa"/>
              <w:start w:w="100" w:type="dxa"/>
              <w:bottom w:w="80" w:type="dxa"/>
              <w:end w:w="100" w:type="dxa"/>
            </w:tcMar>
          </w:tcPr>
          <w:p>
            <w:r>
              <w:rPr>
                <w:sz w:val="16"/>
              </w:rPr>
              <w:t>CMP-008 Rules</w:t>
            </w:r>
          </w:p>
        </w:tc>
        <w:tc>
          <w:tcPr>
            <w:tcW w:type="dxa" w:w="3168"/>
            <w:vAlign w:val="center"/>
            <w:tcMar>
              <w:top w:w="80" w:type="dxa"/>
              <w:start w:w="100" w:type="dxa"/>
              <w:bottom w:w="80" w:type="dxa"/>
              <w:end w:w="100" w:type="dxa"/>
            </w:tcMar>
          </w:tcPr>
          <w:p>
            <w:r>
              <w:rPr>
                <w:sz w:val="16"/>
              </w:rPr>
              <w:t>RuleVersion, DecisionInput/Output</w:t>
            </w:r>
          </w:p>
        </w:tc>
        <w:tc>
          <w:tcPr>
            <w:tcW w:type="dxa" w:w="2952"/>
            <w:vAlign w:val="center"/>
            <w:tcMar>
              <w:top w:w="80" w:type="dxa"/>
              <w:start w:w="100" w:type="dxa"/>
              <w:bottom w:w="80" w:type="dxa"/>
              <w:end w:w="100" w:type="dxa"/>
            </w:tcMar>
          </w:tcPr>
          <w:p>
            <w:r>
              <w:rPr>
                <w:sz w:val="16"/>
              </w:rPr>
              <w:t>Same input/version deterministic replay; reason codes stable</w:t>
            </w:r>
          </w:p>
        </w:tc>
      </w:tr>
      <w:tr>
        <w:trPr>
          <w:cantSplit/>
        </w:trPr>
        <w:tc>
          <w:tcPr>
            <w:tcW w:type="dxa" w:w="1800"/>
            <w:vAlign w:val="center"/>
            <w:tcMar>
              <w:top w:w="80" w:type="dxa"/>
              <w:start w:w="100" w:type="dxa"/>
              <w:bottom w:w="80" w:type="dxa"/>
              <w:end w:w="100" w:type="dxa"/>
            </w:tcMar>
          </w:tcPr>
          <w:p>
            <w:r>
              <w:rPr>
                <w:sz w:val="16"/>
              </w:rPr>
              <w:t>Evidence Agent</w:t>
            </w:r>
          </w:p>
        </w:tc>
        <w:tc>
          <w:tcPr>
            <w:tcW w:type="dxa" w:w="2448"/>
            <w:vAlign w:val="center"/>
            <w:tcMar>
              <w:top w:w="80" w:type="dxa"/>
              <w:start w:w="100" w:type="dxa"/>
              <w:bottom w:w="80" w:type="dxa"/>
              <w:end w:w="100" w:type="dxa"/>
            </w:tcMar>
          </w:tcPr>
          <w:p>
            <w:r>
              <w:rPr>
                <w:sz w:val="16"/>
              </w:rPr>
              <w:t>CMP-011 Evidence</w:t>
            </w:r>
          </w:p>
        </w:tc>
        <w:tc>
          <w:tcPr>
            <w:tcW w:type="dxa" w:w="3168"/>
            <w:vAlign w:val="center"/>
            <w:tcMar>
              <w:top w:w="80" w:type="dxa"/>
              <w:start w:w="100" w:type="dxa"/>
              <w:bottom w:w="80" w:type="dxa"/>
              <w:end w:w="100" w:type="dxa"/>
            </w:tcMar>
          </w:tcPr>
          <w:p>
            <w:r>
              <w:rPr>
                <w:sz w:val="16"/>
              </w:rPr>
              <w:t>EvidencePolicyVersion, EvidenceRequirement</w:t>
            </w:r>
          </w:p>
        </w:tc>
        <w:tc>
          <w:tcPr>
            <w:tcW w:type="dxa" w:w="2952"/>
            <w:vAlign w:val="center"/>
            <w:tcMar>
              <w:top w:w="80" w:type="dxa"/>
              <w:start w:w="100" w:type="dxa"/>
              <w:bottom w:w="80" w:type="dxa"/>
              <w:end w:w="100" w:type="dxa"/>
            </w:tcMar>
          </w:tcPr>
          <w:p>
            <w:r>
              <w:rPr>
                <w:sz w:val="16"/>
              </w:rPr>
              <w:t>Dynamic evidence branches match form/rule decisions</w:t>
            </w:r>
          </w:p>
        </w:tc>
      </w:tr>
      <w:tr>
        <w:trPr>
          <w:cantSplit/>
        </w:trPr>
        <w:tc>
          <w:tcPr>
            <w:tcW w:type="dxa" w:w="1800"/>
            <w:vAlign w:val="center"/>
            <w:tcMar>
              <w:top w:w="80" w:type="dxa"/>
              <w:start w:w="100" w:type="dxa"/>
              <w:bottom w:w="80" w:type="dxa"/>
              <w:end w:w="100" w:type="dxa"/>
            </w:tcMar>
          </w:tcPr>
          <w:p>
            <w:r>
              <w:rPr>
                <w:sz w:val="16"/>
              </w:rPr>
              <w:t>Application Agent</w:t>
            </w:r>
          </w:p>
        </w:tc>
        <w:tc>
          <w:tcPr>
            <w:tcW w:type="dxa" w:w="2448"/>
            <w:vAlign w:val="center"/>
            <w:tcMar>
              <w:top w:w="80" w:type="dxa"/>
              <w:start w:w="100" w:type="dxa"/>
              <w:bottom w:w="80" w:type="dxa"/>
              <w:end w:w="100" w:type="dxa"/>
            </w:tcMar>
          </w:tcPr>
          <w:p>
            <w:r>
              <w:rPr>
                <w:sz w:val="16"/>
              </w:rPr>
              <w:t>CMP-015 Application</w:t>
            </w:r>
          </w:p>
        </w:tc>
        <w:tc>
          <w:tcPr>
            <w:tcW w:type="dxa" w:w="3168"/>
            <w:vAlign w:val="center"/>
            <w:tcMar>
              <w:top w:w="80" w:type="dxa"/>
              <w:start w:w="100" w:type="dxa"/>
              <w:bottom w:w="80" w:type="dxa"/>
              <w:end w:w="100" w:type="dxa"/>
            </w:tcMar>
          </w:tcPr>
          <w:p>
            <w:r>
              <w:rPr>
                <w:sz w:val="16"/>
              </w:rPr>
              <w:t>TenantServiceBinding, form/rule/evidence versions</w:t>
            </w:r>
          </w:p>
        </w:tc>
        <w:tc>
          <w:tcPr>
            <w:tcW w:type="dxa" w:w="2952"/>
            <w:vAlign w:val="center"/>
            <w:tcMar>
              <w:top w:w="80" w:type="dxa"/>
              <w:start w:w="100" w:type="dxa"/>
              <w:bottom w:w="80" w:type="dxa"/>
              <w:end w:w="100" w:type="dxa"/>
            </w:tcMar>
          </w:tcPr>
          <w:p>
            <w:r>
              <w:rPr>
                <w:sz w:val="16"/>
              </w:rPr>
              <w:t>Draft/submit pins versions; outbox and idempotency pass</w:t>
            </w:r>
          </w:p>
        </w:tc>
      </w:tr>
      <w:tr>
        <w:trPr>
          <w:cantSplit/>
        </w:trPr>
        <w:tc>
          <w:tcPr>
            <w:tcW w:type="dxa" w:w="1800"/>
            <w:vAlign w:val="center"/>
            <w:tcMar>
              <w:top w:w="80" w:type="dxa"/>
              <w:start w:w="100" w:type="dxa"/>
              <w:bottom w:w="80" w:type="dxa"/>
              <w:end w:w="100" w:type="dxa"/>
            </w:tcMar>
          </w:tcPr>
          <w:p>
            <w:r>
              <w:rPr>
                <w:sz w:val="16"/>
              </w:rPr>
              <w:t>UX4G Agent</w:t>
            </w:r>
          </w:p>
        </w:tc>
        <w:tc>
          <w:tcPr>
            <w:tcW w:type="dxa" w:w="2448"/>
            <w:vAlign w:val="center"/>
            <w:tcMar>
              <w:top w:w="80" w:type="dxa"/>
              <w:start w:w="100" w:type="dxa"/>
              <w:bottom w:w="80" w:type="dxa"/>
              <w:end w:w="100" w:type="dxa"/>
            </w:tcMar>
          </w:tcPr>
          <w:p>
            <w:r>
              <w:rPr>
                <w:sz w:val="16"/>
              </w:rPr>
              <w:t>CMP-054 Design System</w:t>
            </w:r>
          </w:p>
        </w:tc>
        <w:tc>
          <w:tcPr>
            <w:tcW w:type="dxa" w:w="3168"/>
            <w:vAlign w:val="center"/>
            <w:tcMar>
              <w:top w:w="80" w:type="dxa"/>
              <w:start w:w="100" w:type="dxa"/>
              <w:bottom w:w="80" w:type="dxa"/>
              <w:end w:w="100" w:type="dxa"/>
            </w:tcMar>
          </w:tcPr>
          <w:p>
            <w:r>
              <w:rPr>
                <w:sz w:val="16"/>
              </w:rPr>
              <w:t>Renderer contract, field/component registry</w:t>
            </w:r>
          </w:p>
        </w:tc>
        <w:tc>
          <w:tcPr>
            <w:tcW w:type="dxa" w:w="2952"/>
            <w:vAlign w:val="center"/>
            <w:tcMar>
              <w:top w:w="80" w:type="dxa"/>
              <w:start w:w="100" w:type="dxa"/>
              <w:bottom w:w="80" w:type="dxa"/>
              <w:end w:w="100" w:type="dxa"/>
            </w:tcMar>
          </w:tcPr>
          <w:p>
            <w:r>
              <w:rPr>
                <w:sz w:val="16"/>
              </w:rPr>
              <w:t>Web/mobile controls use UX4G-backed renderers; a11y/visual tests pass</w:t>
            </w:r>
          </w:p>
        </w:tc>
      </w:tr>
    </w:tbl>
    <w:p/>
    <w:p>
      <w:r>
        <w:t>The Integration Agent then executes the combined path: Form -&gt; Rules -&gt; Evidence -&gt; Application Draft -&gt; Submission. No manual "stitching" of source files is permitted.</w:t>
      </w:r>
    </w:p>
    <w:p>
      <w:pPr>
        <w:pStyle w:val="Heading2"/>
      </w:pPr>
      <w:r>
        <w:t>20.14 Multi-agent repository control files</w:t>
      </w:r>
    </w:p>
    <w:tbl>
      <w:tblPr>
        <w:tblStyle w:val="TableGrid"/>
        <w:tblW w:type="auto" w:w="0"/>
        <w:jc w:val="center"/>
        <w:tblLook w:firstColumn="1" w:firstRow="1" w:lastColumn="0" w:lastRow="0" w:noHBand="0" w:noVBand="1" w:val="04A0"/>
      </w:tblPr>
      <w:tblGrid>
        <w:gridCol w:w="5083"/>
        <w:gridCol w:w="5083"/>
      </w:tblGrid>
      <w:tr>
        <w:trPr>
          <w:cantSplit/>
        </w:trPr>
        <w:tc>
          <w:tcPr>
            <w:tcW w:type="dxa" w:w="3672"/>
            <w:shd w:fill="D9EAF7"/>
            <w:vAlign w:val="center"/>
            <w:tcMar>
              <w:top w:w="80" w:type="dxa"/>
              <w:start w:w="100" w:type="dxa"/>
              <w:bottom w:w="80" w:type="dxa"/>
              <w:end w:w="100" w:type="dxa"/>
            </w:tcMar>
          </w:tcPr>
          <w:p>
            <w:r>
              <w:rPr>
                <w:b/>
                <w:sz w:val="16"/>
              </w:rPr>
              <w:t>Artifact</w:t>
            </w:r>
          </w:p>
        </w:tc>
        <w:tc>
          <w:tcPr>
            <w:tcW w:type="dxa" w:w="6552"/>
            <w:shd w:fill="D9EAF7"/>
            <w:vAlign w:val="center"/>
            <w:tcMar>
              <w:top w:w="80" w:type="dxa"/>
              <w:start w:w="100" w:type="dxa"/>
              <w:bottom w:w="80" w:type="dxa"/>
              <w:end w:w="100" w:type="dxa"/>
            </w:tcMar>
          </w:tcPr>
          <w:p>
            <w:r>
              <w:rPr>
                <w:b/>
                <w:sz w:val="16"/>
              </w:rPr>
              <w:t>Purpose</w:t>
            </w:r>
          </w:p>
        </w:tc>
      </w:tr>
      <w:tr>
        <w:trPr>
          <w:cantSplit/>
        </w:trPr>
        <w:tc>
          <w:tcPr>
            <w:tcW w:type="dxa" w:w="3672"/>
            <w:vAlign w:val="center"/>
            <w:tcMar>
              <w:top w:w="80" w:type="dxa"/>
              <w:start w:w="100" w:type="dxa"/>
              <w:bottom w:w="80" w:type="dxa"/>
              <w:end w:w="100" w:type="dxa"/>
            </w:tcMar>
          </w:tcPr>
          <w:p>
            <w:r>
              <w:rPr>
                <w:sz w:val="16"/>
              </w:rPr>
              <w:t>MULTI-AGENT-DEVELOPMENT.md</w:t>
            </w:r>
          </w:p>
        </w:tc>
        <w:tc>
          <w:tcPr>
            <w:tcW w:type="dxa" w:w="6552"/>
            <w:vAlign w:val="center"/>
            <w:tcMar>
              <w:top w:w="80" w:type="dxa"/>
              <w:start w:w="100" w:type="dxa"/>
              <w:bottom w:w="80" w:type="dxa"/>
              <w:end w:w="100" w:type="dxa"/>
            </w:tcMar>
          </w:tcPr>
          <w:p>
            <w:r>
              <w:rPr>
                <w:sz w:val="16"/>
              </w:rPr>
              <w:t>Human-readable operating model and command sequence.</w:t>
            </w:r>
          </w:p>
        </w:tc>
      </w:tr>
      <w:tr>
        <w:trPr>
          <w:cantSplit/>
        </w:trPr>
        <w:tc>
          <w:tcPr>
            <w:tcW w:type="dxa" w:w="3672"/>
            <w:vAlign w:val="center"/>
            <w:tcMar>
              <w:top w:w="80" w:type="dxa"/>
              <w:start w:w="100" w:type="dxa"/>
              <w:bottom w:w="80" w:type="dxa"/>
              <w:end w:w="100" w:type="dxa"/>
            </w:tcMar>
          </w:tcPr>
          <w:p>
            <w:r>
              <w:rPr>
                <w:sz w:val="16"/>
              </w:rPr>
              <w:t>specs/agent-topology.yaml</w:t>
            </w:r>
          </w:p>
        </w:tc>
        <w:tc>
          <w:tcPr>
            <w:tcW w:type="dxa" w:w="6552"/>
            <w:vAlign w:val="center"/>
            <w:tcMar>
              <w:top w:w="80" w:type="dxa"/>
              <w:start w:w="100" w:type="dxa"/>
              <w:bottom w:w="80" w:type="dxa"/>
              <w:end w:w="100" w:type="dxa"/>
            </w:tcMar>
          </w:tcPr>
          <w:p>
            <w:r>
              <w:rPr>
                <w:sz w:val="16"/>
              </w:rPr>
              <w:t>Agent roles, scopes, prohibitions and verification separation.</w:t>
            </w:r>
          </w:p>
        </w:tc>
      </w:tr>
      <w:tr>
        <w:trPr>
          <w:cantSplit/>
        </w:trPr>
        <w:tc>
          <w:tcPr>
            <w:tcW w:type="dxa" w:w="3672"/>
            <w:vAlign w:val="center"/>
            <w:tcMar>
              <w:top w:w="80" w:type="dxa"/>
              <w:start w:w="100" w:type="dxa"/>
              <w:bottom w:w="80" w:type="dxa"/>
              <w:end w:w="100" w:type="dxa"/>
            </w:tcMar>
          </w:tcPr>
          <w:p>
            <w:r>
              <w:rPr>
                <w:sz w:val="16"/>
              </w:rPr>
              <w:t>specs/agent-orchestration.yaml</w:t>
            </w:r>
          </w:p>
        </w:tc>
        <w:tc>
          <w:tcPr>
            <w:tcW w:type="dxa" w:w="6552"/>
            <w:vAlign w:val="center"/>
            <w:tcMar>
              <w:top w:w="80" w:type="dxa"/>
              <w:start w:w="100" w:type="dxa"/>
              <w:bottom w:w="80" w:type="dxa"/>
              <w:end w:w="100" w:type="dxa"/>
            </w:tcMar>
          </w:tcPr>
          <w:p>
            <w:r>
              <w:rPr>
                <w:sz w:val="16"/>
              </w:rPr>
              <w:t>Task lifecycle, concurrency groups, dependencies, locks and gate behavior.</w:t>
            </w:r>
          </w:p>
        </w:tc>
      </w:tr>
      <w:tr>
        <w:trPr>
          <w:cantSplit/>
        </w:trPr>
        <w:tc>
          <w:tcPr>
            <w:tcW w:type="dxa" w:w="3672"/>
            <w:vAlign w:val="center"/>
            <w:tcMar>
              <w:top w:w="80" w:type="dxa"/>
              <w:start w:w="100" w:type="dxa"/>
              <w:bottom w:w="80" w:type="dxa"/>
              <w:end w:w="100" w:type="dxa"/>
            </w:tcMar>
          </w:tcPr>
          <w:p>
            <w:r>
              <w:rPr>
                <w:sz w:val="16"/>
              </w:rPr>
              <w:t>orchestrator/agent-registry.yaml</w:t>
            </w:r>
          </w:p>
        </w:tc>
        <w:tc>
          <w:tcPr>
            <w:tcW w:type="dxa" w:w="6552"/>
            <w:vAlign w:val="center"/>
            <w:tcMar>
              <w:top w:w="80" w:type="dxa"/>
              <w:start w:w="100" w:type="dxa"/>
              <w:bottom w:w="80" w:type="dxa"/>
              <w:end w:w="100" w:type="dxa"/>
            </w:tcMar>
          </w:tcPr>
          <w:p>
            <w:r>
              <w:rPr>
                <w:sz w:val="16"/>
              </w:rPr>
              <w:t>Runtime registry of active agent IDs, branches/worktrees and assignments.</w:t>
            </w:r>
          </w:p>
        </w:tc>
      </w:tr>
      <w:tr>
        <w:trPr>
          <w:cantSplit/>
        </w:trPr>
        <w:tc>
          <w:tcPr>
            <w:tcW w:type="dxa" w:w="3672"/>
            <w:vAlign w:val="center"/>
            <w:tcMar>
              <w:top w:w="80" w:type="dxa"/>
              <w:start w:w="100" w:type="dxa"/>
              <w:bottom w:w="80" w:type="dxa"/>
              <w:end w:w="100" w:type="dxa"/>
            </w:tcMar>
          </w:tcPr>
          <w:p>
            <w:r>
              <w:rPr>
                <w:sz w:val="16"/>
              </w:rPr>
              <w:t>orchestrator/work-queue.yaml</w:t>
            </w:r>
          </w:p>
        </w:tc>
        <w:tc>
          <w:tcPr>
            <w:tcW w:type="dxa" w:w="6552"/>
            <w:vAlign w:val="center"/>
            <w:tcMar>
              <w:top w:w="80" w:type="dxa"/>
              <w:start w:w="100" w:type="dxa"/>
              <w:bottom w:w="80" w:type="dxa"/>
              <w:end w:w="100" w:type="dxa"/>
            </w:tcMar>
          </w:tcPr>
          <w:p>
            <w:r>
              <w:rPr>
                <w:sz w:val="16"/>
              </w:rPr>
              <w:t>Dependency-aware task queue and current state.</w:t>
            </w:r>
          </w:p>
        </w:tc>
      </w:tr>
      <w:tr>
        <w:trPr>
          <w:cantSplit/>
        </w:trPr>
        <w:tc>
          <w:tcPr>
            <w:tcW w:type="dxa" w:w="3672"/>
            <w:vAlign w:val="center"/>
            <w:tcMar>
              <w:top w:w="80" w:type="dxa"/>
              <w:start w:w="100" w:type="dxa"/>
              <w:bottom w:w="80" w:type="dxa"/>
              <w:end w:w="100" w:type="dxa"/>
            </w:tcMar>
          </w:tcPr>
          <w:p>
            <w:r>
              <w:rPr>
                <w:sz w:val="16"/>
              </w:rPr>
              <w:t>orchestrator/contracts-lock.yaml</w:t>
            </w:r>
          </w:p>
        </w:tc>
        <w:tc>
          <w:tcPr>
            <w:tcW w:type="dxa" w:w="6552"/>
            <w:vAlign w:val="center"/>
            <w:tcMar>
              <w:top w:w="80" w:type="dxa"/>
              <w:start w:w="100" w:type="dxa"/>
              <w:bottom w:w="80" w:type="dxa"/>
              <w:end w:w="100" w:type="dxa"/>
            </w:tcMar>
          </w:tcPr>
          <w:p>
            <w:r>
              <w:rPr>
                <w:sz w:val="16"/>
              </w:rPr>
              <w:t>Frozen contract versions/hashes and consumers.</w:t>
            </w:r>
          </w:p>
        </w:tc>
      </w:tr>
      <w:tr>
        <w:trPr>
          <w:cantSplit/>
        </w:trPr>
        <w:tc>
          <w:tcPr>
            <w:tcW w:type="dxa" w:w="3672"/>
            <w:vAlign w:val="center"/>
            <w:tcMar>
              <w:top w:w="80" w:type="dxa"/>
              <w:start w:w="100" w:type="dxa"/>
              <w:bottom w:w="80" w:type="dxa"/>
              <w:end w:w="100" w:type="dxa"/>
            </w:tcMar>
          </w:tcPr>
          <w:p>
            <w:r>
              <w:rPr>
                <w:sz w:val="16"/>
              </w:rPr>
              <w:t>orchestrator/handovers/</w:t>
            </w:r>
          </w:p>
        </w:tc>
        <w:tc>
          <w:tcPr>
            <w:tcW w:type="dxa" w:w="6552"/>
            <w:vAlign w:val="center"/>
            <w:tcMar>
              <w:top w:w="80" w:type="dxa"/>
              <w:start w:w="100" w:type="dxa"/>
              <w:bottom w:w="80" w:type="dxa"/>
              <w:end w:w="100" w:type="dxa"/>
            </w:tcMar>
          </w:tcPr>
          <w:p>
            <w:r>
              <w:rPr>
                <w:sz w:val="16"/>
              </w:rPr>
              <w:t>Durable per-task handoff records.</w:t>
            </w:r>
          </w:p>
        </w:tc>
      </w:tr>
      <w:tr>
        <w:trPr>
          <w:cantSplit/>
        </w:trPr>
        <w:tc>
          <w:tcPr>
            <w:tcW w:type="dxa" w:w="3672"/>
            <w:vAlign w:val="center"/>
            <w:tcMar>
              <w:top w:w="80" w:type="dxa"/>
              <w:start w:w="100" w:type="dxa"/>
              <w:bottom w:w="80" w:type="dxa"/>
              <w:end w:w="100" w:type="dxa"/>
            </w:tcMar>
          </w:tcPr>
          <w:p>
            <w:r>
              <w:rPr>
                <w:sz w:val="16"/>
              </w:rPr>
              <w:t>.cursor/rules/multi-agent-orchestration.mdc</w:t>
            </w:r>
          </w:p>
        </w:tc>
        <w:tc>
          <w:tcPr>
            <w:tcW w:type="dxa" w:w="6552"/>
            <w:vAlign w:val="center"/>
            <w:tcMar>
              <w:top w:w="80" w:type="dxa"/>
              <w:start w:w="100" w:type="dxa"/>
              <w:bottom w:w="80" w:type="dxa"/>
              <w:end w:w="100" w:type="dxa"/>
            </w:tcMar>
          </w:tcPr>
          <w:p>
            <w:r>
              <w:rPr>
                <w:sz w:val="16"/>
              </w:rPr>
              <w:t>Cursor-specific enforcement guidance.</w:t>
            </w:r>
          </w:p>
        </w:tc>
      </w:tr>
      <w:tr>
        <w:trPr>
          <w:cantSplit/>
        </w:trPr>
        <w:tc>
          <w:tcPr>
            <w:tcW w:type="dxa" w:w="3672"/>
            <w:vAlign w:val="center"/>
            <w:tcMar>
              <w:top w:w="80" w:type="dxa"/>
              <w:start w:w="100" w:type="dxa"/>
              <w:bottom w:w="80" w:type="dxa"/>
              <w:end w:w="100" w:type="dxa"/>
            </w:tcMar>
          </w:tcPr>
          <w:p>
            <w:r>
              <w:rPr>
                <w:sz w:val="16"/>
              </w:rPr>
              <w:t>prompts/07_MULTI_AGENT_ORCHESTRATOR.md</w:t>
            </w:r>
          </w:p>
        </w:tc>
        <w:tc>
          <w:tcPr>
            <w:tcW w:type="dxa" w:w="6552"/>
            <w:vAlign w:val="center"/>
            <w:tcMar>
              <w:top w:w="80" w:type="dxa"/>
              <w:start w:w="100" w:type="dxa"/>
              <w:bottom w:w="80" w:type="dxa"/>
              <w:end w:w="100" w:type="dxa"/>
            </w:tcMar>
          </w:tcPr>
          <w:p>
            <w:r>
              <w:rPr>
                <w:sz w:val="16"/>
              </w:rPr>
              <w:t>Starts/operates the orchestration role.</w:t>
            </w:r>
          </w:p>
        </w:tc>
      </w:tr>
      <w:tr>
        <w:trPr>
          <w:cantSplit/>
        </w:trPr>
        <w:tc>
          <w:tcPr>
            <w:tcW w:type="dxa" w:w="3672"/>
            <w:vAlign w:val="center"/>
            <w:tcMar>
              <w:top w:w="80" w:type="dxa"/>
              <w:start w:w="100" w:type="dxa"/>
              <w:bottom w:w="80" w:type="dxa"/>
              <w:end w:w="100" w:type="dxa"/>
            </w:tcMar>
          </w:tcPr>
          <w:p>
            <w:r>
              <w:rPr>
                <w:sz w:val="16"/>
              </w:rPr>
              <w:t>prompts/08_MULTI_AGENT_WORKER.md</w:t>
            </w:r>
          </w:p>
        </w:tc>
        <w:tc>
          <w:tcPr>
            <w:tcW w:type="dxa" w:w="6552"/>
            <w:vAlign w:val="center"/>
            <w:tcMar>
              <w:top w:w="80" w:type="dxa"/>
              <w:start w:w="100" w:type="dxa"/>
              <w:bottom w:w="80" w:type="dxa"/>
              <w:end w:w="100" w:type="dxa"/>
            </w:tcMar>
          </w:tcPr>
          <w:p>
            <w:r>
              <w:rPr>
                <w:sz w:val="16"/>
              </w:rPr>
              <w:t>Standard bounded worker-agent prompt.</w:t>
            </w:r>
          </w:p>
        </w:tc>
      </w:tr>
      <w:tr>
        <w:trPr>
          <w:cantSplit/>
        </w:trPr>
        <w:tc>
          <w:tcPr>
            <w:tcW w:type="dxa" w:w="3672"/>
            <w:vAlign w:val="center"/>
            <w:tcMar>
              <w:top w:w="80" w:type="dxa"/>
              <w:start w:w="100" w:type="dxa"/>
              <w:bottom w:w="80" w:type="dxa"/>
              <w:end w:w="100" w:type="dxa"/>
            </w:tcMar>
          </w:tcPr>
          <w:p>
            <w:r>
              <w:rPr>
                <w:sz w:val="16"/>
              </w:rPr>
              <w:t>prompts/09_INTEGRATION_STITCHING_AGENT.md</w:t>
            </w:r>
          </w:p>
        </w:tc>
        <w:tc>
          <w:tcPr>
            <w:tcW w:type="dxa" w:w="6552"/>
            <w:vAlign w:val="center"/>
            <w:tcMar>
              <w:top w:w="80" w:type="dxa"/>
              <w:start w:w="100" w:type="dxa"/>
              <w:bottom w:w="80" w:type="dxa"/>
              <w:end w:w="100" w:type="dxa"/>
            </w:tcMar>
          </w:tcPr>
          <w:p>
            <w:r>
              <w:rPr>
                <w:sz w:val="16"/>
              </w:rPr>
              <w:t>Independent integration agent instructions.</w:t>
            </w:r>
          </w:p>
        </w:tc>
      </w:tr>
      <w:tr>
        <w:trPr>
          <w:cantSplit/>
        </w:trPr>
        <w:tc>
          <w:tcPr>
            <w:tcW w:type="dxa" w:w="3672"/>
            <w:vAlign w:val="center"/>
            <w:tcMar>
              <w:top w:w="80" w:type="dxa"/>
              <w:start w:w="100" w:type="dxa"/>
              <w:bottom w:w="80" w:type="dxa"/>
              <w:end w:w="100" w:type="dxa"/>
            </w:tcMar>
          </w:tcPr>
          <w:p>
            <w:r>
              <w:rPr>
                <w:sz w:val="16"/>
              </w:rPr>
              <w:t>prompts/10_VERIFICATION_AGENT.md</w:t>
            </w:r>
          </w:p>
        </w:tc>
        <w:tc>
          <w:tcPr>
            <w:tcW w:type="dxa" w:w="6552"/>
            <w:vAlign w:val="center"/>
            <w:tcMar>
              <w:top w:w="80" w:type="dxa"/>
              <w:start w:w="100" w:type="dxa"/>
              <w:bottom w:w="80" w:type="dxa"/>
              <w:end w:w="100" w:type="dxa"/>
            </w:tcMar>
          </w:tcPr>
          <w:p>
            <w:r>
              <w:rPr>
                <w:sz w:val="16"/>
              </w:rPr>
              <w:t>Evidence/gate verification instructions.</w:t>
            </w:r>
          </w:p>
        </w:tc>
      </w:tr>
    </w:tbl>
    <w:p/>
    <w:p>
      <w:pPr>
        <w:pStyle w:val="Heading2"/>
      </w:pPr>
      <w:r>
        <w:t>20.15 Operating procedure in Cursor / Claude Code</w:t>
      </w:r>
    </w:p>
    <w:p>
      <w:r>
        <w:t>1. Open one repository and keep all architecture/rules/versioned contracts committed.</w:t>
      </w:r>
    </w:p>
    <w:p>
      <w:r>
        <w:t>2. Run the Orchestrator prompt first. It reads build-plan.yaml and agent-orchestration.yaml and creates only READY tasks whose dependencies are satisfied.</w:t>
      </w:r>
    </w:p>
    <w:p>
      <w:r>
        <w:t>3. For each READY task, create a dedicated branch/worktree and start a worker agent with the generated task envelope. Do not paste the whole 190+ page handbook into every worker; the envelope points to only the relevant CMP/INT/rules.</w:t>
      </w:r>
    </w:p>
    <w:p>
      <w:r>
        <w:t>4. Workers implement only allowed paths, run local gates, commit and open PRs with evidence.</w:t>
      </w:r>
    </w:p>
    <w:p>
      <w:r>
        <w:t>5. Run the Integration/Stitching Agent against PR artifacts and integration environment. It may reject the PR but must not silently change component code.</w:t>
      </w:r>
    </w:p>
    <w:p>
      <w:r>
        <w:t>6. Run Security/Performance verification where required by the task/module gate.</w:t>
      </w:r>
    </w:p>
    <w:p>
      <w:r>
        <w:t>7. Run the Verification Agent to aggregate immutable evidence and recommend gate status.</w:t>
      </w:r>
    </w:p>
    <w:p>
      <w:r>
        <w:t>8. Human reviewer/authorized release governance merges/approves, then the Orchestrator marks dependent tasks READY.</w:t>
      </w:r>
    </w:p>
    <w:p>
      <w:r>
        <w:t>9. Repeat until module gate completes. Do not let the orchestrator automatically skip failed/blocked gates.</w:t>
      </w:r>
    </w:p>
    <w:p>
      <w:pPr>
        <w:pStyle w:val="Heading2"/>
      </w:pPr>
      <w:r>
        <w:t>20.16 Multi-agent acceptance criteria</w:t>
      </w:r>
    </w:p>
    <w:p>
      <w:pPr>
        <w:pStyle w:val="ListBullet"/>
      </w:pPr>
      <w:r>
        <w:t>Two agents cannot have uncoordinated write ownership of the same protected path.</w:t>
      </w:r>
    </w:p>
    <w:p>
      <w:pPr>
        <w:pStyle w:val="ListBullet"/>
      </w:pPr>
      <w:r>
        <w:t>Every shared contract has an owner, version/hash, producer, consumers and lock state.</w:t>
      </w:r>
    </w:p>
    <w:p>
      <w:pPr>
        <w:pStyle w:val="ListBullet"/>
      </w:pPr>
      <w:r>
        <w:t>Every agent task is reproducible from repository state, base commit and task envelope.</w:t>
      </w:r>
    </w:p>
    <w:p>
      <w:pPr>
        <w:pStyle w:val="ListBullet"/>
      </w:pPr>
      <w:r>
        <w:t>No component integration depends on copying code or direct database access across domains.</w:t>
      </w:r>
    </w:p>
    <w:p>
      <w:pPr>
        <w:pStyle w:val="ListBullet"/>
      </w:pPr>
      <w:r>
        <w:t>A breaking contract change cannot merge without explicit version/change record and affected consumer tests.</w:t>
      </w:r>
    </w:p>
    <w:p>
      <w:pPr>
        <w:pStyle w:val="ListBullet"/>
      </w:pPr>
      <w:r>
        <w:t>Every merged multi-agent PR has component evidence; every module gate has independent integration/security evidence as required.</w:t>
      </w:r>
    </w:p>
    <w:p>
      <w:pPr>
        <w:pStyle w:val="ListBullet"/>
      </w:pPr>
      <w:r>
        <w:t>Golden Residence Certificate passes end to end from one integrated release commit, not from separately demonstrated branches.</w:t>
      </w:r>
    </w:p>
    <w:p>
      <w:pPr>
        <w:pStyle w:val="ListBullet"/>
      </w:pPr>
      <w:r>
        <w:t>The second-service reuse proof still requires no bespoke service backend unless a reusable capability gap is formally approved.</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ServiceForm AI - Building Block Engineering Specifications v1.4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