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68"/>
        </w:rPr>
        <w:t>ServiceForm AI</w:t>
      </w:r>
    </w:p>
    <w:p>
      <w:pPr>
        <w:jc w:val="center"/>
      </w:pPr>
      <w:r>
        <w:rPr>
          <w:b/>
          <w:color w:val="2F5597"/>
          <w:sz w:val="44"/>
        </w:rPr>
        <w:t>Component Functional &amp; Technical Specification</w:t>
      </w:r>
    </w:p>
    <w:p>
      <w:pPr>
        <w:jc w:val="center"/>
      </w:pPr>
      <w:r>
        <w:rPr>
          <w:color w:val="4F6B88"/>
          <w:sz w:val="28"/>
        </w:rPr>
        <w:t>AWS-First | Open-Source-Core | AI-Buildable</w:t>
      </w:r>
    </w:p>
    <w:p/>
    <w:tbl>
      <w:tblPr>
        <w:tblW w:type="auto" w:w="0"/>
        <w:jc w:val="center"/>
        <w:tblLayout w:type="fixed"/>
        <w:tblLook w:firstColumn="1" w:firstRow="1" w:lastColumn="0" w:lastRow="0" w:noHBand="0" w:noVBand="1" w:val="04A0"/>
      </w:tblPr>
      <w:tblGrid>
        <w:gridCol w:w="10166"/>
      </w:tblGrid>
      <w:tr>
        <w:trPr>
          <w:cantSplit/>
        </w:trPr>
        <w:tc>
          <w:tcPr>
            <w:tcW w:type="dxa" w:w="9648"/>
            <w:shd w:fill="D9EAF7"/>
            <w:tcMar>
              <w:top w:w="120" w:type="dxa"/>
              <w:start w:w="150" w:type="dxa"/>
              <w:bottom w:w="120" w:type="dxa"/>
              <w:end w:w="150" w:type="dxa"/>
            </w:tcMar>
          </w:tcPr>
          <w:p>
            <w:r>
              <w:rPr>
                <w:b/>
              </w:rPr>
              <w:t xml:space="preserve">Document role: </w:t>
            </w:r>
            <w:r>
              <w:t>Component-level engineering specification subordinate to the ServiceForm AI Architecture Source of Truth. It defines build contracts for each reusable engine and shared service so coding agents can implement the platform without inventing architecture.</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cantSplit/>
        </w:trPr>
        <w:tc>
          <w:tcPr>
            <w:tcW w:type="dxa" w:w="2880"/>
            <w:shd w:fill="EAF2F8"/>
            <w:tcMar>
              <w:top w:w="90" w:type="dxa"/>
              <w:start w:w="100" w:type="dxa"/>
              <w:bottom w:w="90" w:type="dxa"/>
              <w:end w:w="100" w:type="dxa"/>
            </w:tcMar>
            <w:vAlign w:val="center"/>
          </w:tcPr>
          <w:p>
            <w:pPr>
              <w:spacing w:after="40" w:before="40"/>
            </w:pPr>
            <w:r>
              <w:rPr>
                <w:b/>
                <w:sz w:val="17"/>
              </w:rPr>
              <w:t>Version</w:t>
            </w:r>
          </w:p>
        </w:tc>
        <w:tc>
          <w:tcPr>
            <w:tcW w:type="dxa" w:w="6768"/>
            <w:tcMar>
              <w:top w:w="90" w:type="dxa"/>
              <w:start w:w="100" w:type="dxa"/>
              <w:bottom w:w="90" w:type="dxa"/>
              <w:end w:w="100" w:type="dxa"/>
            </w:tcMar>
            <w:vAlign w:val="center"/>
          </w:tcPr>
          <w:p>
            <w:r>
              <w:t>v1.7 - UX4G Design System 3.0 made normative across all first-party ServiceForm experiences.</w:t>
            </w:r>
          </w:p>
        </w:tc>
      </w:tr>
      <w:tr>
        <w:trPr>
          <w:cantSplit/>
        </w:trPr>
        <w:tc>
          <w:tcPr>
            <w:tcW w:type="dxa" w:w="2880"/>
            <w:shd w:fill="EAF2F8"/>
            <w:tcMar>
              <w:top w:w="90" w:type="dxa"/>
              <w:start w:w="100" w:type="dxa"/>
              <w:bottom w:w="90" w:type="dxa"/>
              <w:end w:w="100" w:type="dxa"/>
            </w:tcMar>
            <w:vAlign w:val="center"/>
          </w:tcPr>
          <w:p>
            <w:pPr>
              <w:spacing w:after="40" w:before="40"/>
            </w:pPr>
            <w:r>
              <w:rPr>
                <w:b/>
                <w:sz w:val="17"/>
              </w:rPr>
              <w:t>Date</w:t>
            </w:r>
          </w:p>
        </w:tc>
        <w:tc>
          <w:tcPr>
            <w:tcW w:type="dxa" w:w="6768"/>
            <w:tcMar>
              <w:top w:w="90" w:type="dxa"/>
              <w:start w:w="100" w:type="dxa"/>
              <w:bottom w:w="90" w:type="dxa"/>
              <w:end w:w="100" w:type="dxa"/>
            </w:tcMar>
            <w:vAlign w:val="center"/>
          </w:tcPr>
          <w:p>
            <w:pPr>
              <w:spacing w:after="40" w:before="40"/>
            </w:pPr>
            <w:r>
              <w:rPr>
                <w:sz w:val="17"/>
              </w:rPr>
              <w:t>2 October 2026</w:t>
            </w:r>
          </w:p>
        </w:tc>
      </w:tr>
      <w:tr>
        <w:trPr>
          <w:cantSplit/>
        </w:trPr>
        <w:tc>
          <w:tcPr>
            <w:tcW w:type="dxa" w:w="2880"/>
            <w:shd w:fill="EAF2F8"/>
            <w:tcMar>
              <w:top w:w="90" w:type="dxa"/>
              <w:start w:w="100" w:type="dxa"/>
              <w:bottom w:w="90" w:type="dxa"/>
              <w:end w:w="100" w:type="dxa"/>
            </w:tcMar>
            <w:vAlign w:val="center"/>
          </w:tcPr>
          <w:p>
            <w:pPr>
              <w:spacing w:after="40" w:before="40"/>
            </w:pPr>
            <w:r>
              <w:rPr>
                <w:b/>
                <w:sz w:val="17"/>
              </w:rPr>
              <w:t>Initial cloud</w:t>
            </w:r>
          </w:p>
        </w:tc>
        <w:tc>
          <w:tcPr>
            <w:tcW w:type="dxa" w:w="6768"/>
            <w:tcMar>
              <w:top w:w="90" w:type="dxa"/>
              <w:start w:w="100" w:type="dxa"/>
              <w:bottom w:w="90" w:type="dxa"/>
              <w:end w:w="100" w:type="dxa"/>
            </w:tcMar>
            <w:vAlign w:val="center"/>
          </w:tcPr>
          <w:p>
            <w:pPr>
              <w:spacing w:after="40" w:before="40"/>
            </w:pPr>
            <w:r>
              <w:rPr>
                <w:sz w:val="17"/>
              </w:rPr>
              <w:t>Amazon Web Services (AWS)</w:t>
            </w:r>
          </w:p>
        </w:tc>
      </w:tr>
      <w:tr>
        <w:trPr>
          <w:cantSplit/>
        </w:trPr>
        <w:tc>
          <w:tcPr>
            <w:tcW w:type="dxa" w:w="2880"/>
            <w:shd w:fill="EAF2F8"/>
            <w:tcMar>
              <w:top w:w="90" w:type="dxa"/>
              <w:start w:w="100" w:type="dxa"/>
              <w:bottom w:w="90" w:type="dxa"/>
              <w:end w:w="100" w:type="dxa"/>
            </w:tcMar>
            <w:vAlign w:val="center"/>
          </w:tcPr>
          <w:p>
            <w:pPr>
              <w:spacing w:after="40" w:before="40"/>
            </w:pPr>
            <w:r>
              <w:rPr>
                <w:b/>
                <w:sz w:val="17"/>
              </w:rPr>
              <w:t>Primary application stack</w:t>
            </w:r>
          </w:p>
        </w:tc>
        <w:tc>
          <w:tcPr>
            <w:tcW w:type="dxa" w:w="6768"/>
            <w:tcMar>
              <w:top w:w="90" w:type="dxa"/>
              <w:start w:w="100" w:type="dxa"/>
              <w:bottom w:w="90" w:type="dxa"/>
              <w:end w:w="100" w:type="dxa"/>
            </w:tcMar>
            <w:vAlign w:val="center"/>
          </w:tcPr>
          <w:p>
            <w:pPr>
              <w:spacing w:after="40" w:before="40"/>
            </w:pPr>
            <w:r>
              <w:rPr>
                <w:sz w:val="17"/>
              </w:rPr>
              <w:t>Node.js + Fastify; React + Next.js; Flutter</w:t>
            </w:r>
          </w:p>
        </w:tc>
      </w:tr>
      <w:tr>
        <w:trPr>
          <w:cantSplit/>
        </w:trPr>
        <w:tc>
          <w:tcPr>
            <w:tcW w:type="dxa" w:w="2880"/>
            <w:shd w:fill="EAF2F8"/>
            <w:tcMar>
              <w:top w:w="90" w:type="dxa"/>
              <w:start w:w="100" w:type="dxa"/>
              <w:bottom w:w="90" w:type="dxa"/>
              <w:end w:w="100" w:type="dxa"/>
            </w:tcMar>
            <w:vAlign w:val="center"/>
          </w:tcPr>
          <w:p>
            <w:pPr>
              <w:spacing w:after="40" w:before="40"/>
            </w:pPr>
            <w:r>
              <w:rPr>
                <w:b/>
                <w:sz w:val="17"/>
              </w:rPr>
              <w:t>Intended consumers</w:t>
            </w:r>
          </w:p>
        </w:tc>
        <w:tc>
          <w:tcPr>
            <w:tcW w:type="dxa" w:w="6768"/>
            <w:tcMar>
              <w:top w:w="90" w:type="dxa"/>
              <w:start w:w="100" w:type="dxa"/>
              <w:bottom w:w="90" w:type="dxa"/>
              <w:end w:w="100" w:type="dxa"/>
            </w:tcMar>
            <w:vAlign w:val="center"/>
          </w:tcPr>
          <w:p>
            <w:pPr>
              <w:spacing w:after="40" w:before="40"/>
            </w:pPr>
            <w:r>
              <w:rPr>
                <w:sz w:val="17"/>
              </w:rPr>
              <w:t>Architecture, Engineering, Security, QA, DevOps, Cursor, GitHub Copilot and other coding agents</w:t>
            </w:r>
          </w:p>
        </w:tc>
      </w:tr>
      <w:tr>
        <w:trPr>
          <w:cantSplit/>
        </w:trPr>
        <w:tc>
          <w:tcPr>
            <w:tcW w:type="dxa" w:w="5083"/>
            <w:vAlign w:val="center"/>
            <w:tcMar>
              <w:top w:w="90" w:type="dxa"/>
              <w:start w:w="100" w:type="dxa"/>
              <w:bottom w:w="90" w:type="dxa"/>
              <w:end w:w="100" w:type="dxa"/>
            </w:tcMar>
            <w:shd w:fill="EAF2F8"/>
          </w:tcPr>
          <w:p>
            <w:pPr>
              <w:spacing w:after="40" w:before="40"/>
            </w:pPr>
            <w:r>
              <w:rPr>
                <w:b/>
                <w:sz w:val="17"/>
              </w:rPr>
              <w:t>Revision focus</w:t>
            </w:r>
          </w:p>
        </w:tc>
        <w:tc>
          <w:tcPr>
            <w:tcW w:type="dxa" w:w="5083"/>
            <w:vAlign w:val="center"/>
            <w:tcMar>
              <w:top w:w="90" w:type="dxa"/>
              <w:start w:w="100" w:type="dxa"/>
              <w:bottom w:w="90" w:type="dxa"/>
              <w:end w:w="100" w:type="dxa"/>
            </w:tcMar>
          </w:tcPr>
          <w:p>
            <w:r>
              <w:t>World-class platform extension: CMP-056 Scheduler, CMP-057 Assisted Service, CMP-058 Government Semantic Registry, CMP-059 Migration Workbench, CMP-060 Risk/Fraud/Integrity, CMP-061 Citizen Privacy Centre; BPMN 2.0 interoperability, signed service packages, long-running workflow migration and AI model/prompt/evaluation governance.</w:t>
            </w:r>
          </w:p>
        </w:tc>
      </w:tr>
    </w:tbl>
    <w:p>
      <w:r>
        <w:br w:type="page"/>
      </w:r>
    </w:p>
    <w:p>
      <w:pPr>
        <w:pStyle w:val="Heading1"/>
      </w:pPr>
      <w:r>
        <w:t>Document Map</w:t>
      </w:r>
    </w:p>
    <w:p>
      <w:pPr>
        <w:pStyle w:val="ListBullet"/>
      </w:pPr>
      <w:r>
        <w:rPr>
          <w:b w:val="0"/>
        </w:rPr>
        <w:t>21. World-Class Platform Extensions &amp; Benchmark Alignment</w:t>
      </w:r>
    </w:p>
    <w:p>
      <w:pPr>
        <w:pStyle w:val="ListBullet"/>
      </w:pPr>
      <w:r>
        <w:t>22. UX4G Design System Conformance &amp; ServiceForm Experience Contract</w:t>
      </w:r>
    </w:p>
    <w:p>
      <w:pPr>
        <w:pStyle w:val="ListBullet"/>
      </w:pPr>
      <w:r>
        <w:t>1. Executive Architecture Decisions</w:t>
      </w:r>
    </w:p>
    <w:p>
      <w:pPr>
        <w:pStyle w:val="ListBullet"/>
      </w:pPr>
      <w:r>
        <w:t>2. AWS Reference Deployment</w:t>
      </w:r>
    </w:p>
    <w:p>
      <w:pPr>
        <w:pStyle w:val="ListBullet"/>
      </w:pPr>
      <w:r>
        <w:t>3. Open-Source Component Decisions</w:t>
      </w:r>
    </w:p>
    <w:p>
      <w:pPr>
        <w:pStyle w:val="ListBullet"/>
      </w:pPr>
      <w:r>
        <w:t>4. India-Scale Non-Functional Requirements and 10K TPS Cloud Architecture</w:t>
      </w:r>
    </w:p>
    <w:p>
      <w:pPr>
        <w:pStyle w:val="ListBullet"/>
      </w:pPr>
      <w:r>
        <w:t>5. Cross-Cutting Engineering Invariants</w:t>
      </w:r>
    </w:p>
    <w:p>
      <w:pPr>
        <w:pStyle w:val="ListBullet"/>
      </w:pPr>
      <w:r>
        <w:t>6. Component Specifications (CMP-001 to CMP-061)</w:t>
      </w:r>
    </w:p>
    <w:p>
      <w:pPr>
        <w:pStyle w:val="Heading2"/>
      </w:pPr>
      <w:r>
        <w:rPr>
          <w:b w:val="0"/>
        </w:rPr>
        <w:t>CMP-056  Scheduler &amp; Appointment Service</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vAlign w:val="center"/>
            <w:tcMar>
              <w:top w:w="80" w:type="dxa"/>
              <w:start w:w="100" w:type="dxa"/>
              <w:bottom w:w="80" w:type="dxa"/>
              <w:end w:w="100" w:type="dxa"/>
            </w:tcMar>
          </w:tcPr>
          <w:p>
            <w:r>
              <w:rPr>
                <w:b w:val="0"/>
                <w:color w:val="333333"/>
                <w:sz w:val="17"/>
              </w:rPr>
              <w:t>Functional specification</w:t>
            </w:r>
          </w:p>
        </w:tc>
        <w:tc>
          <w:tcPr>
            <w:tcW w:type="dxa" w:w="7992"/>
            <w:vAlign w:val="center"/>
            <w:tcMar>
              <w:top w:w="80" w:type="dxa"/>
              <w:start w:w="100" w:type="dxa"/>
              <w:bottom w:w="80" w:type="dxa"/>
              <w:end w:w="100" w:type="dxa"/>
            </w:tcMar>
          </w:tcPr>
          <w:p>
            <w:r>
              <w:rPr>
                <w:b w:val="0"/>
                <w:color w:val="333333"/>
                <w:sz w:val="17"/>
              </w:rPr>
              <w:t>Provide reusable appointment, hearing, interview, counter-visit and inspection scheduling without embedding calendar logic inside individual services. Responsibilities: Appointment type and slot-template configuration; Office/resource/role capacity calendars; Book, reschedule, cancel and wait-list operations; Inspection/hearing/interview scheduling; Holiday, blackout and working-calendar integration; Reminder and no-show events.</w:t>
            </w:r>
          </w:p>
        </w:tc>
      </w:tr>
      <w:tr>
        <w:trPr>
          <w:cantSplit/>
        </w:trPr>
        <w:tc>
          <w:tcPr>
            <w:tcW w:type="dxa" w:w="2376"/>
            <w:vAlign w:val="center"/>
            <w:tcMar>
              <w:top w:w="80" w:type="dxa"/>
              <w:start w:w="100" w:type="dxa"/>
              <w:bottom w:w="80" w:type="dxa"/>
              <w:end w:w="100" w:type="dxa"/>
            </w:tcMar>
          </w:tcPr>
          <w:p>
            <w:r>
              <w:rPr>
                <w:b w:val="0"/>
                <w:color w:val="333333"/>
                <w:sz w:val="17"/>
              </w:rPr>
              <w:t>Technical specification</w:t>
            </w:r>
          </w:p>
        </w:tc>
        <w:tc>
          <w:tcPr>
            <w:tcW w:type="dxa" w:w="7992"/>
            <w:vAlign w:val="center"/>
            <w:tcMar>
              <w:top w:w="80" w:type="dxa"/>
              <w:start w:w="100" w:type="dxa"/>
              <w:bottom w:w="80" w:type="dxa"/>
              <w:end w:w="100" w:type="dxa"/>
            </w:tcMar>
          </w:tcPr>
          <w:p>
            <w:r>
              <w:rPr>
                <w:b w:val="0"/>
                <w:color w:val="333333"/>
                <w:sz w:val="17"/>
              </w:rPr>
              <w:t>Shared Domain Service. Slot search p95 &lt;500 ms for normal load; booking uses atomic capacity control and idempotency; calendar generation is cacheable and horizontally scalable. Authoritative data: appointment_type, schedule_template, resource_calendar, appointment, appointment_participant, appointment_event.</w:t>
            </w:r>
          </w:p>
        </w:tc>
      </w:tr>
      <w:tr>
        <w:trPr>
          <w:cantSplit/>
        </w:trPr>
        <w:tc>
          <w:tcPr>
            <w:tcW w:type="dxa" w:w="2376"/>
            <w:vAlign w:val="center"/>
            <w:tcMar>
              <w:top w:w="80" w:type="dxa"/>
              <w:start w:w="100" w:type="dxa"/>
              <w:bottom w:w="80" w:type="dxa"/>
              <w:end w:w="100" w:type="dxa"/>
            </w:tcMar>
          </w:tcPr>
          <w:p>
            <w:r>
              <w:rPr>
                <w:b w:val="0"/>
                <w:color w:val="333333"/>
                <w:sz w:val="17"/>
              </w:rPr>
              <w:t>Interfaces / events</w:t>
            </w:r>
          </w:p>
        </w:tc>
        <w:tc>
          <w:tcPr>
            <w:tcW w:type="dxa" w:w="7992"/>
            <w:vAlign w:val="center"/>
            <w:tcMar>
              <w:top w:w="80" w:type="dxa"/>
              <w:start w:w="100" w:type="dxa"/>
              <w:bottom w:w="80" w:type="dxa"/>
              <w:end w:w="100" w:type="dxa"/>
            </w:tcMar>
          </w:tcPr>
          <w:p>
            <w:r>
              <w:rPr>
                <w:b w:val="0"/>
                <w:color w:val="333333"/>
                <w:sz w:val="17"/>
              </w:rPr>
              <w:t>APIs: GET /appointments/slots, POST /appointments, POST /appointments/{id}/reschedule, POST /appointments/{id}/cancel, GET /appointments/{id}. Events: AppointmentBooked, AppointmentRescheduled, AppointmentCancelled, AppointmentCompleted, AppointmentNoShow.</w:t>
            </w:r>
          </w:p>
        </w:tc>
      </w:tr>
      <w:tr>
        <w:trPr>
          <w:cantSplit/>
        </w:trPr>
        <w:tc>
          <w:tcPr>
            <w:tcW w:type="dxa" w:w="2376"/>
            <w:vAlign w:val="center"/>
            <w:tcMar>
              <w:top w:w="80" w:type="dxa"/>
              <w:start w:w="100" w:type="dxa"/>
              <w:bottom w:w="80" w:type="dxa"/>
              <w:end w:w="100" w:type="dxa"/>
            </w:tcMar>
          </w:tcPr>
          <w:p>
            <w:r>
              <w:rPr>
                <w:b w:val="0"/>
                <w:color w:val="333333"/>
                <w:sz w:val="17"/>
              </w:rPr>
              <w:t>Data / tenancy / jurisdiction</w:t>
            </w:r>
          </w:p>
        </w:tc>
        <w:tc>
          <w:tcPr>
            <w:tcW w:type="dxa" w:w="7992"/>
            <w:vAlign w:val="center"/>
            <w:tcMar>
              <w:top w:w="80" w:type="dxa"/>
              <w:start w:w="100" w:type="dxa"/>
              <w:bottom w:w="80" w:type="dxa"/>
              <w:end w:w="100" w:type="dxa"/>
            </w:tcMar>
          </w:tcPr>
          <w:p>
            <w:r>
              <w:rPr>
                <w:b w:val="0"/>
                <w:color w:val="333333"/>
                <w:sz w:val="17"/>
              </w:rPr>
              <w:t>Tenant/service/office calendars and capacity are tenant scoped; public slot discovery exposes only published availability and never hidden officer calendars.</w:t>
            </w:r>
          </w:p>
        </w:tc>
      </w:tr>
      <w:tr>
        <w:trPr>
          <w:cantSplit/>
        </w:trPr>
        <w:tc>
          <w:tcPr>
            <w:tcW w:type="dxa" w:w="2376"/>
            <w:vAlign w:val="center"/>
            <w:tcMar>
              <w:top w:w="80" w:type="dxa"/>
              <w:start w:w="100" w:type="dxa"/>
              <w:bottom w:w="80" w:type="dxa"/>
              <w:end w:w="100" w:type="dxa"/>
            </w:tcMar>
          </w:tcPr>
          <w:p>
            <w:r>
              <w:rPr>
                <w:b w:val="0"/>
                <w:color w:val="333333"/>
                <w:sz w:val="17"/>
              </w:rPr>
              <w:t>Dependencies</w:t>
            </w:r>
          </w:p>
        </w:tc>
        <w:tc>
          <w:tcPr>
            <w:tcW w:type="dxa" w:w="7992"/>
            <w:vAlign w:val="center"/>
            <w:tcMar>
              <w:top w:w="80" w:type="dxa"/>
              <w:start w:w="100" w:type="dxa"/>
              <w:bottom w:w="80" w:type="dxa"/>
              <w:end w:w="100" w:type="dxa"/>
            </w:tcMar>
          </w:tcPr>
          <w:p>
            <w:r>
              <w:rPr>
                <w:b w:val="0"/>
                <w:color w:val="333333"/>
                <w:sz w:val="17"/>
              </w:rPr>
              <w:t>CMP-002 Tenant &amp; Organisation; CMP-003 Jurisdiction; CMP-017 Work Queue; CMP-025 Notification; CMP-029 SLA; CMP-048 Security</w:t>
            </w:r>
          </w:p>
        </w:tc>
      </w:tr>
      <w:tr>
        <w:trPr>
          <w:cantSplit/>
        </w:trPr>
        <w:tc>
          <w:tcPr>
            <w:tcW w:type="dxa" w:w="2376"/>
            <w:vAlign w:val="center"/>
            <w:tcMar>
              <w:top w:w="80" w:type="dxa"/>
              <w:start w:w="100" w:type="dxa"/>
              <w:bottom w:w="80" w:type="dxa"/>
              <w:end w:w="100" w:type="dxa"/>
            </w:tcMar>
          </w:tcPr>
          <w:p>
            <w:r>
              <w:rPr>
                <w:b w:val="0"/>
                <w:color w:val="333333"/>
                <w:sz w:val="17"/>
              </w:rPr>
              <w:t>Security / privacy</w:t>
            </w:r>
          </w:p>
        </w:tc>
        <w:tc>
          <w:tcPr>
            <w:tcW w:type="dxa" w:w="7992"/>
            <w:vAlign w:val="center"/>
            <w:tcMar>
              <w:top w:w="80" w:type="dxa"/>
              <w:start w:w="100" w:type="dxa"/>
              <w:bottom w:w="80" w:type="dxa"/>
              <w:end w:w="100" w:type="dxa"/>
            </w:tcMar>
          </w:tcPr>
          <w:p>
            <w:r>
              <w:rPr>
                <w:b w:val="0"/>
                <w:color w:val="333333"/>
                <w:sz w:val="17"/>
              </w:rPr>
              <w:t>Explicit boundaries: Does not own application/case decisions; Does not directly send SMS/email; uses Notification Service; Does not make officer authorization decisions; OPA remains authoritative. Failure controls: Concurrent last-slot booking; Calendar/provider outage; Officer/resource unavailable; Timezone/holiday mismatch; Duplicate booking command.</w:t>
            </w:r>
          </w:p>
        </w:tc>
      </w:tr>
      <w:tr>
        <w:trPr>
          <w:cantSplit/>
        </w:trPr>
        <w:tc>
          <w:tcPr>
            <w:tcW w:type="dxa" w:w="2376"/>
            <w:vAlign w:val="center"/>
            <w:tcMar>
              <w:top w:w="80" w:type="dxa"/>
              <w:start w:w="100" w:type="dxa"/>
              <w:bottom w:w="80" w:type="dxa"/>
              <w:end w:w="100" w:type="dxa"/>
            </w:tcMar>
          </w:tcPr>
          <w:p>
            <w:r>
              <w:rPr>
                <w:b w:val="0"/>
                <w:color w:val="333333"/>
                <w:sz w:val="17"/>
              </w:rPr>
              <w:t>Recommended implementation</w:t>
            </w:r>
          </w:p>
        </w:tc>
        <w:tc>
          <w:tcPr>
            <w:tcW w:type="dxa" w:w="7992"/>
            <w:vAlign w:val="center"/>
            <w:tcMar>
              <w:top w:w="80" w:type="dxa"/>
              <w:start w:w="100" w:type="dxa"/>
              <w:bottom w:w="80" w:type="dxa"/>
              <w:end w:w="100" w:type="dxa"/>
            </w:tcMar>
          </w:tcPr>
          <w:p>
            <w:r>
              <w:rPr>
                <w:b w:val="0"/>
                <w:color w:val="333333"/>
                <w:sz w:val="17"/>
              </w:rPr>
              <w:t>Custom ServiceForm component on Fastify/Aurora where stateful; reuse OPA, outbox, MSK/Temporal/Notification/Integration Hub contracts as applicable. Do not introduce a new database by default.</w:t>
            </w:r>
          </w:p>
        </w:tc>
      </w:tr>
      <w:tr>
        <w:trPr>
          <w:cantSplit/>
        </w:trPr>
        <w:tc>
          <w:tcPr>
            <w:tcW w:type="dxa" w:w="2376"/>
            <w:vAlign w:val="center"/>
            <w:tcMar>
              <w:top w:w="80" w:type="dxa"/>
              <w:start w:w="100" w:type="dxa"/>
              <w:bottom w:w="80" w:type="dxa"/>
              <w:end w:w="100" w:type="dxa"/>
            </w:tcMar>
          </w:tcPr>
          <w:p>
            <w:r>
              <w:rPr>
                <w:b w:val="0"/>
                <w:color w:val="333333"/>
                <w:sz w:val="17"/>
              </w:rPr>
              <w:t>AI build + acceptance contract</w:t>
            </w:r>
          </w:p>
        </w:tc>
        <w:tc>
          <w:tcPr>
            <w:tcW w:type="dxa" w:w="7992"/>
            <w:vAlign w:val="center"/>
            <w:tcMar>
              <w:top w:w="80" w:type="dxa"/>
              <w:start w:w="100" w:type="dxa"/>
              <w:bottom w:w="80" w:type="dxa"/>
              <w:end w:w="100" w:type="dxa"/>
            </w:tcMar>
          </w:tcPr>
          <w:p>
            <w:r>
              <w:rPr>
                <w:b w:val="0"/>
                <w:color w:val="333333"/>
                <w:sz w:val="17"/>
              </w:rPr>
              <w:t>Atomic capacity: two concurrent requests cannot overbook a single-capacity slot.; Appointment access is tenant/jurisdiction scoped and OPA protected.; Notification failure does not invalidate a committed booking.; Inspection/workflow can wait on appointment events without polling.</w:t>
            </w:r>
          </w:p>
        </w:tc>
      </w:tr>
    </w:tbl>
    <w:p>
      <w:pPr>
        <w:pStyle w:val="Heading2"/>
      </w:pPr>
      <w:r>
        <w:rPr>
          <w:b w:val="0"/>
        </w:rPr>
        <w:t>CMP-057  Assisted Service / Omnichannel Service</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vAlign w:val="center"/>
            <w:tcMar>
              <w:top w:w="80" w:type="dxa"/>
              <w:start w:w="100" w:type="dxa"/>
              <w:bottom w:w="80" w:type="dxa"/>
              <w:end w:w="100" w:type="dxa"/>
            </w:tcMar>
          </w:tcPr>
          <w:p>
            <w:r>
              <w:rPr>
                <w:b w:val="0"/>
                <w:color w:val="333333"/>
                <w:sz w:val="17"/>
              </w:rPr>
              <w:t>Functional specification</w:t>
            </w:r>
          </w:p>
        </w:tc>
        <w:tc>
          <w:tcPr>
            <w:tcW w:type="dxa" w:w="7992"/>
            <w:vAlign w:val="center"/>
            <w:tcMar>
              <w:top w:w="80" w:type="dxa"/>
              <w:start w:w="100" w:type="dxa"/>
              <w:bottom w:w="80" w:type="dxa"/>
              <w:end w:w="100" w:type="dxa"/>
            </w:tcMar>
          </w:tcPr>
          <w:p>
            <w:r>
              <w:rPr>
                <w:b w:val="0"/>
                <w:color w:val="333333"/>
                <w:sz w:val="17"/>
              </w:rPr>
              <w:t>Support legally auditable applications made with assistance through counters, CSC/kiosks, call centres, authorized representatives, guardians or institutional operators. Responsibilities: Assisted-application session lifecycle; Applicant-versus-operator identity separation; Representation/guardian/authorized-agent evidence; Counter/CSC/call-centre channel context; Assisted consent and read-back acknowledgement; Draft handoff between assisted and self-service channels.</w:t>
            </w:r>
          </w:p>
        </w:tc>
      </w:tr>
      <w:tr>
        <w:trPr>
          <w:cantSplit/>
        </w:trPr>
        <w:tc>
          <w:tcPr>
            <w:tcW w:type="dxa" w:w="2376"/>
            <w:vAlign w:val="center"/>
            <w:tcMar>
              <w:top w:w="80" w:type="dxa"/>
              <w:start w:w="100" w:type="dxa"/>
              <w:bottom w:w="80" w:type="dxa"/>
              <w:end w:w="100" w:type="dxa"/>
            </w:tcMar>
          </w:tcPr>
          <w:p>
            <w:r>
              <w:rPr>
                <w:b w:val="0"/>
                <w:color w:val="333333"/>
                <w:sz w:val="17"/>
              </w:rPr>
              <w:t>Technical specification</w:t>
            </w:r>
          </w:p>
        </w:tc>
        <w:tc>
          <w:tcPr>
            <w:tcW w:type="dxa" w:w="7992"/>
            <w:vAlign w:val="center"/>
            <w:tcMar>
              <w:top w:w="80" w:type="dxa"/>
              <w:start w:w="100" w:type="dxa"/>
              <w:bottom w:w="80" w:type="dxa"/>
              <w:end w:w="100" w:type="dxa"/>
            </w:tcMar>
          </w:tcPr>
          <w:p>
            <w:r>
              <w:rPr>
                <w:b w:val="0"/>
                <w:color w:val="333333"/>
                <w:sz w:val="17"/>
              </w:rPr>
              <w:t>Citizen &amp; Channel Domain. Counter UX must support intermittent networks and rapid citizen lookup without weakening identity, consent, tenant or audit controls. Authoritative data: assisted_session, representation_authority, channel_context, assisted_consent, operator_action_audit.</w:t>
            </w:r>
          </w:p>
        </w:tc>
      </w:tr>
      <w:tr>
        <w:trPr>
          <w:cantSplit/>
        </w:trPr>
        <w:tc>
          <w:tcPr>
            <w:tcW w:type="dxa" w:w="2376"/>
            <w:vAlign w:val="center"/>
            <w:tcMar>
              <w:top w:w="80" w:type="dxa"/>
              <w:start w:w="100" w:type="dxa"/>
              <w:bottom w:w="80" w:type="dxa"/>
              <w:end w:w="100" w:type="dxa"/>
            </w:tcMar>
          </w:tcPr>
          <w:p>
            <w:r>
              <w:rPr>
                <w:b w:val="0"/>
                <w:color w:val="333333"/>
                <w:sz w:val="17"/>
              </w:rPr>
              <w:t>Interfaces / events</w:t>
            </w:r>
          </w:p>
        </w:tc>
        <w:tc>
          <w:tcPr>
            <w:tcW w:type="dxa" w:w="7992"/>
            <w:vAlign w:val="center"/>
            <w:tcMar>
              <w:top w:w="80" w:type="dxa"/>
              <w:start w:w="100" w:type="dxa"/>
              <w:bottom w:w="80" w:type="dxa"/>
              <w:end w:w="100" w:type="dxa"/>
            </w:tcMar>
          </w:tcPr>
          <w:p>
            <w:r>
              <w:rPr>
                <w:b w:val="0"/>
                <w:color w:val="333333"/>
                <w:sz w:val="17"/>
              </w:rPr>
              <w:t>APIs: POST /assisted/sessions, POST /assisted/sessions/{id}/applicant, POST /assisted/sessions/{id}/representation, POST /assisted/sessions/{id}/handoff, GET /assisted/sessions/{id}. Events: AssistedSessionStarted, RepresentationVerified, AssistedApplicationSubmitted, AssistedSessionHandedOff.</w:t>
            </w:r>
          </w:p>
        </w:tc>
      </w:tr>
      <w:tr>
        <w:trPr>
          <w:cantSplit/>
        </w:trPr>
        <w:tc>
          <w:tcPr>
            <w:tcW w:type="dxa" w:w="2376"/>
            <w:vAlign w:val="center"/>
            <w:tcMar>
              <w:top w:w="80" w:type="dxa"/>
              <w:start w:w="100" w:type="dxa"/>
              <w:bottom w:w="80" w:type="dxa"/>
              <w:end w:w="100" w:type="dxa"/>
            </w:tcMar>
          </w:tcPr>
          <w:p>
            <w:r>
              <w:rPr>
                <w:b w:val="0"/>
                <w:color w:val="333333"/>
                <w:sz w:val="17"/>
              </w:rPr>
              <w:t>Data / tenancy / jurisdiction</w:t>
            </w:r>
          </w:p>
        </w:tc>
        <w:tc>
          <w:tcPr>
            <w:tcW w:type="dxa" w:w="7992"/>
            <w:vAlign w:val="center"/>
            <w:tcMar>
              <w:top w:w="80" w:type="dxa"/>
              <w:start w:w="100" w:type="dxa"/>
              <w:bottom w:w="80" w:type="dxa"/>
              <w:end w:w="100" w:type="dxa"/>
            </w:tcMar>
          </w:tcPr>
          <w:p>
            <w:r>
              <w:rPr>
                <w:b w:val="0"/>
                <w:color w:val="333333"/>
                <w:sz w:val="17"/>
              </w:rPr>
              <w:t>Assisted operators are tenant/organisation/office scoped. Every transaction records applied_by, applied_for, representation basis, channel, consent and operator context.</w:t>
            </w:r>
          </w:p>
        </w:tc>
      </w:tr>
      <w:tr>
        <w:trPr>
          <w:cantSplit/>
        </w:trPr>
        <w:tc>
          <w:tcPr>
            <w:tcW w:type="dxa" w:w="2376"/>
            <w:vAlign w:val="center"/>
            <w:tcMar>
              <w:top w:w="80" w:type="dxa"/>
              <w:start w:w="100" w:type="dxa"/>
              <w:bottom w:w="80" w:type="dxa"/>
              <w:end w:w="100" w:type="dxa"/>
            </w:tcMar>
          </w:tcPr>
          <w:p>
            <w:r>
              <w:rPr>
                <w:b w:val="0"/>
                <w:color w:val="333333"/>
                <w:sz w:val="17"/>
              </w:rPr>
              <w:t>Dependencies</w:t>
            </w:r>
          </w:p>
        </w:tc>
        <w:tc>
          <w:tcPr>
            <w:tcW w:type="dxa" w:w="7992"/>
            <w:vAlign w:val="center"/>
            <w:tcMar>
              <w:top w:w="80" w:type="dxa"/>
              <w:start w:w="100" w:type="dxa"/>
              <w:bottom w:w="80" w:type="dxa"/>
              <w:end w:w="100" w:type="dxa"/>
            </w:tcMar>
          </w:tcPr>
          <w:p>
            <w:r>
              <w:rPr>
                <w:b w:val="0"/>
                <w:color w:val="333333"/>
                <w:sz w:val="17"/>
              </w:rPr>
              <w:t>CMP-004 Identity; CMP-005 Citizen Profile; CMP-015 Application; CMP-030 Consent; CMP-031 Audit; CMP-048 Security</w:t>
            </w:r>
          </w:p>
        </w:tc>
      </w:tr>
      <w:tr>
        <w:trPr>
          <w:cantSplit/>
        </w:trPr>
        <w:tc>
          <w:tcPr>
            <w:tcW w:type="dxa" w:w="2376"/>
            <w:vAlign w:val="center"/>
            <w:tcMar>
              <w:top w:w="80" w:type="dxa"/>
              <w:start w:w="100" w:type="dxa"/>
              <w:bottom w:w="80" w:type="dxa"/>
              <w:end w:w="100" w:type="dxa"/>
            </w:tcMar>
          </w:tcPr>
          <w:p>
            <w:r>
              <w:rPr>
                <w:b w:val="0"/>
                <w:color w:val="333333"/>
                <w:sz w:val="17"/>
              </w:rPr>
              <w:t>Security / privacy</w:t>
            </w:r>
          </w:p>
        </w:tc>
        <w:tc>
          <w:tcPr>
            <w:tcW w:type="dxa" w:w="7992"/>
            <w:vAlign w:val="center"/>
            <w:tcMar>
              <w:top w:w="80" w:type="dxa"/>
              <w:start w:w="100" w:type="dxa"/>
              <w:bottom w:w="80" w:type="dxa"/>
              <w:end w:w="100" w:type="dxa"/>
            </w:tcMar>
          </w:tcPr>
          <w:p>
            <w:r>
              <w:rPr>
                <w:b w:val="0"/>
                <w:color w:val="333333"/>
                <w:sz w:val="17"/>
              </w:rPr>
              <w:t>Explicit boundaries: Does not allow operators to impersonate citizens silently; Does not bypass statutory identity/assurance requirements; Does not grant cross-tenant access to operators. Failure controls: Operator attempts self-approval; Representation expired; Applicant/operator tenant mismatch; Consent not captured; Handoff token misuse.</w:t>
            </w:r>
          </w:p>
        </w:tc>
      </w:tr>
      <w:tr>
        <w:trPr>
          <w:cantSplit/>
        </w:trPr>
        <w:tc>
          <w:tcPr>
            <w:tcW w:type="dxa" w:w="2376"/>
            <w:vAlign w:val="center"/>
            <w:tcMar>
              <w:top w:w="80" w:type="dxa"/>
              <w:start w:w="100" w:type="dxa"/>
              <w:bottom w:w="80" w:type="dxa"/>
              <w:end w:w="100" w:type="dxa"/>
            </w:tcMar>
          </w:tcPr>
          <w:p>
            <w:r>
              <w:rPr>
                <w:b w:val="0"/>
                <w:color w:val="333333"/>
                <w:sz w:val="17"/>
              </w:rPr>
              <w:t>Recommended implementation</w:t>
            </w:r>
          </w:p>
        </w:tc>
        <w:tc>
          <w:tcPr>
            <w:tcW w:type="dxa" w:w="7992"/>
            <w:vAlign w:val="center"/>
            <w:tcMar>
              <w:top w:w="80" w:type="dxa"/>
              <w:start w:w="100" w:type="dxa"/>
              <w:bottom w:w="80" w:type="dxa"/>
              <w:end w:w="100" w:type="dxa"/>
            </w:tcMar>
          </w:tcPr>
          <w:p>
            <w:r>
              <w:rPr>
                <w:b w:val="0"/>
                <w:color w:val="333333"/>
                <w:sz w:val="17"/>
              </w:rPr>
              <w:t>Custom ServiceForm component on Fastify/Aurora where stateful; reuse OPA, outbox, MSK/Temporal/Notification/Integration Hub contracts as applicable. Do not introduce a new database by default.</w:t>
            </w:r>
          </w:p>
        </w:tc>
      </w:tr>
      <w:tr>
        <w:trPr>
          <w:cantSplit/>
        </w:trPr>
        <w:tc>
          <w:tcPr>
            <w:tcW w:type="dxa" w:w="2376"/>
            <w:vAlign w:val="center"/>
            <w:tcMar>
              <w:top w:w="80" w:type="dxa"/>
              <w:start w:w="100" w:type="dxa"/>
              <w:bottom w:w="80" w:type="dxa"/>
              <w:end w:w="100" w:type="dxa"/>
            </w:tcMar>
          </w:tcPr>
          <w:p>
            <w:r>
              <w:rPr>
                <w:b w:val="0"/>
                <w:color w:val="333333"/>
                <w:sz w:val="17"/>
              </w:rPr>
              <w:t>AI build + acceptance contract</w:t>
            </w:r>
          </w:p>
        </w:tc>
        <w:tc>
          <w:tcPr>
            <w:tcW w:type="dxa" w:w="7992"/>
            <w:vAlign w:val="center"/>
            <w:tcMar>
              <w:top w:w="80" w:type="dxa"/>
              <w:start w:w="100" w:type="dxa"/>
              <w:bottom w:w="80" w:type="dxa"/>
              <w:end w:w="100" w:type="dxa"/>
            </w:tcMar>
          </w:tcPr>
          <w:p>
            <w:r>
              <w:rPr>
                <w:b w:val="0"/>
                <w:color w:val="333333"/>
                <w:sz w:val="17"/>
              </w:rPr>
              <w:t>Every assisted application can prove who applied, for whom, under what authority and through which channel.; Operator cannot exceed OPA role/jurisdiction scope.; Citizen can resume an eligible assisted draft through self-service without changing citizen_id or application identity.</w:t>
            </w:r>
          </w:p>
        </w:tc>
      </w:tr>
    </w:tbl>
    <w:p>
      <w:pPr>
        <w:pStyle w:val="Heading2"/>
      </w:pPr>
      <w:r>
        <w:rPr>
          <w:b w:val="0"/>
        </w:rPr>
        <w:t>CMP-058  Government Semantic &amp; Data Dictionary Registry</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vAlign w:val="center"/>
            <w:tcMar>
              <w:top w:w="80" w:type="dxa"/>
              <w:start w:w="100" w:type="dxa"/>
              <w:bottom w:w="80" w:type="dxa"/>
              <w:end w:w="100" w:type="dxa"/>
            </w:tcMar>
          </w:tcPr>
          <w:p>
            <w:r>
              <w:rPr>
                <w:b w:val="0"/>
                <w:color w:val="333333"/>
                <w:sz w:val="17"/>
              </w:rPr>
              <w:t>Functional specification</w:t>
            </w:r>
          </w:p>
        </w:tc>
        <w:tc>
          <w:tcPr>
            <w:tcW w:type="dxa" w:w="7992"/>
            <w:vAlign w:val="center"/>
            <w:tcMar>
              <w:top w:w="80" w:type="dxa"/>
              <w:start w:w="100" w:type="dxa"/>
              <w:bottom w:w="80" w:type="dxa"/>
              <w:end w:w="100" w:type="dxa"/>
            </w:tcMar>
          </w:tcPr>
          <w:p>
            <w:r>
              <w:rPr>
                <w:b w:val="0"/>
                <w:color w:val="333333"/>
                <w:sz w:val="17"/>
              </w:rPr>
              <w:t>Define canonical government data elements, code lists, validation semantics, privacy classification and translations so services reuse common meanings instead of inventing field variants. Responsibilities: Canonical data-element registry; Datatype/format/validation metadata; Privacy/purpose/retention classification defaults; Reference/code-list binding; Multilingual labels and aliases; Mapping from legacy/local fields to canonical elements.</w:t>
            </w:r>
          </w:p>
        </w:tc>
      </w:tr>
      <w:tr>
        <w:trPr>
          <w:cantSplit/>
        </w:trPr>
        <w:tc>
          <w:tcPr>
            <w:tcW w:type="dxa" w:w="2376"/>
            <w:vAlign w:val="center"/>
            <w:tcMar>
              <w:top w:w="80" w:type="dxa"/>
              <w:start w:w="100" w:type="dxa"/>
              <w:bottom w:w="80" w:type="dxa"/>
              <w:end w:w="100" w:type="dxa"/>
            </w:tcMar>
          </w:tcPr>
          <w:p>
            <w:r>
              <w:rPr>
                <w:b w:val="0"/>
                <w:color w:val="333333"/>
                <w:sz w:val="17"/>
              </w:rPr>
              <w:t>Technical specification</w:t>
            </w:r>
          </w:p>
        </w:tc>
        <w:tc>
          <w:tcPr>
            <w:tcW w:type="dxa" w:w="7992"/>
            <w:vAlign w:val="center"/>
            <w:tcMar>
              <w:top w:w="80" w:type="dxa"/>
              <w:start w:w="100" w:type="dxa"/>
              <w:bottom w:w="80" w:type="dxa"/>
              <w:end w:w="100" w:type="dxa"/>
            </w:tcMar>
          </w:tcPr>
          <w:p>
            <w:r>
              <w:rPr>
                <w:b w:val="0"/>
                <w:color w:val="333333"/>
                <w:sz w:val="17"/>
              </w:rPr>
              <w:t>Control Plane / Semantic Governance. Highly cacheable read path; publication and dependency validation strongly consistent; schema changes versioned and impact-analyzed. Authoritative data: semantic_element, semantic_version, semantic_alias, semantic_mapping, code_list_binding, semantic_usage.</w:t>
            </w:r>
          </w:p>
        </w:tc>
      </w:tr>
      <w:tr>
        <w:trPr>
          <w:cantSplit/>
        </w:trPr>
        <w:tc>
          <w:tcPr>
            <w:tcW w:type="dxa" w:w="2376"/>
            <w:vAlign w:val="center"/>
            <w:tcMar>
              <w:top w:w="80" w:type="dxa"/>
              <w:start w:w="100" w:type="dxa"/>
              <w:bottom w:w="80" w:type="dxa"/>
              <w:end w:w="100" w:type="dxa"/>
            </w:tcMar>
          </w:tcPr>
          <w:p>
            <w:r>
              <w:rPr>
                <w:b w:val="0"/>
                <w:color w:val="333333"/>
                <w:sz w:val="17"/>
              </w:rPr>
              <w:t>Interfaces / events</w:t>
            </w:r>
          </w:p>
        </w:tc>
        <w:tc>
          <w:tcPr>
            <w:tcW w:type="dxa" w:w="7992"/>
            <w:vAlign w:val="center"/>
            <w:tcMar>
              <w:top w:w="80" w:type="dxa"/>
              <w:start w:w="100" w:type="dxa"/>
              <w:bottom w:w="80" w:type="dxa"/>
              <w:end w:w="100" w:type="dxa"/>
            </w:tcMar>
          </w:tcPr>
          <w:p>
            <w:r>
              <w:rPr>
                <w:b w:val="0"/>
                <w:color w:val="333333"/>
                <w:sz w:val="17"/>
              </w:rPr>
              <w:t>APIs: GET /semantics/elements, GET /semantics/elements/{id}, POST /admin/semantics/elements, POST /semantics/mappings/validate, GET /semantics/usage/{id}. Events: SemanticElementPublished, SemanticElementDeprecated, SemanticMappingPublished.</w:t>
            </w:r>
          </w:p>
        </w:tc>
      </w:tr>
      <w:tr>
        <w:trPr>
          <w:cantSplit/>
        </w:trPr>
        <w:tc>
          <w:tcPr>
            <w:tcW w:type="dxa" w:w="2376"/>
            <w:vAlign w:val="center"/>
            <w:tcMar>
              <w:top w:w="80" w:type="dxa"/>
              <w:start w:w="100" w:type="dxa"/>
              <w:bottom w:w="80" w:type="dxa"/>
              <w:end w:w="100" w:type="dxa"/>
            </w:tcMar>
          </w:tcPr>
          <w:p>
            <w:r>
              <w:rPr>
                <w:b w:val="0"/>
                <w:color w:val="333333"/>
                <w:sz w:val="17"/>
              </w:rPr>
              <w:t>Data / tenancy / jurisdiction</w:t>
            </w:r>
          </w:p>
        </w:tc>
        <w:tc>
          <w:tcPr>
            <w:tcW w:type="dxa" w:w="7992"/>
            <w:vAlign w:val="center"/>
            <w:tcMar>
              <w:top w:w="80" w:type="dxa"/>
              <w:start w:w="100" w:type="dxa"/>
              <w:bottom w:w="80" w:type="dxa"/>
              <w:end w:w="100" w:type="dxa"/>
            </w:tcMar>
          </w:tcPr>
          <w:p>
            <w:r>
              <w:rPr>
                <w:b w:val="0"/>
                <w:color w:val="333333"/>
                <w:sz w:val="17"/>
              </w:rPr>
              <w:t>Core semantic elements are global/versioned; tenant extensions are namespaced and cannot silently redefine canonical semantics.</w:t>
            </w:r>
          </w:p>
        </w:tc>
      </w:tr>
      <w:tr>
        <w:trPr>
          <w:cantSplit/>
        </w:trPr>
        <w:tc>
          <w:tcPr>
            <w:tcW w:type="dxa" w:w="2376"/>
            <w:vAlign w:val="center"/>
            <w:tcMar>
              <w:top w:w="80" w:type="dxa"/>
              <w:start w:w="100" w:type="dxa"/>
              <w:bottom w:w="80" w:type="dxa"/>
              <w:end w:w="100" w:type="dxa"/>
            </w:tcMar>
          </w:tcPr>
          <w:p>
            <w:r>
              <w:rPr>
                <w:b w:val="0"/>
                <w:color w:val="333333"/>
                <w:sz w:val="17"/>
              </w:rPr>
              <w:t>Dependencies</w:t>
            </w:r>
          </w:p>
        </w:tc>
        <w:tc>
          <w:tcPr>
            <w:tcW w:type="dxa" w:w="7992"/>
            <w:vAlign w:val="center"/>
            <w:tcMar>
              <w:top w:w="80" w:type="dxa"/>
              <w:start w:w="100" w:type="dxa"/>
              <w:bottom w:w="80" w:type="dxa"/>
              <w:end w:w="100" w:type="dxa"/>
            </w:tcMar>
          </w:tcPr>
          <w:p>
            <w:r>
              <w:rPr>
                <w:b w:val="0"/>
                <w:color w:val="333333"/>
                <w:sz w:val="17"/>
              </w:rPr>
              <w:t>CMP-009 Forms; CMP-033 Metadata; CMP-034 Master Data; CMP-053 Localization; CMP-030 Consent</w:t>
            </w:r>
          </w:p>
        </w:tc>
      </w:tr>
      <w:tr>
        <w:trPr>
          <w:cantSplit/>
        </w:trPr>
        <w:tc>
          <w:tcPr>
            <w:tcW w:type="dxa" w:w="2376"/>
            <w:vAlign w:val="center"/>
            <w:tcMar>
              <w:top w:w="80" w:type="dxa"/>
              <w:start w:w="100" w:type="dxa"/>
              <w:bottom w:w="80" w:type="dxa"/>
              <w:end w:w="100" w:type="dxa"/>
            </w:tcMar>
          </w:tcPr>
          <w:p>
            <w:r>
              <w:rPr>
                <w:b w:val="0"/>
                <w:color w:val="333333"/>
                <w:sz w:val="17"/>
              </w:rPr>
              <w:t>Security / privacy</w:t>
            </w:r>
          </w:p>
        </w:tc>
        <w:tc>
          <w:tcPr>
            <w:tcW w:type="dxa" w:w="7992"/>
            <w:vAlign w:val="center"/>
            <w:tcMar>
              <w:top w:w="80" w:type="dxa"/>
              <w:start w:w="100" w:type="dxa"/>
              <w:bottom w:w="80" w:type="dxa"/>
              <w:end w:w="100" w:type="dxa"/>
            </w:tcMar>
          </w:tcPr>
          <w:p>
            <w:r>
              <w:rPr>
                <w:b w:val="0"/>
                <w:color w:val="333333"/>
                <w:sz w:val="17"/>
              </w:rPr>
              <w:t>Explicit boundaries: Does not store citizen field values; Does not replace service-specific rules; Does not permit incompatible tenant overrides of canonical meaning. Failure controls: Duplicate/conflicting definition; Breaking semantic change; Unknown code-list version; Tenant attempts canonical override.</w:t>
            </w:r>
          </w:p>
        </w:tc>
      </w:tr>
      <w:tr>
        <w:trPr>
          <w:cantSplit/>
        </w:trPr>
        <w:tc>
          <w:tcPr>
            <w:tcW w:type="dxa" w:w="2376"/>
            <w:vAlign w:val="center"/>
            <w:tcMar>
              <w:top w:w="80" w:type="dxa"/>
              <w:start w:w="100" w:type="dxa"/>
              <w:bottom w:w="80" w:type="dxa"/>
              <w:end w:w="100" w:type="dxa"/>
            </w:tcMar>
          </w:tcPr>
          <w:p>
            <w:r>
              <w:rPr>
                <w:b w:val="0"/>
                <w:color w:val="333333"/>
                <w:sz w:val="17"/>
              </w:rPr>
              <w:t>Recommended implementation</w:t>
            </w:r>
          </w:p>
        </w:tc>
        <w:tc>
          <w:tcPr>
            <w:tcW w:type="dxa" w:w="7992"/>
            <w:vAlign w:val="center"/>
            <w:tcMar>
              <w:top w:w="80" w:type="dxa"/>
              <w:start w:w="100" w:type="dxa"/>
              <w:bottom w:w="80" w:type="dxa"/>
              <w:end w:w="100" w:type="dxa"/>
            </w:tcMar>
          </w:tcPr>
          <w:p>
            <w:r>
              <w:rPr>
                <w:b w:val="0"/>
                <w:color w:val="333333"/>
                <w:sz w:val="17"/>
              </w:rPr>
              <w:t>Custom ServiceForm component on Fastify/Aurora where stateful; reuse OPA, outbox, MSK/Temporal/Notification/Integration Hub contracts as applicable. Do not introduce a new database by default.</w:t>
            </w:r>
          </w:p>
        </w:tc>
      </w:tr>
      <w:tr>
        <w:trPr>
          <w:cantSplit/>
        </w:trPr>
        <w:tc>
          <w:tcPr>
            <w:tcW w:type="dxa" w:w="2376"/>
            <w:vAlign w:val="center"/>
            <w:tcMar>
              <w:top w:w="80" w:type="dxa"/>
              <w:start w:w="100" w:type="dxa"/>
              <w:bottom w:w="80" w:type="dxa"/>
              <w:end w:w="100" w:type="dxa"/>
            </w:tcMar>
          </w:tcPr>
          <w:p>
            <w:r>
              <w:rPr>
                <w:b w:val="0"/>
                <w:color w:val="333333"/>
                <w:sz w:val="17"/>
              </w:rPr>
              <w:t>AI build + acceptance contract</w:t>
            </w:r>
          </w:p>
        </w:tc>
        <w:tc>
          <w:tcPr>
            <w:tcW w:type="dxa" w:w="7992"/>
            <w:vAlign w:val="center"/>
            <w:tcMar>
              <w:top w:w="80" w:type="dxa"/>
              <w:start w:w="100" w:type="dxa"/>
              <w:bottom w:w="80" w:type="dxa"/>
              <w:end w:w="100" w:type="dxa"/>
            </w:tcMar>
          </w:tcPr>
          <w:p>
            <w:r>
              <w:rPr>
                <w:b w:val="0"/>
                <w:color w:val="333333"/>
                <w:sz w:val="17"/>
              </w:rPr>
              <w:t>Studio can bind common fields to canonical semantic IDs.; Impact analysis identifies every published service using a semantic version before deprecation.; Legacy aliases map without changing canonical meaning.</w:t>
            </w:r>
          </w:p>
        </w:tc>
      </w:tr>
    </w:tbl>
    <w:p>
      <w:pPr>
        <w:pStyle w:val="Heading2"/>
      </w:pPr>
      <w:r>
        <w:rPr>
          <w:b w:val="0"/>
        </w:rPr>
        <w:t>CMP-059  Migration &amp; Legacy Onboarding Workbench</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vAlign w:val="center"/>
            <w:tcMar>
              <w:top w:w="80" w:type="dxa"/>
              <w:start w:w="100" w:type="dxa"/>
              <w:bottom w:w="80" w:type="dxa"/>
              <w:end w:w="100" w:type="dxa"/>
            </w:tcMar>
          </w:tcPr>
          <w:p>
            <w:r>
              <w:rPr>
                <w:b w:val="0"/>
                <w:color w:val="333333"/>
                <w:sz w:val="17"/>
              </w:rPr>
              <w:t>Functional specification</w:t>
            </w:r>
          </w:p>
        </w:tc>
        <w:tc>
          <w:tcPr>
            <w:tcW w:type="dxa" w:w="7992"/>
            <w:vAlign w:val="center"/>
            <w:tcMar>
              <w:top w:w="80" w:type="dxa"/>
              <w:start w:w="100" w:type="dxa"/>
              <w:bottom w:w="80" w:type="dxa"/>
              <w:end w:w="100" w:type="dxa"/>
            </w:tcMar>
          </w:tcPr>
          <w:p>
            <w:r>
              <w:rPr>
                <w:b w:val="0"/>
                <w:color w:val="333333"/>
                <w:sz w:val="17"/>
              </w:rPr>
              <w:t>Migrate legacy forms, workflows, service definitions and data into canonical ServiceForm models with mapping, rehearsal, reconciliation and rollback evidence. Responsibilities: Source inventory and profiling; Legacy-to-canonical field/semantic mapping; PDF/form/workflow/config import assistance; Dry-run and migration rehearsal; Data quality/reconciliation reports; Cutover, rollback and archival manifests.</w:t>
            </w:r>
          </w:p>
        </w:tc>
      </w:tr>
      <w:tr>
        <w:trPr>
          <w:cantSplit/>
        </w:trPr>
        <w:tc>
          <w:tcPr>
            <w:tcW w:type="dxa" w:w="2376"/>
            <w:vAlign w:val="center"/>
            <w:tcMar>
              <w:top w:w="80" w:type="dxa"/>
              <w:start w:w="100" w:type="dxa"/>
              <w:bottom w:w="80" w:type="dxa"/>
              <w:end w:w="100" w:type="dxa"/>
            </w:tcMar>
          </w:tcPr>
          <w:p>
            <w:r>
              <w:rPr>
                <w:b w:val="0"/>
                <w:color w:val="333333"/>
                <w:sz w:val="17"/>
              </w:rPr>
              <w:t>Technical specification</w:t>
            </w:r>
          </w:p>
        </w:tc>
        <w:tc>
          <w:tcPr>
            <w:tcW w:type="dxa" w:w="7992"/>
            <w:vAlign w:val="center"/>
            <w:tcMar>
              <w:top w:w="80" w:type="dxa"/>
              <w:start w:w="100" w:type="dxa"/>
              <w:bottom w:w="80" w:type="dxa"/>
              <w:end w:w="100" w:type="dxa"/>
            </w:tcMar>
          </w:tcPr>
          <w:p>
            <w:r>
              <w:rPr>
                <w:b w:val="0"/>
                <w:color w:val="333333"/>
                <w:sz w:val="17"/>
              </w:rPr>
              <w:t>Engineering / Transformation Platform. Bulk operations are resumable, checkpointed and reconciliation-driven; no unbounded direct writes into production domain tables. Authoritative data: migration_project, source_profile, mapping_spec, migration_batch, reconciliation_result, cutover_manifest.</w:t>
            </w:r>
          </w:p>
        </w:tc>
      </w:tr>
      <w:tr>
        <w:trPr>
          <w:cantSplit/>
        </w:trPr>
        <w:tc>
          <w:tcPr>
            <w:tcW w:type="dxa" w:w="2376"/>
            <w:vAlign w:val="center"/>
            <w:tcMar>
              <w:top w:w="80" w:type="dxa"/>
              <w:start w:w="100" w:type="dxa"/>
              <w:bottom w:w="80" w:type="dxa"/>
              <w:end w:w="100" w:type="dxa"/>
            </w:tcMar>
          </w:tcPr>
          <w:p>
            <w:r>
              <w:rPr>
                <w:b w:val="0"/>
                <w:color w:val="333333"/>
                <w:sz w:val="17"/>
              </w:rPr>
              <w:t>Interfaces / events</w:t>
            </w:r>
          </w:p>
        </w:tc>
        <w:tc>
          <w:tcPr>
            <w:tcW w:type="dxa" w:w="7992"/>
            <w:vAlign w:val="center"/>
            <w:tcMar>
              <w:top w:w="80" w:type="dxa"/>
              <w:start w:w="100" w:type="dxa"/>
              <w:bottom w:w="80" w:type="dxa"/>
              <w:end w:w="100" w:type="dxa"/>
            </w:tcMar>
          </w:tcPr>
          <w:p>
            <w:r>
              <w:rPr>
                <w:b w:val="0"/>
                <w:color w:val="333333"/>
                <w:sz w:val="17"/>
              </w:rPr>
              <w:t>APIs: POST /migrations/projects, POST /migrations/{id}/profile, POST /migrations/{id}/map, POST /migrations/{id}/dry-run, POST /migrations/{id}/execute, GET /migrations/{id}/reconciliation. Events: MigrationDryRunCompleted, MigrationBatchApplied, MigrationReconciliationFailed, MigrationCompleted.</w:t>
            </w:r>
          </w:p>
        </w:tc>
      </w:tr>
      <w:tr>
        <w:trPr>
          <w:cantSplit/>
        </w:trPr>
        <w:tc>
          <w:tcPr>
            <w:tcW w:type="dxa" w:w="2376"/>
            <w:vAlign w:val="center"/>
            <w:tcMar>
              <w:top w:w="80" w:type="dxa"/>
              <w:start w:w="100" w:type="dxa"/>
              <w:bottom w:w="80" w:type="dxa"/>
              <w:end w:w="100" w:type="dxa"/>
            </w:tcMar>
          </w:tcPr>
          <w:p>
            <w:r>
              <w:rPr>
                <w:b w:val="0"/>
                <w:color w:val="333333"/>
                <w:sz w:val="17"/>
              </w:rPr>
              <w:t>Data / tenancy / jurisdiction</w:t>
            </w:r>
          </w:p>
        </w:tc>
        <w:tc>
          <w:tcPr>
            <w:tcW w:type="dxa" w:w="7992"/>
            <w:vAlign w:val="center"/>
            <w:tcMar>
              <w:top w:w="80" w:type="dxa"/>
              <w:start w:w="100" w:type="dxa"/>
              <w:bottom w:w="80" w:type="dxa"/>
              <w:end w:w="100" w:type="dxa"/>
            </w:tcMar>
          </w:tcPr>
          <w:p>
            <w:r>
              <w:rPr>
                <w:b w:val="0"/>
                <w:color w:val="333333"/>
                <w:sz w:val="17"/>
              </w:rPr>
              <w:t>Migration projects are tenant/source-system scoped and use isolated staging areas; production writes require approved migration plans and audited execution.</w:t>
            </w:r>
          </w:p>
        </w:tc>
      </w:tr>
      <w:tr>
        <w:trPr>
          <w:cantSplit/>
        </w:trPr>
        <w:tc>
          <w:tcPr>
            <w:tcW w:type="dxa" w:w="2376"/>
            <w:vAlign w:val="center"/>
            <w:tcMar>
              <w:top w:w="80" w:type="dxa"/>
              <w:start w:w="100" w:type="dxa"/>
              <w:bottom w:w="80" w:type="dxa"/>
              <w:end w:w="100" w:type="dxa"/>
            </w:tcMar>
          </w:tcPr>
          <w:p>
            <w:r>
              <w:rPr>
                <w:b w:val="0"/>
                <w:color w:val="333333"/>
                <w:sz w:val="17"/>
              </w:rPr>
              <w:t>Dependencies</w:t>
            </w:r>
          </w:p>
        </w:tc>
        <w:tc>
          <w:tcPr>
            <w:tcW w:type="dxa" w:w="7992"/>
            <w:vAlign w:val="center"/>
            <w:tcMar>
              <w:top w:w="80" w:type="dxa"/>
              <w:start w:w="100" w:type="dxa"/>
              <w:bottom w:w="80" w:type="dxa"/>
              <w:end w:w="100" w:type="dxa"/>
            </w:tcMar>
          </w:tcPr>
          <w:p>
            <w:r>
              <w:rPr>
                <w:b w:val="0"/>
                <w:color w:val="333333"/>
                <w:sz w:val="17"/>
              </w:rPr>
              <w:t>CMP-033 Metadata; CMP-052 Version Registry; CMP-058 Semantic Registry; CMP-037 Integration Hub; CMP-031 Audit</w:t>
            </w:r>
          </w:p>
        </w:tc>
      </w:tr>
      <w:tr>
        <w:trPr>
          <w:cantSplit/>
        </w:trPr>
        <w:tc>
          <w:tcPr>
            <w:tcW w:type="dxa" w:w="2376"/>
            <w:vAlign w:val="center"/>
            <w:tcMar>
              <w:top w:w="80" w:type="dxa"/>
              <w:start w:w="100" w:type="dxa"/>
              <w:bottom w:w="80" w:type="dxa"/>
              <w:end w:w="100" w:type="dxa"/>
            </w:tcMar>
          </w:tcPr>
          <w:p>
            <w:r>
              <w:rPr>
                <w:b w:val="0"/>
                <w:color w:val="333333"/>
                <w:sz w:val="17"/>
              </w:rPr>
              <w:t>Security / privacy</w:t>
            </w:r>
          </w:p>
        </w:tc>
        <w:tc>
          <w:tcPr>
            <w:tcW w:type="dxa" w:w="7992"/>
            <w:vAlign w:val="center"/>
            <w:tcMar>
              <w:top w:w="80" w:type="dxa"/>
              <w:start w:w="100" w:type="dxa"/>
              <w:bottom w:w="80" w:type="dxa"/>
              <w:end w:w="100" w:type="dxa"/>
            </w:tcMar>
          </w:tcPr>
          <w:p>
            <w:r>
              <w:rPr>
                <w:b w:val="0"/>
                <w:color w:val="333333"/>
                <w:sz w:val="17"/>
              </w:rPr>
              <w:t>Explicit boundaries: Does not bypass owning-domain APIs/import contracts; Does not silently transform ambiguous statutory meaning; Does not certify migrated data without reconciliation. Failure controls: Unmapped mandatory field; Record count/hash mismatch; Ambiguous code mapping; Partial batch failure; Rollback unavailable.</w:t>
            </w:r>
          </w:p>
        </w:tc>
      </w:tr>
      <w:tr>
        <w:trPr>
          <w:cantSplit/>
        </w:trPr>
        <w:tc>
          <w:tcPr>
            <w:tcW w:type="dxa" w:w="2376"/>
            <w:vAlign w:val="center"/>
            <w:tcMar>
              <w:top w:w="80" w:type="dxa"/>
              <w:start w:w="100" w:type="dxa"/>
              <w:bottom w:w="80" w:type="dxa"/>
              <w:end w:w="100" w:type="dxa"/>
            </w:tcMar>
          </w:tcPr>
          <w:p>
            <w:r>
              <w:rPr>
                <w:b w:val="0"/>
                <w:color w:val="333333"/>
                <w:sz w:val="17"/>
              </w:rPr>
              <w:t>Recommended implementation</w:t>
            </w:r>
          </w:p>
        </w:tc>
        <w:tc>
          <w:tcPr>
            <w:tcW w:type="dxa" w:w="7992"/>
            <w:vAlign w:val="center"/>
            <w:tcMar>
              <w:top w:w="80" w:type="dxa"/>
              <w:start w:w="100" w:type="dxa"/>
              <w:bottom w:w="80" w:type="dxa"/>
              <w:end w:w="100" w:type="dxa"/>
            </w:tcMar>
          </w:tcPr>
          <w:p>
            <w:r>
              <w:rPr>
                <w:b w:val="0"/>
                <w:color w:val="333333"/>
                <w:sz w:val="17"/>
              </w:rPr>
              <w:t>Custom ServiceForm component on Fastify/Aurora where stateful; reuse OPA, outbox, MSK/Temporal/Notification/Integration Hub contracts as applicable. Do not introduce a new database by default.</w:t>
            </w:r>
          </w:p>
        </w:tc>
      </w:tr>
      <w:tr>
        <w:trPr>
          <w:cantSplit/>
        </w:trPr>
        <w:tc>
          <w:tcPr>
            <w:tcW w:type="dxa" w:w="2376"/>
            <w:vAlign w:val="center"/>
            <w:tcMar>
              <w:top w:w="80" w:type="dxa"/>
              <w:start w:w="100" w:type="dxa"/>
              <w:bottom w:w="80" w:type="dxa"/>
              <w:end w:w="100" w:type="dxa"/>
            </w:tcMar>
          </w:tcPr>
          <w:p>
            <w:r>
              <w:rPr>
                <w:b w:val="0"/>
                <w:color w:val="333333"/>
                <w:sz w:val="17"/>
              </w:rPr>
              <w:t>AI build + acceptance contract</w:t>
            </w:r>
          </w:p>
        </w:tc>
        <w:tc>
          <w:tcPr>
            <w:tcW w:type="dxa" w:w="7992"/>
            <w:vAlign w:val="center"/>
            <w:tcMar>
              <w:top w:w="80" w:type="dxa"/>
              <w:start w:w="100" w:type="dxa"/>
              <w:bottom w:w="80" w:type="dxa"/>
              <w:end w:w="100" w:type="dxa"/>
            </w:tcMar>
          </w:tcPr>
          <w:p>
            <w:r>
              <w:rPr>
                <w:b w:val="0"/>
                <w:color w:val="333333"/>
                <w:sz w:val="17"/>
              </w:rPr>
              <w:t>Every production migration has dry-run evidence, mapping version, source/target counts, exception list and reconciliation result.; Failed migration can resume or rollback according to approved plan.</w:t>
            </w:r>
          </w:p>
        </w:tc>
      </w:tr>
    </w:tbl>
    <w:p>
      <w:pPr>
        <w:pStyle w:val="Heading2"/>
      </w:pPr>
      <w:r>
        <w:rPr>
          <w:b w:val="0"/>
        </w:rPr>
        <w:t>CMP-060  Risk, Fraud &amp; Integrity Service</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vAlign w:val="center"/>
            <w:tcMar>
              <w:top w:w="80" w:type="dxa"/>
              <w:start w:w="100" w:type="dxa"/>
              <w:bottom w:w="80" w:type="dxa"/>
              <w:end w:w="100" w:type="dxa"/>
            </w:tcMar>
          </w:tcPr>
          <w:p>
            <w:r>
              <w:rPr>
                <w:b w:val="0"/>
                <w:color w:val="333333"/>
                <w:sz w:val="17"/>
              </w:rPr>
              <w:t>Functional specification</w:t>
            </w:r>
          </w:p>
        </w:tc>
        <w:tc>
          <w:tcPr>
            <w:tcW w:type="dxa" w:w="7992"/>
            <w:vAlign w:val="center"/>
            <w:tcMar>
              <w:top w:w="80" w:type="dxa"/>
              <w:start w:w="100" w:type="dxa"/>
              <w:bottom w:w="80" w:type="dxa"/>
              <w:end w:w="100" w:type="dxa"/>
            </w:tcMar>
          </w:tcPr>
          <w:p>
            <w:r>
              <w:rPr>
                <w:b w:val="0"/>
                <w:color w:val="333333"/>
                <w:sz w:val="17"/>
              </w:rPr>
              <w:t>Generate explainable integrity signals for duplicate, anomalous, tampered or suspicious cases and route them for authorized review without replacing lawful eligibility or final decision authority. Responsibilities: Duplicate-application/document/account signals; Document-tamper and identity inconsistency signals; Submission/officer anomaly detection; Explainable risk reasons and evidence links; Manual review/referral workflows; Model/rule performance monitoring.</w:t>
            </w:r>
          </w:p>
        </w:tc>
      </w:tr>
      <w:tr>
        <w:trPr>
          <w:cantSplit/>
        </w:trPr>
        <w:tc>
          <w:tcPr>
            <w:tcW w:type="dxa" w:w="2376"/>
            <w:vAlign w:val="center"/>
            <w:tcMar>
              <w:top w:w="80" w:type="dxa"/>
              <w:start w:w="100" w:type="dxa"/>
              <w:bottom w:w="80" w:type="dxa"/>
              <w:end w:w="100" w:type="dxa"/>
            </w:tcMar>
          </w:tcPr>
          <w:p>
            <w:r>
              <w:rPr>
                <w:b w:val="0"/>
                <w:color w:val="333333"/>
                <w:sz w:val="17"/>
              </w:rPr>
              <w:t>Technical specification</w:t>
            </w:r>
          </w:p>
        </w:tc>
        <w:tc>
          <w:tcPr>
            <w:tcW w:type="dxa" w:w="7992"/>
            <w:vAlign w:val="center"/>
            <w:tcMar>
              <w:top w:w="80" w:type="dxa"/>
              <w:start w:w="100" w:type="dxa"/>
              <w:bottom w:w="80" w:type="dxa"/>
              <w:end w:w="100" w:type="dxa"/>
            </w:tcMar>
          </w:tcPr>
          <w:p>
            <w:r>
              <w:rPr>
                <w:b w:val="0"/>
                <w:color w:val="333333"/>
                <w:sz w:val="17"/>
              </w:rPr>
              <w:t>Decision Support / Integrity. Risk evaluation can run asynchronously; submission hot path must not depend on expensive analytics unless a deterministic high-risk rule explicitly requires it. Authoritative data: risk_assessment, risk_signal, risk_reason, risk_review, risk_model_binding, integrity_case_link.</w:t>
            </w:r>
          </w:p>
        </w:tc>
      </w:tr>
      <w:tr>
        <w:trPr>
          <w:cantSplit/>
        </w:trPr>
        <w:tc>
          <w:tcPr>
            <w:tcW w:type="dxa" w:w="2376"/>
            <w:vAlign w:val="center"/>
            <w:tcMar>
              <w:top w:w="80" w:type="dxa"/>
              <w:start w:w="100" w:type="dxa"/>
              <w:bottom w:w="80" w:type="dxa"/>
              <w:end w:w="100" w:type="dxa"/>
            </w:tcMar>
          </w:tcPr>
          <w:p>
            <w:r>
              <w:rPr>
                <w:b w:val="0"/>
                <w:color w:val="333333"/>
                <w:sz w:val="17"/>
              </w:rPr>
              <w:t>Interfaces / events</w:t>
            </w:r>
          </w:p>
        </w:tc>
        <w:tc>
          <w:tcPr>
            <w:tcW w:type="dxa" w:w="7992"/>
            <w:vAlign w:val="center"/>
            <w:tcMar>
              <w:top w:w="80" w:type="dxa"/>
              <w:start w:w="100" w:type="dxa"/>
              <w:bottom w:w="80" w:type="dxa"/>
              <w:end w:w="100" w:type="dxa"/>
            </w:tcMar>
          </w:tcPr>
          <w:p>
            <w:r>
              <w:rPr>
                <w:b w:val="0"/>
                <w:color w:val="333333"/>
                <w:sz w:val="17"/>
              </w:rPr>
              <w:t>APIs: POST /risk/evaluate, GET /risk/assessments/{id}, POST /risk/assessments/{id}/review, POST /risk/signals/{id}/disposition. Events: RiskAssessmentCompleted, HighRiskReviewRequested, RiskDispositionRecorded.</w:t>
            </w:r>
          </w:p>
        </w:tc>
      </w:tr>
      <w:tr>
        <w:trPr>
          <w:cantSplit/>
        </w:trPr>
        <w:tc>
          <w:tcPr>
            <w:tcW w:type="dxa" w:w="2376"/>
            <w:vAlign w:val="center"/>
            <w:tcMar>
              <w:top w:w="80" w:type="dxa"/>
              <w:start w:w="100" w:type="dxa"/>
              <w:bottom w:w="80" w:type="dxa"/>
              <w:end w:w="100" w:type="dxa"/>
            </w:tcMar>
          </w:tcPr>
          <w:p>
            <w:r>
              <w:rPr>
                <w:b w:val="0"/>
                <w:color w:val="333333"/>
                <w:sz w:val="17"/>
              </w:rPr>
              <w:t>Data / tenancy / jurisdiction</w:t>
            </w:r>
          </w:p>
        </w:tc>
        <w:tc>
          <w:tcPr>
            <w:tcW w:type="dxa" w:w="7992"/>
            <w:vAlign w:val="center"/>
            <w:tcMar>
              <w:top w:w="80" w:type="dxa"/>
              <w:start w:w="100" w:type="dxa"/>
              <w:bottom w:w="80" w:type="dxa"/>
              <w:end w:w="100" w:type="dxa"/>
            </w:tcMar>
          </w:tcPr>
          <w:p>
            <w:r>
              <w:rPr>
                <w:b w:val="0"/>
                <w:color w:val="333333"/>
                <w:sz w:val="17"/>
              </w:rPr>
              <w:t>Signals are tenant/service scoped; cross-program linkage requires an explicit legal/purpose basis and privileged audited policy.</w:t>
            </w:r>
          </w:p>
        </w:tc>
      </w:tr>
      <w:tr>
        <w:trPr>
          <w:cantSplit/>
        </w:trPr>
        <w:tc>
          <w:tcPr>
            <w:tcW w:type="dxa" w:w="2376"/>
            <w:vAlign w:val="center"/>
            <w:tcMar>
              <w:top w:w="80" w:type="dxa"/>
              <w:start w:w="100" w:type="dxa"/>
              <w:bottom w:w="80" w:type="dxa"/>
              <w:end w:w="100" w:type="dxa"/>
            </w:tcMar>
          </w:tcPr>
          <w:p>
            <w:r>
              <w:rPr>
                <w:b w:val="0"/>
                <w:color w:val="333333"/>
                <w:sz w:val="17"/>
              </w:rPr>
              <w:t>Dependencies</w:t>
            </w:r>
          </w:p>
        </w:tc>
        <w:tc>
          <w:tcPr>
            <w:tcW w:type="dxa" w:w="7992"/>
            <w:vAlign w:val="center"/>
            <w:tcMar>
              <w:top w:w="80" w:type="dxa"/>
              <w:start w:w="100" w:type="dxa"/>
              <w:bottom w:w="80" w:type="dxa"/>
              <w:end w:w="100" w:type="dxa"/>
            </w:tcMar>
          </w:tcPr>
          <w:p>
            <w:r>
              <w:rPr>
                <w:b w:val="0"/>
                <w:color w:val="333333"/>
                <w:sz w:val="17"/>
              </w:rPr>
              <w:t>CMP-015 Application; CMP-013 Upload; CMP-014 OCR; CMP-031 Audit; CMP-039 AI Gateway; CMP-017 Work Queue</w:t>
            </w:r>
          </w:p>
        </w:tc>
      </w:tr>
      <w:tr>
        <w:trPr>
          <w:cantSplit/>
        </w:trPr>
        <w:tc>
          <w:tcPr>
            <w:tcW w:type="dxa" w:w="2376"/>
            <w:vAlign w:val="center"/>
            <w:tcMar>
              <w:top w:w="80" w:type="dxa"/>
              <w:start w:w="100" w:type="dxa"/>
              <w:bottom w:w="80" w:type="dxa"/>
              <w:end w:w="100" w:type="dxa"/>
            </w:tcMar>
          </w:tcPr>
          <w:p>
            <w:r>
              <w:rPr>
                <w:b w:val="0"/>
                <w:color w:val="333333"/>
                <w:sz w:val="17"/>
              </w:rPr>
              <w:t>Security / privacy</w:t>
            </w:r>
          </w:p>
        </w:tc>
        <w:tc>
          <w:tcPr>
            <w:tcW w:type="dxa" w:w="7992"/>
            <w:vAlign w:val="center"/>
            <w:tcMar>
              <w:top w:w="80" w:type="dxa"/>
              <w:start w:w="100" w:type="dxa"/>
              <w:bottom w:w="80" w:type="dxa"/>
              <w:end w:w="100" w:type="dxa"/>
            </w:tcMar>
          </w:tcPr>
          <w:p>
            <w:r>
              <w:rPr>
                <w:b w:val="0"/>
                <w:color w:val="333333"/>
                <w:sz w:val="17"/>
              </w:rPr>
              <w:t>Explicit boundaries: Does not automatically reject solely from an AI risk score; Does not create hidden eligibility rules; Does not perform unrestricted cross-tenant surveillance. Failure controls: False-positive spike; Model unavailable; Feature source stale; Cross-tenant linkage denied; Unexplainable model result.</w:t>
            </w:r>
          </w:p>
        </w:tc>
      </w:tr>
      <w:tr>
        <w:trPr>
          <w:cantSplit/>
        </w:trPr>
        <w:tc>
          <w:tcPr>
            <w:tcW w:type="dxa" w:w="2376"/>
            <w:vAlign w:val="center"/>
            <w:tcMar>
              <w:top w:w="80" w:type="dxa"/>
              <w:start w:w="100" w:type="dxa"/>
              <w:bottom w:w="80" w:type="dxa"/>
              <w:end w:w="100" w:type="dxa"/>
            </w:tcMar>
          </w:tcPr>
          <w:p>
            <w:r>
              <w:rPr>
                <w:b w:val="0"/>
                <w:color w:val="333333"/>
                <w:sz w:val="17"/>
              </w:rPr>
              <w:t>Recommended implementation</w:t>
            </w:r>
          </w:p>
        </w:tc>
        <w:tc>
          <w:tcPr>
            <w:tcW w:type="dxa" w:w="7992"/>
            <w:vAlign w:val="center"/>
            <w:tcMar>
              <w:top w:w="80" w:type="dxa"/>
              <w:start w:w="100" w:type="dxa"/>
              <w:bottom w:w="80" w:type="dxa"/>
              <w:end w:w="100" w:type="dxa"/>
            </w:tcMar>
          </w:tcPr>
          <w:p>
            <w:r>
              <w:rPr>
                <w:b w:val="0"/>
                <w:color w:val="333333"/>
                <w:sz w:val="17"/>
              </w:rPr>
              <w:t>Custom ServiceForm component on Fastify/Aurora where stateful; reuse OPA, outbox, MSK/Temporal/Notification/Integration Hub contracts as applicable. Do not introduce a new database by default.</w:t>
            </w:r>
          </w:p>
        </w:tc>
      </w:tr>
      <w:tr>
        <w:trPr>
          <w:cantSplit/>
        </w:trPr>
        <w:tc>
          <w:tcPr>
            <w:tcW w:type="dxa" w:w="2376"/>
            <w:vAlign w:val="center"/>
            <w:tcMar>
              <w:top w:w="80" w:type="dxa"/>
              <w:start w:w="100" w:type="dxa"/>
              <w:bottom w:w="80" w:type="dxa"/>
              <w:end w:w="100" w:type="dxa"/>
            </w:tcMar>
          </w:tcPr>
          <w:p>
            <w:r>
              <w:rPr>
                <w:b w:val="0"/>
                <w:color w:val="333333"/>
                <w:sz w:val="17"/>
              </w:rPr>
              <w:t>AI build + acceptance contract</w:t>
            </w:r>
          </w:p>
        </w:tc>
        <w:tc>
          <w:tcPr>
            <w:tcW w:type="dxa" w:w="7992"/>
            <w:vAlign w:val="center"/>
            <w:tcMar>
              <w:top w:w="80" w:type="dxa"/>
              <w:start w:w="100" w:type="dxa"/>
              <w:bottom w:w="80" w:type="dxa"/>
              <w:end w:w="100" w:type="dxa"/>
            </w:tcMar>
          </w:tcPr>
          <w:p>
            <w:r>
              <w:rPr>
                <w:b w:val="0"/>
                <w:color w:val="333333"/>
                <w:sz w:val="17"/>
              </w:rPr>
              <w:t>Every adverse workflow effect requires deterministic policy or authorized human decision; raw AI score alone cannot reject.; Signals include provenance, reason and model/rule version.; Fairness/drift and false-positive monitoring are part of release evidence where ML is used.</w:t>
            </w:r>
          </w:p>
        </w:tc>
      </w:tr>
    </w:tbl>
    <w:p>
      <w:pPr>
        <w:pStyle w:val="Heading2"/>
      </w:pPr>
      <w:r>
        <w:rPr>
          <w:b w:val="0"/>
        </w:rPr>
        <w:t>CMP-061  Citizen Privacy &amp; Data Rights Centre</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vAlign w:val="center"/>
            <w:tcMar>
              <w:top w:w="80" w:type="dxa"/>
              <w:start w:w="100" w:type="dxa"/>
              <w:bottom w:w="80" w:type="dxa"/>
              <w:end w:w="100" w:type="dxa"/>
            </w:tcMar>
          </w:tcPr>
          <w:p>
            <w:r>
              <w:rPr>
                <w:b w:val="0"/>
                <w:color w:val="333333"/>
                <w:sz w:val="17"/>
              </w:rPr>
              <w:t>Functional specification</w:t>
            </w:r>
          </w:p>
        </w:tc>
        <w:tc>
          <w:tcPr>
            <w:tcW w:type="dxa" w:w="7992"/>
            <w:vAlign w:val="center"/>
            <w:tcMar>
              <w:top w:w="80" w:type="dxa"/>
              <w:start w:w="100" w:type="dxa"/>
              <w:bottom w:w="80" w:type="dxa"/>
              <w:end w:w="100" w:type="dxa"/>
            </w:tcMar>
          </w:tcPr>
          <w:p>
            <w:r>
              <w:rPr>
                <w:b w:val="0"/>
                <w:color w:val="333333"/>
                <w:sz w:val="17"/>
              </w:rPr>
              <w:t>Give citizens a coherent view of data use, consent, provenance, retention and applicable rights requests while orchestrating fulfillment across owning components. Responsibilities: Citizen-facing data-use/consent dashboard; Consent history and linked-claim provenance; Access/correction/erasure/withdrawal request intake; Identity assurance for rights requests; Rights-workflow orchestration and status; Retention/legal-hold explanation and fulfillment evidence.</w:t>
            </w:r>
          </w:p>
        </w:tc>
      </w:tr>
      <w:tr>
        <w:trPr>
          <w:cantSplit/>
        </w:trPr>
        <w:tc>
          <w:tcPr>
            <w:tcW w:type="dxa" w:w="2376"/>
            <w:vAlign w:val="center"/>
            <w:tcMar>
              <w:top w:w="80" w:type="dxa"/>
              <w:start w:w="100" w:type="dxa"/>
              <w:bottom w:w="80" w:type="dxa"/>
              <w:end w:w="100" w:type="dxa"/>
            </w:tcMar>
          </w:tcPr>
          <w:p>
            <w:r>
              <w:rPr>
                <w:b w:val="0"/>
                <w:color w:val="333333"/>
                <w:sz w:val="17"/>
              </w:rPr>
              <w:t>Technical specification</w:t>
            </w:r>
          </w:p>
        </w:tc>
        <w:tc>
          <w:tcPr>
            <w:tcW w:type="dxa" w:w="7992"/>
            <w:vAlign w:val="center"/>
            <w:tcMar>
              <w:top w:w="80" w:type="dxa"/>
              <w:start w:w="100" w:type="dxa"/>
              <w:bottom w:w="80" w:type="dxa"/>
              <w:end w:w="100" w:type="dxa"/>
            </w:tcMar>
          </w:tcPr>
          <w:p>
            <w:r>
              <w:rPr>
                <w:b w:val="0"/>
                <w:color w:val="333333"/>
                <w:sz w:val="17"/>
              </w:rPr>
              <w:t>Citizen Trust / Privacy Domain. Rights requests are durable cases with SLA, identity assurance, evidence, exceptions and immutable audit; they must not be lost during downstream outages. Authoritative data: privacy_request, privacy_request_scope, privacy_fulfilment_task, privacy_decision, data_use_summary.</w:t>
            </w:r>
          </w:p>
        </w:tc>
      </w:tr>
      <w:tr>
        <w:trPr>
          <w:cantSplit/>
        </w:trPr>
        <w:tc>
          <w:tcPr>
            <w:tcW w:type="dxa" w:w="2376"/>
            <w:vAlign w:val="center"/>
            <w:tcMar>
              <w:top w:w="80" w:type="dxa"/>
              <w:start w:w="100" w:type="dxa"/>
              <w:bottom w:w="80" w:type="dxa"/>
              <w:end w:w="100" w:type="dxa"/>
            </w:tcMar>
          </w:tcPr>
          <w:p>
            <w:r>
              <w:rPr>
                <w:b w:val="0"/>
                <w:color w:val="333333"/>
                <w:sz w:val="17"/>
              </w:rPr>
              <w:t>Interfaces / events</w:t>
            </w:r>
          </w:p>
        </w:tc>
        <w:tc>
          <w:tcPr>
            <w:tcW w:type="dxa" w:w="7992"/>
            <w:vAlign w:val="center"/>
            <w:tcMar>
              <w:top w:w="80" w:type="dxa"/>
              <w:start w:w="100" w:type="dxa"/>
              <w:bottom w:w="80" w:type="dxa"/>
              <w:end w:w="100" w:type="dxa"/>
            </w:tcMar>
          </w:tcPr>
          <w:p>
            <w:r>
              <w:rPr>
                <w:b w:val="0"/>
                <w:color w:val="333333"/>
                <w:sz w:val="17"/>
              </w:rPr>
              <w:t>APIs: GET /privacy/me, GET /privacy/me/consents, POST /privacy/requests, GET /privacy/requests/{id}, POST /privacy/requests/{id}/withdraw. Events: PrivacyRequestSubmitted, PrivacyTaskRequested, PrivacyRequestCompleted, ConsentWithdrawalRequested.</w:t>
            </w:r>
          </w:p>
        </w:tc>
      </w:tr>
      <w:tr>
        <w:trPr>
          <w:cantSplit/>
        </w:trPr>
        <w:tc>
          <w:tcPr>
            <w:tcW w:type="dxa" w:w="2376"/>
            <w:vAlign w:val="center"/>
            <w:tcMar>
              <w:top w:w="80" w:type="dxa"/>
              <w:start w:w="100" w:type="dxa"/>
              <w:bottom w:w="80" w:type="dxa"/>
              <w:end w:w="100" w:type="dxa"/>
            </w:tcMar>
          </w:tcPr>
          <w:p>
            <w:r>
              <w:rPr>
                <w:b w:val="0"/>
                <w:color w:val="333333"/>
                <w:sz w:val="17"/>
              </w:rPr>
              <w:t>Data / tenancy / jurisdiction</w:t>
            </w:r>
          </w:p>
        </w:tc>
        <w:tc>
          <w:tcPr>
            <w:tcW w:type="dxa" w:w="7992"/>
            <w:vAlign w:val="center"/>
            <w:tcMar>
              <w:top w:w="80" w:type="dxa"/>
              <w:start w:w="100" w:type="dxa"/>
              <w:bottom w:w="80" w:type="dxa"/>
              <w:end w:w="100" w:type="dxa"/>
            </w:tcMar>
          </w:tcPr>
          <w:p>
            <w:r>
              <w:rPr>
                <w:b w:val="0"/>
                <w:color w:val="333333"/>
                <w:sz w:val="17"/>
              </w:rPr>
              <w:t>Citizen-private rights requests may span tenant-held data only where legally applicable; each tenant/data-fiduciary scope is explicit and audited.</w:t>
            </w:r>
          </w:p>
        </w:tc>
      </w:tr>
      <w:tr>
        <w:trPr>
          <w:cantSplit/>
        </w:trPr>
        <w:tc>
          <w:tcPr>
            <w:tcW w:type="dxa" w:w="2376"/>
            <w:vAlign w:val="center"/>
            <w:tcMar>
              <w:top w:w="80" w:type="dxa"/>
              <w:start w:w="100" w:type="dxa"/>
              <w:bottom w:w="80" w:type="dxa"/>
              <w:end w:w="100" w:type="dxa"/>
            </w:tcMar>
          </w:tcPr>
          <w:p>
            <w:r>
              <w:rPr>
                <w:b w:val="0"/>
                <w:color w:val="333333"/>
                <w:sz w:val="17"/>
              </w:rPr>
              <w:t>Dependencies</w:t>
            </w:r>
          </w:p>
        </w:tc>
        <w:tc>
          <w:tcPr>
            <w:tcW w:type="dxa" w:w="7992"/>
            <w:vAlign w:val="center"/>
            <w:tcMar>
              <w:top w:w="80" w:type="dxa"/>
              <w:start w:w="100" w:type="dxa"/>
              <w:bottom w:w="80" w:type="dxa"/>
              <w:end w:w="100" w:type="dxa"/>
            </w:tcMar>
          </w:tcPr>
          <w:p>
            <w:r>
              <w:rPr>
                <w:b w:val="0"/>
                <w:color w:val="333333"/>
                <w:sz w:val="17"/>
              </w:rPr>
              <w:t>CMP-030 Consent &amp; Privacy; CMP-031 Audit; CMP-049 Retention; CMP-004 Identity; CMP-017 Work Queue; CMP-025 Notification</w:t>
            </w:r>
          </w:p>
        </w:tc>
      </w:tr>
      <w:tr>
        <w:trPr>
          <w:cantSplit/>
        </w:trPr>
        <w:tc>
          <w:tcPr>
            <w:tcW w:type="dxa" w:w="2376"/>
            <w:vAlign w:val="center"/>
            <w:tcMar>
              <w:top w:w="80" w:type="dxa"/>
              <w:start w:w="100" w:type="dxa"/>
              <w:bottom w:w="80" w:type="dxa"/>
              <w:end w:w="100" w:type="dxa"/>
            </w:tcMar>
          </w:tcPr>
          <w:p>
            <w:r>
              <w:rPr>
                <w:b w:val="0"/>
                <w:color w:val="333333"/>
                <w:sz w:val="17"/>
              </w:rPr>
              <w:t>Security / privacy</w:t>
            </w:r>
          </w:p>
        </w:tc>
        <w:tc>
          <w:tcPr>
            <w:tcW w:type="dxa" w:w="7992"/>
            <w:vAlign w:val="center"/>
            <w:tcMar>
              <w:top w:w="80" w:type="dxa"/>
              <w:start w:w="100" w:type="dxa"/>
              <w:bottom w:w="80" w:type="dxa"/>
              <w:end w:w="100" w:type="dxa"/>
            </w:tcMar>
          </w:tcPr>
          <w:p>
            <w:r>
              <w:rPr>
                <w:b w:val="0"/>
                <w:color w:val="333333"/>
                <w:sz w:val="17"/>
              </w:rPr>
              <w:t>Explicit boundaries: Does not directly delete another component’s authoritative data; Does not promise erasure where law/retention exception applies; Does not expose data across tenant/purpose boundaries. Failure controls: Identity assurance insufficient; Legal hold blocks erasure; Owning service unavailable; Scope ambiguity; Cross-tenant request.</w:t>
            </w:r>
          </w:p>
        </w:tc>
      </w:tr>
      <w:tr>
        <w:trPr>
          <w:cantSplit/>
        </w:trPr>
        <w:tc>
          <w:tcPr>
            <w:tcW w:type="dxa" w:w="2376"/>
            <w:vAlign w:val="center"/>
            <w:tcMar>
              <w:top w:w="80" w:type="dxa"/>
              <w:start w:w="100" w:type="dxa"/>
              <w:bottom w:w="80" w:type="dxa"/>
              <w:end w:w="100" w:type="dxa"/>
            </w:tcMar>
          </w:tcPr>
          <w:p>
            <w:r>
              <w:rPr>
                <w:b w:val="0"/>
                <w:color w:val="333333"/>
                <w:sz w:val="17"/>
              </w:rPr>
              <w:t>Recommended implementation</w:t>
            </w:r>
          </w:p>
        </w:tc>
        <w:tc>
          <w:tcPr>
            <w:tcW w:type="dxa" w:w="7992"/>
            <w:vAlign w:val="center"/>
            <w:tcMar>
              <w:top w:w="80" w:type="dxa"/>
              <w:start w:w="100" w:type="dxa"/>
              <w:bottom w:w="80" w:type="dxa"/>
              <w:end w:w="100" w:type="dxa"/>
            </w:tcMar>
          </w:tcPr>
          <w:p>
            <w:r>
              <w:rPr>
                <w:b w:val="0"/>
                <w:color w:val="333333"/>
                <w:sz w:val="17"/>
              </w:rPr>
              <w:t>Custom ServiceForm component on Fastify/Aurora where stateful; reuse OPA, outbox, MSK/Temporal/Notification/Integration Hub contracts as applicable. Do not introduce a new database by default.</w:t>
            </w:r>
          </w:p>
        </w:tc>
      </w:tr>
      <w:tr>
        <w:trPr>
          <w:cantSplit/>
        </w:trPr>
        <w:tc>
          <w:tcPr>
            <w:tcW w:type="dxa" w:w="2376"/>
            <w:vAlign w:val="center"/>
            <w:tcMar>
              <w:top w:w="80" w:type="dxa"/>
              <w:start w:w="100" w:type="dxa"/>
              <w:bottom w:w="80" w:type="dxa"/>
              <w:end w:w="100" w:type="dxa"/>
            </w:tcMar>
          </w:tcPr>
          <w:p>
            <w:r>
              <w:rPr>
                <w:b w:val="0"/>
                <w:color w:val="333333"/>
                <w:sz w:val="17"/>
              </w:rPr>
              <w:t>AI build + acceptance contract</w:t>
            </w:r>
          </w:p>
        </w:tc>
        <w:tc>
          <w:tcPr>
            <w:tcW w:type="dxa" w:w="7992"/>
            <w:vAlign w:val="center"/>
            <w:tcMar>
              <w:top w:w="80" w:type="dxa"/>
              <w:start w:w="100" w:type="dxa"/>
              <w:bottom w:w="80" w:type="dxa"/>
              <w:end w:w="100" w:type="dxa"/>
            </w:tcMar>
          </w:tcPr>
          <w:p>
            <w:r>
              <w:rPr>
                <w:b w:val="0"/>
                <w:color w:val="333333"/>
                <w:sz w:val="17"/>
              </w:rPr>
              <w:t>Rights request has clear scope, legal basis/exception, SLA, owning-service tasks and completion evidence.; No direct cross-domain deletion; owning services execute and attest changes.</w:t>
            </w:r>
          </w:p>
        </w:tc>
      </w:tr>
    </w:tbl>
    <w:p>
      <w:pPr>
        <w:pStyle w:val="ListBullet"/>
      </w:pPr>
      <w:r>
        <w:t>7. Golden Vertical Slice and Implementation Sequence</w:t>
      </w:r>
    </w:p>
    <w:p>
      <w:pPr>
        <w:pStyle w:val="ListBullet"/>
      </w:pPr>
      <w:r>
        <w:t>8. AI-Agent Build Protocol</w:t>
      </w:r>
    </w:p>
    <w:p>
      <w:pPr>
        <w:pStyle w:val="ListBullet"/>
      </w:pPr>
      <w:r>
        <w:t>9. Testing, Security and Production Readiness</w:t>
      </w:r>
    </w:p>
    <w:p>
      <w:pPr>
        <w:pStyle w:val="ListBullet"/>
      </w:pPr>
      <w:r>
        <w:t>10. Standards and Authoritative References</w:t>
      </w:r>
    </w:p>
    <w:p>
      <w:pPr>
        <w:pStyle w:val="ListBullet"/>
        <w:spacing w:after="40"/>
      </w:pPr>
      <w:r>
        <w:t>11. AI Development Context &amp; Domain Constitution</w:t>
      </w:r>
    </w:p>
    <w:p>
      <w:pPr>
        <w:pStyle w:val="ListBullet"/>
        <w:spacing w:after="40"/>
      </w:pPr>
      <w:r>
        <w:t>12. Application &amp; Case Lifecycle State Machine</w:t>
      </w:r>
    </w:p>
    <w:p>
      <w:pPr>
        <w:pStyle w:val="ListBullet"/>
        <w:spacing w:after="40"/>
      </w:pPr>
      <w:r>
        <w:t>13. API, Event, Error &amp; Idempotency Contracts</w:t>
      </w:r>
    </w:p>
    <w:p>
      <w:pPr>
        <w:pStyle w:val="ListBullet"/>
        <w:spacing w:after="40"/>
      </w:pPr>
      <w:r>
        <w:t>14. Data Classification, Privacy, Retention &amp; Audit</w:t>
      </w:r>
    </w:p>
    <w:p>
      <w:pPr>
        <w:pStyle w:val="ListBullet"/>
        <w:spacing w:after="40"/>
      </w:pPr>
      <w:r>
        <w:t>15. Configuration Governance, Versioning, Feature Flags &amp; Master Data</w:t>
      </w:r>
    </w:p>
    <w:p>
      <w:pPr>
        <w:pStyle w:val="ListBullet"/>
        <w:spacing w:after="40"/>
      </w:pPr>
      <w:r>
        <w:t>16. AI-Agent Stop Rules, Definition of Done &amp; Engineering Gates</w:t>
      </w:r>
    </w:p>
    <w:p>
      <w:pPr>
        <w:pStyle w:val="ListBullet"/>
        <w:spacing w:after="40"/>
      </w:pPr>
      <w:r>
        <w:t>17. Frozen Development Sequence &amp; Milestone Gates</w:t>
      </w:r>
    </w:p>
    <w:p>
      <w:pPr>
        <w:pStyle w:val="ListBullet"/>
        <w:spacing w:after="40"/>
      </w:pPr>
      <w:r>
        <w:t>18. End-to-End Flow Validation &amp; Executable Test Specification</w:t>
      </w:r>
    </w:p>
    <w:p>
      <w:pPr>
        <w:pStyle w:val="ListBullet"/>
        <w:spacing w:after="40"/>
      </w:pPr>
      <w:r>
        <w:t>19. Service Design Studio - No-Code Forms, Rules, Workflow &amp; Tenant Templates</w:t>
      </w:r>
    </w:p>
    <w:p>
      <w:pPr>
        <w:pStyle w:val="ListBullet"/>
        <w:spacing w:after="40"/>
      </w:pPr>
      <w:r>
        <w:t>20. Tenant-Aware Authorization and Workflow Runtime Integration</w:t>
      </w:r>
    </w:p>
    <w:p>
      <w:pPr>
        <w:pStyle w:val="Heading1"/>
      </w:pPr>
      <w:r>
        <w:t>1. Executive Architecture Decisions</w:t>
      </w:r>
    </w:p>
    <w:tbl>
      <w:tblPr>
        <w:tblW w:type="auto" w:w="0"/>
        <w:jc w:val="center"/>
        <w:tblLayout w:type="fixed"/>
        <w:tblLook w:firstColumn="1" w:firstRow="1" w:lastColumn="0" w:lastRow="0" w:noHBand="0" w:noVBand="1" w:val="04A0"/>
      </w:tblPr>
      <w:tblGrid>
        <w:gridCol w:w="10166"/>
      </w:tblGrid>
      <w:tr>
        <w:trPr>
          <w:cantSplit/>
        </w:trPr>
        <w:tc>
          <w:tcPr>
            <w:tcW w:type="dxa" w:w="9648"/>
            <w:shd w:fill="E8F3EC"/>
            <w:tcMar>
              <w:top w:w="120" w:type="dxa"/>
              <w:start w:w="150" w:type="dxa"/>
              <w:bottom w:w="120" w:type="dxa"/>
              <w:end w:w="150" w:type="dxa"/>
            </w:tcMar>
          </w:tcPr>
          <w:p>
            <w:r>
              <w:rPr>
                <w:b/>
              </w:rPr>
              <w:t xml:space="preserve">Primary principle: </w:t>
            </w:r>
            <w:r>
              <w:t>A government service is executable metadata, not bespoke application code. Canonical service + local offering + provider + jurisdiction + rules + form + evidence + fee + workflow + SLA + integrations + credential + notification + privacy policy must be sufficient to run a service.</w:t>
            </w:r>
          </w:p>
        </w:tc>
      </w:tr>
      <w:tr>
        <w:trPr>
          <w:cantSplit/>
        </w:trPr>
        <w:tc>
          <w:tcPr>
            <w:tcW w:type="dxa" w:w="10166"/>
            <w:shd w:fill="E8F5E9"/>
            <w:tcMar>
              <w:top w:w="120" w:type="dxa"/>
              <w:start w:w="130" w:type="dxa"/>
              <w:bottom w:w="120" w:type="dxa"/>
              <w:end w:w="130" w:type="dxa"/>
            </w:tcMar>
          </w:tcPr>
          <w:p>
            <w:r>
              <w:rPr>
                <w:b/>
                <w:sz w:val="18"/>
              </w:rPr>
              <w:t>Frozen v1 persistence decision: Amazon Aurora PostgreSQL is the authoritative ServiceForm AI transactional datastore. DynamoDB is not part of the v1 runtime architecture. Business persistence must be repository-based and event-ready so future derived read models can be added without changing core domain logic.</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Compute</w:t>
            </w:r>
          </w:p>
        </w:tc>
        <w:tc>
          <w:tcPr>
            <w:tcW w:type="dxa" w:w="7416"/>
            <w:vAlign w:val="center"/>
            <w:tcMar>
              <w:top w:w="90" w:type="dxa"/>
              <w:start w:w="110" w:type="dxa"/>
              <w:bottom w:w="90" w:type="dxa"/>
              <w:end w:w="110" w:type="dxa"/>
            </w:tcMar>
          </w:tcPr>
          <w:p>
            <w:pPr>
              <w:spacing w:after="0"/>
            </w:pPr>
            <w:r>
              <w:rPr>
                <w:sz w:val="18"/>
              </w:rPr>
              <w:t>Amazon EKS, multi-AZ. Stateless API/UI services run as Kubernetes Deployments. Durable workers are horizontally scalable. Karpenter/HPA/KEDA scale workloads.</w:t>
            </w:r>
          </w:p>
        </w:tc>
      </w:tr>
      <w:tr>
        <w:trPr>
          <w:cantSplit/>
        </w:trPr>
        <w:tc>
          <w:tcPr>
            <w:tcW w:type="dxa" w:w="2232"/>
            <w:shd w:fill="EAF0F6"/>
            <w:vAlign w:val="center"/>
            <w:tcMar>
              <w:top w:w="90" w:type="dxa"/>
              <w:start w:w="110" w:type="dxa"/>
              <w:bottom w:w="90" w:type="dxa"/>
              <w:end w:w="110" w:type="dxa"/>
            </w:tcMar>
          </w:tcPr>
          <w:p>
            <w:pPr>
              <w:spacing w:after="0"/>
            </w:pPr>
            <w:r>
              <w:rPr>
                <w:b/>
                <w:sz w:val="18"/>
              </w:rPr>
              <w:t>Database</w:t>
            </w:r>
          </w:p>
        </w:tc>
        <w:tc>
          <w:tcPr>
            <w:tcW w:type="dxa" w:w="7416"/>
            <w:vAlign w:val="center"/>
            <w:tcMar>
              <w:top w:w="90" w:type="dxa"/>
              <w:start w:w="110" w:type="dxa"/>
              <w:bottom w:w="90" w:type="dxa"/>
              <w:end w:w="110" w:type="dxa"/>
            </w:tcMar>
          </w:tcPr>
          <w:p>
            <w:pPr>
              <w:spacing w:after="0"/>
            </w:pPr>
            <w:r>
              <w:rPr>
                <w:sz w:val="18"/>
              </w:rPr>
              <w:t>Amazon Aurora PostgreSQL-Compatible. Use connection pooling/RDS Proxy where justified. Pooled tenants use tenant_id + Row Level Security where appropriate; very large/sensitive tenants can be placed in dedicated cells/databases. Aurora Limitless may be evaluated later only when proven write-scaling needs justify its added design constraints.</w:t>
            </w:r>
          </w:p>
        </w:tc>
      </w:tr>
      <w:tr>
        <w:trPr>
          <w:cantSplit/>
        </w:trPr>
        <w:tc>
          <w:tcPr>
            <w:tcW w:type="dxa" w:w="2232"/>
            <w:shd w:fill="EAF0F6"/>
            <w:vAlign w:val="center"/>
            <w:tcMar>
              <w:top w:w="90" w:type="dxa"/>
              <w:start w:w="110" w:type="dxa"/>
              <w:bottom w:w="90" w:type="dxa"/>
              <w:end w:w="110" w:type="dxa"/>
            </w:tcMar>
          </w:tcPr>
          <w:p>
            <w:pPr>
              <w:spacing w:after="0"/>
            </w:pPr>
            <w:r>
              <w:rPr>
                <w:b/>
                <w:sz w:val="18"/>
              </w:rPr>
              <w:t>Identity</w:t>
            </w:r>
          </w:p>
        </w:tc>
        <w:tc>
          <w:tcPr>
            <w:tcW w:type="dxa" w:w="7416"/>
            <w:vAlign w:val="center"/>
            <w:tcMar>
              <w:top w:w="90" w:type="dxa"/>
              <w:start w:w="110" w:type="dxa"/>
              <w:bottom w:w="90" w:type="dxa"/>
              <w:end w:w="110" w:type="dxa"/>
            </w:tcMar>
          </w:tcPr>
          <w:p>
            <w:pPr>
              <w:spacing w:after="0"/>
            </w:pPr>
            <w:r>
              <w:rPr>
                <w:sz w:val="18"/>
              </w:rPr>
              <w:t>Government officers/admins authenticate through Keycloak. Citizens initially authenticate through a dedicated Citizen Identity Service using mobile OTP, then may verify identity/claims through DigiLocker; DigiLocker SSO is added later as another citizen authentication method. Keep citizen business profile outside Keycloak and never use mobile number as the permanent citizen key.</w:t>
            </w:r>
          </w:p>
        </w:tc>
      </w:tr>
      <w:tr>
        <w:trPr>
          <w:cantSplit/>
        </w:trPr>
        <w:tc>
          <w:tcPr>
            <w:tcW w:type="dxa" w:w="2232"/>
            <w:shd w:fill="EAF0F6"/>
            <w:vAlign w:val="center"/>
            <w:tcMar>
              <w:top w:w="90" w:type="dxa"/>
              <w:start w:w="110" w:type="dxa"/>
              <w:bottom w:w="90" w:type="dxa"/>
              <w:end w:w="110" w:type="dxa"/>
            </w:tcMar>
          </w:tcPr>
          <w:p>
            <w:pPr>
              <w:spacing w:after="0"/>
            </w:pPr>
            <w:r>
              <w:rPr>
                <w:b/>
                <w:sz w:val="18"/>
              </w:rPr>
              <w:t>Authorization</w:t>
            </w:r>
          </w:p>
        </w:tc>
        <w:tc>
          <w:tcPr>
            <w:tcW w:type="dxa" w:w="7416"/>
            <w:vAlign w:val="center"/>
            <w:tcMar>
              <w:top w:w="90" w:type="dxa"/>
              <w:start w:w="110" w:type="dxa"/>
              <w:bottom w:w="90" w:type="dxa"/>
              <w:end w:w="110" w:type="dxa"/>
            </w:tcMar>
          </w:tcPr>
          <w:p>
            <w:pPr>
              <w:spacing w:after="0"/>
            </w:pPr>
            <w:r>
              <w:rPr>
                <w:sz w:val="18"/>
              </w:rPr>
              <w:t>OPA for service/API authorization policy; application domain additionally enforces organization, jurisdiction, service and case scope.</w:t>
            </w:r>
          </w:p>
        </w:tc>
      </w:tr>
      <w:tr>
        <w:trPr>
          <w:cantSplit/>
        </w:trPr>
        <w:tc>
          <w:tcPr>
            <w:tcW w:type="dxa" w:w="2232"/>
            <w:shd w:fill="EAF0F6"/>
            <w:vAlign w:val="center"/>
            <w:tcMar>
              <w:top w:w="90" w:type="dxa"/>
              <w:start w:w="110" w:type="dxa"/>
              <w:bottom w:w="90" w:type="dxa"/>
              <w:end w:w="110" w:type="dxa"/>
            </w:tcMar>
          </w:tcPr>
          <w:p>
            <w:pPr>
              <w:spacing w:after="0"/>
            </w:pPr>
            <w:r>
              <w:rPr>
                <w:b/>
                <w:sz w:val="18"/>
              </w:rPr>
              <w:t>Rules</w:t>
            </w:r>
          </w:p>
        </w:tc>
        <w:tc>
          <w:tcPr>
            <w:tcW w:type="dxa" w:w="7416"/>
            <w:vAlign w:val="center"/>
            <w:tcMar>
              <w:top w:w="90" w:type="dxa"/>
              <w:start w:w="110" w:type="dxa"/>
              <w:bottom w:w="90" w:type="dxa"/>
              <w:end w:w="110" w:type="dxa"/>
            </w:tcMar>
          </w:tcPr>
          <w:p>
            <w:pPr>
              <w:spacing w:after="0"/>
            </w:pPr>
            <w:r>
              <w:rPr>
                <w:sz w:val="18"/>
              </w:rPr>
              <w:t>GoRules ZEN Engine for deterministic eligibility, evidence, fee and routing decisions; rules stored as versioned portable JSON. OPA is NOT the statutory eligibility engine.</w:t>
            </w:r>
          </w:p>
        </w:tc>
      </w:tr>
      <w:tr>
        <w:trPr>
          <w:cantSplit/>
        </w:trPr>
        <w:tc>
          <w:tcPr>
            <w:tcW w:type="dxa" w:w="2232"/>
            <w:shd w:fill="EAF0F6"/>
            <w:vAlign w:val="center"/>
            <w:tcMar>
              <w:top w:w="90" w:type="dxa"/>
              <w:start w:w="110" w:type="dxa"/>
              <w:bottom w:w="90" w:type="dxa"/>
              <w:end w:w="110" w:type="dxa"/>
            </w:tcMar>
          </w:tcPr>
          <w:p>
            <w:pPr>
              <w:spacing w:after="0"/>
            </w:pPr>
            <w:r>
              <w:rPr>
                <w:b/>
                <w:sz w:val="18"/>
              </w:rPr>
              <w:t>Forms</w:t>
            </w:r>
          </w:p>
        </w:tc>
        <w:tc>
          <w:tcPr>
            <w:tcW w:type="dxa" w:w="7416"/>
            <w:vAlign w:val="center"/>
            <w:tcMar>
              <w:top w:w="90" w:type="dxa"/>
              <w:start w:w="110" w:type="dxa"/>
              <w:bottom w:w="90" w:type="dxa"/>
              <w:end w:w="110" w:type="dxa"/>
            </w:tcMar>
          </w:tcPr>
          <w:p>
            <w:pPr>
              <w:spacing w:after="0"/>
            </w:pPr>
            <w:r>
              <w:rPr>
                <w:sz w:val="18"/>
              </w:rPr>
              <w:t>JSON Schema + UI Schema; JSON Forms as React rendering base with ServiceForm-owned renderer library and accessibility controls. Flutter implements the same schema contract natively.</w:t>
            </w:r>
          </w:p>
        </w:tc>
      </w:tr>
      <w:tr>
        <w:trPr>
          <w:cantSplit/>
        </w:trPr>
        <w:tc>
          <w:tcPr>
            <w:tcW w:type="dxa" w:w="2232"/>
            <w:shd w:fill="EAF0F6"/>
            <w:vAlign w:val="center"/>
            <w:tcMar>
              <w:top w:w="90" w:type="dxa"/>
              <w:start w:w="110" w:type="dxa"/>
              <w:bottom w:w="90" w:type="dxa"/>
              <w:end w:w="110" w:type="dxa"/>
            </w:tcMar>
          </w:tcPr>
          <w:p>
            <w:pPr>
              <w:spacing w:after="0"/>
            </w:pPr>
            <w:r>
              <w:rPr>
                <w:b/>
                <w:sz w:val="18"/>
              </w:rPr>
              <w:t>Workflow</w:t>
            </w:r>
          </w:p>
        </w:tc>
        <w:tc>
          <w:tcPr>
            <w:tcW w:type="dxa" w:w="7416"/>
            <w:vAlign w:val="center"/>
            <w:tcMar>
              <w:top w:w="90" w:type="dxa"/>
              <w:start w:w="110" w:type="dxa"/>
              <w:bottom w:w="90" w:type="dxa"/>
              <w:end w:w="110" w:type="dxa"/>
            </w:tcMar>
          </w:tcPr>
          <w:p>
            <w:pPr>
              <w:spacing w:after="0"/>
            </w:pPr>
            <w:r>
              <w:rPr>
                <w:sz w:val="18"/>
              </w:rPr>
              <w:t>Temporal Server self-hosted on EKS for durable execution; ServiceForm owns workflow metadata/DSL, task model and visual designer. Flowable OSS is the BPMN-first alternative if formal BPMN/CMMN/DMN interchange is mandatory.</w:t>
            </w:r>
          </w:p>
        </w:tc>
      </w:tr>
      <w:tr>
        <w:trPr>
          <w:cantSplit/>
        </w:trPr>
        <w:tc>
          <w:tcPr>
            <w:tcW w:type="dxa" w:w="2232"/>
            <w:shd w:fill="EAF0F6"/>
            <w:vAlign w:val="center"/>
            <w:tcMar>
              <w:top w:w="90" w:type="dxa"/>
              <w:start w:w="110" w:type="dxa"/>
              <w:bottom w:w="90" w:type="dxa"/>
              <w:end w:w="110" w:type="dxa"/>
            </w:tcMar>
          </w:tcPr>
          <w:p>
            <w:pPr>
              <w:spacing w:after="0"/>
            </w:pPr>
            <w:r>
              <w:rPr>
                <w:b/>
                <w:sz w:val="18"/>
              </w:rPr>
              <w:t>Events</w:t>
            </w:r>
          </w:p>
        </w:tc>
        <w:tc>
          <w:tcPr>
            <w:tcW w:type="dxa" w:w="7416"/>
            <w:vAlign w:val="center"/>
            <w:tcMar>
              <w:top w:w="90" w:type="dxa"/>
              <w:start w:w="110" w:type="dxa"/>
              <w:bottom w:w="90" w:type="dxa"/>
              <w:end w:w="110" w:type="dxa"/>
            </w:tcMar>
          </w:tcPr>
          <w:p>
            <w:pPr>
              <w:spacing w:after="0"/>
            </w:pPr>
            <w:r>
              <w:rPr>
                <w:sz w:val="18"/>
              </w:rPr>
              <w:t>Apache Kafka through Amazon MSK for domain events; SQS for retryable integration work/isolated queues; outbox/inbox patterns mandatory.</w:t>
            </w:r>
          </w:p>
        </w:tc>
      </w:tr>
      <w:tr>
        <w:trPr>
          <w:cantSplit/>
        </w:trPr>
        <w:tc>
          <w:tcPr>
            <w:tcW w:type="dxa" w:w="2232"/>
            <w:shd w:fill="EAF0F6"/>
            <w:vAlign w:val="center"/>
            <w:tcMar>
              <w:top w:w="90" w:type="dxa"/>
              <w:start w:w="110" w:type="dxa"/>
              <w:bottom w:w="90" w:type="dxa"/>
              <w:end w:w="110" w:type="dxa"/>
            </w:tcMar>
          </w:tcPr>
          <w:p>
            <w:pPr>
              <w:spacing w:after="0"/>
            </w:pPr>
            <w:r>
              <w:rPr>
                <w:b/>
                <w:sz w:val="18"/>
              </w:rPr>
              <w:t>Search</w:t>
            </w:r>
          </w:p>
        </w:tc>
        <w:tc>
          <w:tcPr>
            <w:tcW w:type="dxa" w:w="7416"/>
            <w:vAlign w:val="center"/>
            <w:tcMar>
              <w:top w:w="90" w:type="dxa"/>
              <w:start w:w="110" w:type="dxa"/>
              <w:bottom w:w="90" w:type="dxa"/>
              <w:end w:w="110" w:type="dxa"/>
            </w:tcMar>
          </w:tcPr>
          <w:p>
            <w:pPr>
              <w:spacing w:after="0"/>
            </w:pPr>
            <w:r>
              <w:rPr>
                <w:sz w:val="18"/>
              </w:rPr>
              <w:t>Amazon OpenSearch Service for service/application search and recommendation candidate retrieval; PostgreSQL remains system of record.</w:t>
            </w:r>
          </w:p>
        </w:tc>
      </w:tr>
      <w:tr>
        <w:trPr>
          <w:cantSplit/>
        </w:trPr>
        <w:tc>
          <w:tcPr>
            <w:tcW w:type="dxa" w:w="2232"/>
            <w:shd w:fill="EAF0F6"/>
            <w:vAlign w:val="center"/>
            <w:tcMar>
              <w:top w:w="90" w:type="dxa"/>
              <w:start w:w="110" w:type="dxa"/>
              <w:bottom w:w="90" w:type="dxa"/>
              <w:end w:w="110" w:type="dxa"/>
            </w:tcMar>
          </w:tcPr>
          <w:p>
            <w:pPr>
              <w:spacing w:after="0"/>
            </w:pPr>
            <w:r>
              <w:rPr>
                <w:b/>
                <w:sz w:val="18"/>
              </w:rPr>
              <w:t>Storage</w:t>
            </w:r>
          </w:p>
        </w:tc>
        <w:tc>
          <w:tcPr>
            <w:tcW w:type="dxa" w:w="7416"/>
            <w:vAlign w:val="center"/>
            <w:tcMar>
              <w:top w:w="90" w:type="dxa"/>
              <w:start w:w="110" w:type="dxa"/>
              <w:bottom w:w="90" w:type="dxa"/>
              <w:end w:w="110" w:type="dxa"/>
            </w:tcMar>
          </w:tcPr>
          <w:p>
            <w:pPr>
              <w:spacing w:after="0"/>
            </w:pPr>
            <w:r>
              <w:rPr>
                <w:sz w:val="18"/>
              </w:rPr>
              <w:t>Amazon S3 with SSE-KMS, versioning and lifecycle policies; quarantine/scan before evidence is accepted.</w:t>
            </w:r>
          </w:p>
        </w:tc>
      </w:tr>
      <w:tr>
        <w:trPr>
          <w:cantSplit/>
        </w:trPr>
        <w:tc>
          <w:tcPr>
            <w:tcW w:type="dxa" w:w="2232"/>
            <w:shd w:fill="EAF0F6"/>
            <w:vAlign w:val="center"/>
            <w:tcMar>
              <w:top w:w="90" w:type="dxa"/>
              <w:start w:w="110" w:type="dxa"/>
              <w:bottom w:w="90" w:type="dxa"/>
              <w:end w:w="110" w:type="dxa"/>
            </w:tcMar>
          </w:tcPr>
          <w:p>
            <w:pPr>
              <w:spacing w:after="0"/>
            </w:pPr>
            <w:r>
              <w:rPr>
                <w:b/>
                <w:sz w:val="18"/>
              </w:rPr>
              <w:t>AI</w:t>
            </w:r>
          </w:p>
        </w:tc>
        <w:tc>
          <w:tcPr>
            <w:tcW w:type="dxa" w:w="7416"/>
            <w:vAlign w:val="center"/>
            <w:tcMar>
              <w:top w:w="90" w:type="dxa"/>
              <w:start w:w="110" w:type="dxa"/>
              <w:bottom w:w="90" w:type="dxa"/>
              <w:end w:w="110" w:type="dxa"/>
            </w:tcMar>
          </w:tcPr>
          <w:p>
            <w:pPr>
              <w:spacing w:after="0"/>
            </w:pPr>
            <w:r>
              <w:rPr>
                <w:sz w:val="18"/>
              </w:rPr>
              <w:t>Amazon Bedrock initially, behind an AI Gateway. No product service calls a model provider directly. Model-provider portability and PII controls are mandatory.</w:t>
            </w:r>
          </w:p>
        </w:tc>
      </w:tr>
      <w:tr>
        <w:trPr>
          <w:cantSplit/>
        </w:trPr>
        <w:tc>
          <w:tcPr>
            <w:tcW w:type="dxa" w:w="2232"/>
            <w:shd w:fill="EAF0F6"/>
            <w:vAlign w:val="center"/>
            <w:tcMar>
              <w:top w:w="90" w:type="dxa"/>
              <w:start w:w="110" w:type="dxa"/>
              <w:bottom w:w="90" w:type="dxa"/>
              <w:end w:w="110" w:type="dxa"/>
            </w:tcMar>
          </w:tcPr>
          <w:p>
            <w:pPr>
              <w:spacing w:after="0"/>
            </w:pPr>
            <w:r>
              <w:rPr>
                <w:b/>
                <w:sz w:val="18"/>
              </w:rPr>
              <w:t>Observability</w:t>
            </w:r>
          </w:p>
        </w:tc>
        <w:tc>
          <w:tcPr>
            <w:tcW w:type="dxa" w:w="7416"/>
            <w:vAlign w:val="center"/>
            <w:tcMar>
              <w:top w:w="90" w:type="dxa"/>
              <w:start w:w="110" w:type="dxa"/>
              <w:bottom w:w="90" w:type="dxa"/>
              <w:end w:w="110" w:type="dxa"/>
            </w:tcMar>
          </w:tcPr>
          <w:p>
            <w:pPr>
              <w:spacing w:after="0"/>
            </w:pPr>
            <w:r>
              <w:rPr>
                <w:sz w:val="18"/>
              </w:rPr>
              <w:t>OpenTelemetry instrumentation; CloudWatch initially, with Prometheus/AMP and Grafana/AMG for platform metrics and SLO dashboards.</w:t>
            </w:r>
          </w:p>
        </w:tc>
      </w:tr>
      <w:tr>
        <w:trPr>
          <w:cantSplit/>
        </w:trPr>
        <w:tc>
          <w:tcPr>
            <w:tcW w:type="dxa" w:w="2232"/>
            <w:shd w:fill="EAF0F6"/>
            <w:vAlign w:val="center"/>
            <w:tcMar>
              <w:top w:w="90" w:type="dxa"/>
              <w:start w:w="110" w:type="dxa"/>
              <w:bottom w:w="90" w:type="dxa"/>
              <w:end w:w="110" w:type="dxa"/>
            </w:tcMar>
          </w:tcPr>
          <w:p>
            <w:pPr>
              <w:spacing w:after="0"/>
            </w:pPr>
            <w:r>
              <w:rPr>
                <w:b/>
                <w:sz w:val="18"/>
              </w:rPr>
              <w:t>DR</w:t>
            </w:r>
          </w:p>
        </w:tc>
        <w:tc>
          <w:tcPr>
            <w:tcW w:type="dxa" w:w="7416"/>
            <w:vAlign w:val="center"/>
            <w:tcMar>
              <w:top w:w="90" w:type="dxa"/>
              <w:start w:w="110" w:type="dxa"/>
              <w:bottom w:w="90" w:type="dxa"/>
              <w:end w:w="110" w:type="dxa"/>
            </w:tcMar>
          </w:tcPr>
          <w:p>
            <w:pPr>
              <w:spacing w:after="0"/>
            </w:pPr>
            <w:r>
              <w:rPr>
                <w:sz w:val="18"/>
              </w:rPr>
              <w:t>Primary region proposed in India with second India region for DR where service availability permits. Service-by-service regional availability must be validated before production.</w:t>
            </w:r>
          </w:p>
        </w:tc>
      </w:tr>
    </w:tbl>
    <w:p>
      <w:pPr>
        <w:jc w:val="center"/>
      </w:pPr>
      <w:r>
        <w:drawing>
          <wp:inline xmlns:a="http://schemas.openxmlformats.org/drawingml/2006/main" xmlns:pic="http://schemas.openxmlformats.org/drawingml/2006/picture">
            <wp:extent cx="6126480" cy="1298887"/>
            <wp:docPr id="1" name="Picture 1"/>
            <wp:cNvGraphicFramePr>
              <a:graphicFrameLocks noChangeAspect="1"/>
            </wp:cNvGraphicFramePr>
            <a:graphic>
              <a:graphicData uri="http://schemas.openxmlformats.org/drawingml/2006/picture">
                <pic:pic>
                  <pic:nvPicPr>
                    <pic:cNvPr id="0" name="component_domains.png"/>
                    <pic:cNvPicPr/>
                  </pic:nvPicPr>
                  <pic:blipFill>
                    <a:blip r:embed="rId9"/>
                    <a:stretch>
                      <a:fillRect/>
                    </a:stretch>
                  </pic:blipFill>
                  <pic:spPr>
                    <a:xfrm>
                      <a:off x="0" y="0"/>
                      <a:ext cx="6126480" cy="1298887"/>
                    </a:xfrm>
                    <a:prstGeom prst="rect"/>
                  </pic:spPr>
                </pic:pic>
              </a:graphicData>
            </a:graphic>
          </wp:inline>
        </w:drawing>
      </w:r>
    </w:p>
    <w:p>
      <w:pPr>
        <w:pStyle w:val="Caption"/>
        <w:jc w:val="center"/>
      </w:pPr>
      <w:r>
        <w:t>Figure 1 - ServiceForm AI capability domains</w:t>
      </w:r>
    </w:p>
    <w:p>
      <w:pPr>
        <w:pStyle w:val="Heading1"/>
      </w:pPr>
      <w:r>
        <w:t>2. AWS Reference Deployment</w:t>
      </w:r>
    </w:p>
    <w:p>
      <w:pPr>
        <w:jc w:val="center"/>
      </w:pPr>
      <w:r>
        <w:drawing>
          <wp:inline xmlns:a="http://schemas.openxmlformats.org/drawingml/2006/main" xmlns:pic="http://schemas.openxmlformats.org/drawingml/2006/picture">
            <wp:extent cx="6126480" cy="4322197"/>
            <wp:docPr id="2" name="Picture 2"/>
            <wp:cNvGraphicFramePr>
              <a:graphicFrameLocks noChangeAspect="1"/>
            </wp:cNvGraphicFramePr>
            <a:graphic>
              <a:graphicData uri="http://schemas.openxmlformats.org/drawingml/2006/picture">
                <pic:pic>
                  <pic:nvPicPr>
                    <pic:cNvPr id="0" name="aws_arch.png"/>
                    <pic:cNvPicPr/>
                  </pic:nvPicPr>
                  <pic:blipFill>
                    <a:blip r:embed="rId10"/>
                    <a:stretch>
                      <a:fillRect/>
                    </a:stretch>
                  </pic:blipFill>
                  <pic:spPr>
                    <a:xfrm>
                      <a:off x="0" y="0"/>
                      <a:ext cx="6126480" cy="4322197"/>
                    </a:xfrm>
                    <a:prstGeom prst="rect"/>
                  </pic:spPr>
                </pic:pic>
              </a:graphicData>
            </a:graphic>
          </wp:inline>
        </w:drawing>
      </w:r>
    </w:p>
    <w:p>
      <w:pPr>
        <w:pStyle w:val="Caption"/>
        <w:jc w:val="center"/>
      </w:pPr>
      <w:r>
        <w:t>Figure 2 - AWS-first reference deployment</w:t>
      </w:r>
    </w:p>
    <w:p>
      <w:r>
        <w:t>The platform should be cloud-native rather than cloud-hard-coded. AWS managed services are used where they materially improve reliability or operational burden, but contracts remain portable: PostgreSQL-compatible persistence, S3-compatible object access, Kafka-compatible events, OpenID Connect, OpenTelemetry, OpenAPI, AsyncAPI and JSON Schema.</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Edge</w:t>
            </w:r>
          </w:p>
        </w:tc>
        <w:tc>
          <w:tcPr>
            <w:tcW w:type="dxa" w:w="7416"/>
            <w:vAlign w:val="center"/>
            <w:tcMar>
              <w:top w:w="90" w:type="dxa"/>
              <w:start w:w="110" w:type="dxa"/>
              <w:bottom w:w="90" w:type="dxa"/>
              <w:end w:w="110" w:type="dxa"/>
            </w:tcMar>
          </w:tcPr>
          <w:p>
            <w:pPr>
              <w:spacing w:after="0"/>
            </w:pPr>
            <w:r>
              <w:rPr>
                <w:sz w:val="18"/>
              </w:rPr>
              <w:t>Route 53; CloudFront where useful; AWS WAF; AWS Shield baseline; Global Accelerator for multi-region/site routing when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Ingress</w:t>
            </w:r>
          </w:p>
        </w:tc>
        <w:tc>
          <w:tcPr>
            <w:tcW w:type="dxa" w:w="7416"/>
            <w:vAlign w:val="center"/>
            <w:tcMar>
              <w:top w:w="90" w:type="dxa"/>
              <w:start w:w="110" w:type="dxa"/>
              <w:bottom w:w="90" w:type="dxa"/>
              <w:end w:w="110" w:type="dxa"/>
            </w:tcMar>
          </w:tcPr>
          <w:p>
            <w:pPr>
              <w:spacing w:after="0"/>
            </w:pPr>
            <w:r>
              <w:rPr>
                <w:sz w:val="18"/>
              </w:rPr>
              <w:t>ALB/EKS Ingress for citizen/admin web and internal APIs. Amazon API Gateway for governed partner/public APIs where quotas, keys, usage plans or external lifecycle management are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EKS</w:t>
            </w:r>
          </w:p>
        </w:tc>
        <w:tc>
          <w:tcPr>
            <w:tcW w:type="dxa" w:w="7416"/>
            <w:vAlign w:val="center"/>
            <w:tcMar>
              <w:top w:w="90" w:type="dxa"/>
              <w:start w:w="110" w:type="dxa"/>
              <w:bottom w:w="90" w:type="dxa"/>
              <w:end w:w="110" w:type="dxa"/>
            </w:tcMar>
          </w:tcPr>
          <w:p>
            <w:pPr>
              <w:spacing w:after="0"/>
            </w:pPr>
            <w:r>
              <w:rPr>
                <w:sz w:val="18"/>
              </w:rPr>
              <w:t>At least three Availability Zones for production. Separate system and application node capacity. PodDisruptionBudgets, topology spread, anti-affinity and readiness/startup probes are mandatory.</w:t>
            </w:r>
          </w:p>
        </w:tc>
      </w:tr>
      <w:tr>
        <w:trPr>
          <w:cantSplit/>
        </w:trPr>
        <w:tc>
          <w:tcPr>
            <w:tcW w:type="dxa" w:w="2232"/>
            <w:shd w:fill="EAF0F6"/>
            <w:vAlign w:val="center"/>
            <w:tcMar>
              <w:top w:w="90" w:type="dxa"/>
              <w:start w:w="110" w:type="dxa"/>
              <w:bottom w:w="90" w:type="dxa"/>
              <w:end w:w="110" w:type="dxa"/>
            </w:tcMar>
          </w:tcPr>
          <w:p>
            <w:pPr>
              <w:spacing w:after="0"/>
            </w:pPr>
            <w:r>
              <w:rPr>
                <w:b/>
                <w:sz w:val="18"/>
              </w:rPr>
              <w:t>Scaling</w:t>
            </w:r>
          </w:p>
        </w:tc>
        <w:tc>
          <w:tcPr>
            <w:tcW w:type="dxa" w:w="7416"/>
            <w:vAlign w:val="center"/>
            <w:tcMar>
              <w:top w:w="90" w:type="dxa"/>
              <w:start w:w="110" w:type="dxa"/>
              <w:bottom w:w="90" w:type="dxa"/>
              <w:end w:w="110" w:type="dxa"/>
            </w:tcMar>
          </w:tcPr>
          <w:p>
            <w:pPr>
              <w:spacing w:after="0"/>
            </w:pPr>
            <w:r>
              <w:rPr>
                <w:sz w:val="18"/>
              </w:rPr>
              <w:t>HPA for CPU/memory/custom metrics, KEDA for queue/event-driven workers, Karpenter or EKS Auto Mode for node capacity after benchmark validation.</w:t>
            </w:r>
          </w:p>
        </w:tc>
      </w:tr>
      <w:tr>
        <w:trPr>
          <w:cantSplit/>
        </w:trPr>
        <w:tc>
          <w:tcPr>
            <w:tcW w:type="dxa" w:w="2232"/>
            <w:shd w:fill="EAF0F6"/>
            <w:vAlign w:val="center"/>
            <w:tcMar>
              <w:top w:w="90" w:type="dxa"/>
              <w:start w:w="110" w:type="dxa"/>
              <w:bottom w:w="90" w:type="dxa"/>
              <w:end w:w="110" w:type="dxa"/>
            </w:tcMar>
          </w:tcPr>
          <w:p>
            <w:pPr>
              <w:spacing w:after="0"/>
            </w:pPr>
            <w:r>
              <w:rPr>
                <w:b/>
                <w:sz w:val="18"/>
              </w:rPr>
              <w:t>Data</w:t>
            </w:r>
          </w:p>
        </w:tc>
        <w:tc>
          <w:tcPr>
            <w:tcW w:type="dxa" w:w="7416"/>
            <w:vAlign w:val="center"/>
            <w:tcMar>
              <w:top w:w="90" w:type="dxa"/>
              <w:start w:w="110" w:type="dxa"/>
              <w:bottom w:w="90" w:type="dxa"/>
              <w:end w:w="110" w:type="dxa"/>
            </w:tcMar>
          </w:tcPr>
          <w:p>
            <w:pPr>
              <w:spacing w:after="0"/>
            </w:pPr>
            <w:r>
              <w:rPr>
                <w:sz w:val="18"/>
              </w:rPr>
              <w:t>Aurora PostgreSQL multi-AZ; RDS Proxy/connection pooling for high-concurrency application tiers where benchmarked beneficial; Redis-compatible ElastiCache; S3; OpenSearch; MSK. Do not deploy stateful databases inside the general EKS application cluster for production.</w:t>
            </w:r>
          </w:p>
        </w:tc>
      </w:tr>
      <w:tr>
        <w:trPr>
          <w:cantSplit/>
        </w:trPr>
        <w:tc>
          <w:tcPr>
            <w:tcW w:type="dxa" w:w="2232"/>
            <w:shd w:fill="EAF0F6"/>
            <w:vAlign w:val="center"/>
            <w:tcMar>
              <w:top w:w="90" w:type="dxa"/>
              <w:start w:w="110" w:type="dxa"/>
              <w:bottom w:w="90" w:type="dxa"/>
              <w:end w:w="110" w:type="dxa"/>
            </w:tcMar>
          </w:tcPr>
          <w:p>
            <w:pPr>
              <w:spacing w:after="0"/>
            </w:pPr>
            <w:r>
              <w:rPr>
                <w:b/>
                <w:sz w:val="18"/>
              </w:rPr>
              <w:t>Network</w:t>
            </w:r>
          </w:p>
        </w:tc>
        <w:tc>
          <w:tcPr>
            <w:tcW w:type="dxa" w:w="7416"/>
            <w:vAlign w:val="center"/>
            <w:tcMar>
              <w:top w:w="90" w:type="dxa"/>
              <w:start w:w="110" w:type="dxa"/>
              <w:bottom w:w="90" w:type="dxa"/>
              <w:end w:w="110" w:type="dxa"/>
            </w:tcMar>
          </w:tcPr>
          <w:p>
            <w:pPr>
              <w:spacing w:after="0"/>
            </w:pPr>
            <w:r>
              <w:rPr>
                <w:sz w:val="18"/>
              </w:rPr>
              <w:t>Private subnets for data/services; VPC endpoints where practical; NAT minimized; workload identity via IAM Roles for Service Accounts / pod identity; explicit egress policy.</w:t>
            </w:r>
          </w:p>
        </w:tc>
      </w:tr>
      <w:tr>
        <w:trPr>
          <w:cantSplit/>
        </w:trPr>
        <w:tc>
          <w:tcPr>
            <w:tcW w:type="dxa" w:w="2232"/>
            <w:shd w:fill="EAF0F6"/>
            <w:vAlign w:val="center"/>
            <w:tcMar>
              <w:top w:w="90" w:type="dxa"/>
              <w:start w:w="110" w:type="dxa"/>
              <w:bottom w:w="90" w:type="dxa"/>
              <w:end w:w="110" w:type="dxa"/>
            </w:tcMar>
          </w:tcPr>
          <w:p>
            <w:pPr>
              <w:spacing w:after="0"/>
            </w:pPr>
            <w:r>
              <w:rPr>
                <w:b/>
                <w:sz w:val="18"/>
              </w:rPr>
              <w:t>Secrets</w:t>
            </w:r>
          </w:p>
        </w:tc>
        <w:tc>
          <w:tcPr>
            <w:tcW w:type="dxa" w:w="7416"/>
            <w:vAlign w:val="center"/>
            <w:tcMar>
              <w:top w:w="90" w:type="dxa"/>
              <w:start w:w="110" w:type="dxa"/>
              <w:bottom w:w="90" w:type="dxa"/>
              <w:end w:w="110" w:type="dxa"/>
            </w:tcMar>
          </w:tcPr>
          <w:p>
            <w:pPr>
              <w:spacing w:after="0"/>
            </w:pPr>
            <w:r>
              <w:rPr>
                <w:sz w:val="18"/>
              </w:rPr>
              <w:t>AWS KMS + Secrets Manager/Parameter Store. No long-lived AWS keys in pods, CI logs, source or config files.</w:t>
            </w:r>
          </w:p>
        </w:tc>
      </w:tr>
    </w:tbl>
    <w:p>
      <w:pPr>
        <w:jc w:val="center"/>
      </w:pPr>
      <w:r>
        <w:drawing>
          <wp:inline xmlns:a="http://schemas.openxmlformats.org/drawingml/2006/main" xmlns:pic="http://schemas.openxmlformats.org/drawingml/2006/picture">
            <wp:extent cx="6035040" cy="3737831"/>
            <wp:docPr id="3" name="Picture 3"/>
            <wp:cNvGraphicFramePr>
              <a:graphicFrameLocks noChangeAspect="1"/>
            </wp:cNvGraphicFramePr>
            <a:graphic>
              <a:graphicData uri="http://schemas.openxmlformats.org/drawingml/2006/picture">
                <pic:pic>
                  <pic:nvPicPr>
                    <pic:cNvPr id="0" name="cell_arch.png"/>
                    <pic:cNvPicPr/>
                  </pic:nvPicPr>
                  <pic:blipFill>
                    <a:blip r:embed="rId11"/>
                    <a:stretch>
                      <a:fillRect/>
                    </a:stretch>
                  </pic:blipFill>
                  <pic:spPr>
                    <a:xfrm>
                      <a:off x="0" y="0"/>
                      <a:ext cx="6035040" cy="3737831"/>
                    </a:xfrm>
                    <a:prstGeom prst="rect"/>
                  </pic:spPr>
                </pic:pic>
              </a:graphicData>
            </a:graphic>
          </wp:inline>
        </w:drawing>
      </w:r>
    </w:p>
    <w:p>
      <w:pPr>
        <w:pStyle w:val="Caption"/>
        <w:jc w:val="center"/>
      </w:pPr>
      <w:r>
        <w:t>Figure 3 - Cell-based scaling and blast-radius architecture</w:t>
      </w:r>
    </w:p>
    <w:tbl>
      <w:tblPr>
        <w:tblW w:type="auto" w:w="0"/>
        <w:jc w:val="center"/>
        <w:tblLayout w:type="fixed"/>
        <w:tblLook w:firstColumn="1" w:firstRow="1" w:lastColumn="0" w:lastRow="0" w:noHBand="0" w:noVBand="1" w:val="04A0"/>
      </w:tblPr>
      <w:tblGrid>
        <w:gridCol w:w="10166"/>
      </w:tblGrid>
      <w:tr>
        <w:trPr>
          <w:cantSplit/>
        </w:trPr>
        <w:tc>
          <w:tcPr>
            <w:tcW w:type="dxa" w:w="9648"/>
            <w:shd w:fill="FFF2CC"/>
            <w:tcMar>
              <w:top w:w="120" w:type="dxa"/>
              <w:start w:w="150" w:type="dxa"/>
              <w:bottom w:w="120" w:type="dxa"/>
              <w:end w:w="150" w:type="dxa"/>
            </w:tcMar>
          </w:tcPr>
          <w:p>
            <w:r>
              <w:rPr>
                <w:b/>
              </w:rPr>
              <w:t xml:space="preserve">India-scale strategy: </w:t>
            </w:r>
            <w:r>
              <w:t>Scale by cells, not only by bigger clusters. A cell is an independently scalable runtime/data boundary containing a subset of tenants or a large dedicated tenant. This limits blast radius, database contention and Keycloak/Redis/search hot spots while keeping a shared control plane for canonical service and configuration governance.</w:t>
            </w:r>
          </w:p>
        </w:tc>
      </w:tr>
    </w:tbl>
    <w:p>
      <w:pPr>
        <w:spacing w:after="0"/>
      </w:pPr>
    </w:p>
    <w:p>
      <w:pPr>
        <w:pStyle w:val="Heading1"/>
      </w:pPr>
      <w:r>
        <w:t>3. Open-Source Component Decisions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655"/>
            <w:shd w:fill="17365D"/>
            <w:tcMar>
              <w:top w:w="90" w:type="dxa"/>
              <w:start w:w="100" w:type="dxa"/>
              <w:bottom w:w="90" w:type="dxa"/>
              <w:end w:w="100" w:type="dxa"/>
            </w:tcMar>
          </w:tcPr>
          <w:p>
            <w:r>
              <w:rPr>
                <w:b/>
                <w:color w:val="FFFFFF"/>
              </w:rPr>
              <w:t>Capability</w:t>
            </w:r>
          </w:p>
        </w:tc>
        <w:tc>
          <w:tcPr>
            <w:tcW w:type="dxa" w:w="1800"/>
            <w:shd w:fill="17365D"/>
            <w:tcMar>
              <w:top w:w="90" w:type="dxa"/>
              <w:start w:w="100" w:type="dxa"/>
              <w:bottom w:w="90" w:type="dxa"/>
              <w:end w:w="100" w:type="dxa"/>
            </w:tcMar>
          </w:tcPr>
          <w:p>
            <w:r>
              <w:rPr>
                <w:b/>
                <w:color w:val="FFFFFF"/>
              </w:rPr>
              <w:t>Recommended</w:t>
            </w:r>
          </w:p>
        </w:tc>
        <w:tc>
          <w:tcPr>
            <w:tcW w:type="dxa" w:w="2232"/>
            <w:shd w:fill="17365D"/>
            <w:tcMar>
              <w:top w:w="90" w:type="dxa"/>
              <w:start w:w="100" w:type="dxa"/>
              <w:bottom w:w="90" w:type="dxa"/>
              <w:end w:w="100" w:type="dxa"/>
            </w:tcMar>
          </w:tcPr>
          <w:p>
            <w:r>
              <w:rPr>
                <w:b/>
                <w:color w:val="FFFFFF"/>
              </w:rPr>
              <w:t>Role</w:t>
            </w:r>
          </w:p>
        </w:tc>
        <w:tc>
          <w:tcPr>
            <w:tcW w:type="dxa" w:w="1800"/>
            <w:shd w:fill="17365D"/>
            <w:tcMar>
              <w:top w:w="90" w:type="dxa"/>
              <w:start w:w="100" w:type="dxa"/>
              <w:bottom w:w="90" w:type="dxa"/>
              <w:end w:w="100" w:type="dxa"/>
            </w:tcMar>
          </w:tcPr>
          <w:p>
            <w:r>
              <w:rPr>
                <w:b/>
                <w:color w:val="FFFFFF"/>
              </w:rPr>
              <w:t>AWS deployment</w:t>
            </w:r>
          </w:p>
        </w:tc>
        <w:tc>
          <w:tcPr>
            <w:tcW w:type="dxa" w:w="2880"/>
            <w:shd w:fill="17365D"/>
            <w:tcMar>
              <w:top w:w="90" w:type="dxa"/>
              <w:start w:w="100" w:type="dxa"/>
              <w:bottom w:w="90" w:type="dxa"/>
              <w:end w:w="100" w:type="dxa"/>
            </w:tcMar>
          </w:tcPr>
          <w:p>
            <w:r>
              <w:rPr>
                <w:b/>
                <w:color w:val="FFFFFF"/>
              </w:rPr>
              <w:t>Decision note</w:t>
            </w:r>
          </w:p>
        </w:tc>
      </w:tr>
      <w:tr>
        <w:trPr>
          <w:cantSplit/>
        </w:trPr>
        <w:tc>
          <w:tcPr>
            <w:tcW w:type="dxa" w:w="2033"/>
            <w:tcMar>
              <w:top w:w="70" w:type="dxa"/>
              <w:start w:w="80" w:type="dxa"/>
              <w:bottom w:w="70" w:type="dxa"/>
              <w:end w:w="80" w:type="dxa"/>
            </w:tcMar>
            <w:vAlign w:val="center"/>
          </w:tcPr>
          <w:p>
            <w:r>
              <w:rPr>
                <w:sz w:val="16"/>
              </w:rPr>
              <w:t>Officer identity</w:t>
            </w:r>
          </w:p>
        </w:tc>
        <w:tc>
          <w:tcPr>
            <w:tcW w:type="dxa" w:w="2033"/>
            <w:tcMar>
              <w:top w:w="70" w:type="dxa"/>
              <w:start w:w="80" w:type="dxa"/>
              <w:bottom w:w="70" w:type="dxa"/>
              <w:end w:w="80" w:type="dxa"/>
            </w:tcMar>
            <w:vAlign w:val="center"/>
          </w:tcPr>
          <w:p>
            <w:r>
              <w:rPr>
                <w:sz w:val="16"/>
              </w:rPr>
              <w:t>Keycloak</w:t>
            </w:r>
          </w:p>
        </w:tc>
        <w:tc>
          <w:tcPr>
            <w:tcW w:type="dxa" w:w="2033"/>
            <w:tcMar>
              <w:top w:w="70" w:type="dxa"/>
              <w:start w:w="80" w:type="dxa"/>
              <w:bottom w:w="70" w:type="dxa"/>
              <w:end w:w="80" w:type="dxa"/>
            </w:tcMar>
            <w:vAlign w:val="center"/>
          </w:tcPr>
          <w:p>
            <w:r>
              <w:rPr>
                <w:sz w:val="16"/>
              </w:rPr>
              <w:t>OIDC/SAML authentication, brokering, MFA for workforce/admins</w:t>
            </w:r>
          </w:p>
        </w:tc>
        <w:tc>
          <w:tcPr>
            <w:tcW w:type="dxa" w:w="2033"/>
            <w:tcMar>
              <w:top w:w="70" w:type="dxa"/>
              <w:start w:w="80" w:type="dxa"/>
              <w:bottom w:w="70" w:type="dxa"/>
              <w:end w:w="80" w:type="dxa"/>
            </w:tcMar>
            <w:vAlign w:val="center"/>
          </w:tcPr>
          <w:p>
            <w:r>
              <w:rPr>
                <w:sz w:val="16"/>
              </w:rPr>
              <w:t>EKS + Aurora PostgreSQL</w:t>
            </w:r>
          </w:p>
        </w:tc>
        <w:tc>
          <w:tcPr>
            <w:tcW w:type="dxa" w:w="2033"/>
            <w:tcMar>
              <w:top w:w="70" w:type="dxa"/>
              <w:start w:w="80" w:type="dxa"/>
              <w:bottom w:w="70" w:type="dxa"/>
              <w:end w:w="80" w:type="dxa"/>
            </w:tcMar>
            <w:vAlign w:val="center"/>
          </w:tcPr>
          <w:p>
            <w:r>
              <w:rPr>
                <w:sz w:val="16"/>
              </w:rPr>
              <w:t>Do not route ordinary citizen OTP sessions through Keycloak. Load-test officer login/token flows and partition only if required.</w:t>
            </w:r>
          </w:p>
        </w:tc>
      </w:tr>
      <w:tr>
        <w:trPr>
          <w:cantSplit/>
        </w:trPr>
        <w:tc>
          <w:tcPr>
            <w:tcW w:type="dxa" w:w="2033"/>
            <w:tcMar>
              <w:top w:w="70" w:type="dxa"/>
              <w:start w:w="80" w:type="dxa"/>
              <w:bottom w:w="70" w:type="dxa"/>
              <w:end w:w="80" w:type="dxa"/>
            </w:tcMar>
            <w:vAlign w:val="center"/>
          </w:tcPr>
          <w:p>
            <w:r>
              <w:rPr>
                <w:sz w:val="16"/>
              </w:rPr>
              <w:t>Citizen identity</w:t>
            </w:r>
          </w:p>
        </w:tc>
        <w:tc>
          <w:tcPr>
            <w:tcW w:type="dxa" w:w="2033"/>
            <w:tcMar>
              <w:top w:w="70" w:type="dxa"/>
              <w:start w:w="80" w:type="dxa"/>
              <w:bottom w:w="70" w:type="dxa"/>
              <w:end w:w="80" w:type="dxa"/>
            </w:tcMar>
            <w:vAlign w:val="center"/>
          </w:tcPr>
          <w:p>
            <w:r>
              <w:rPr>
                <w:sz w:val="16"/>
              </w:rPr>
              <w:t>ServiceForm Citizen Identity Service</w:t>
            </w:r>
          </w:p>
        </w:tc>
        <w:tc>
          <w:tcPr>
            <w:tcW w:type="dxa" w:w="2033"/>
            <w:tcMar>
              <w:top w:w="70" w:type="dxa"/>
              <w:start w:w="80" w:type="dxa"/>
              <w:bottom w:w="70" w:type="dxa"/>
              <w:end w:w="80" w:type="dxa"/>
            </w:tcMar>
            <w:vAlign w:val="center"/>
          </w:tcPr>
          <w:p>
            <w:r>
              <w:rPr>
                <w:sz w:val="16"/>
              </w:rPr>
              <w:t>Mobile OTP initially; DigiLocker verification; later DigiLocker SSO</w:t>
            </w:r>
          </w:p>
        </w:tc>
        <w:tc>
          <w:tcPr>
            <w:tcW w:type="dxa" w:w="2033"/>
            <w:tcMar>
              <w:top w:w="70" w:type="dxa"/>
              <w:start w:w="80" w:type="dxa"/>
              <w:bottom w:w="70" w:type="dxa"/>
              <w:end w:w="80" w:type="dxa"/>
            </w:tcMar>
            <w:vAlign w:val="center"/>
          </w:tcPr>
          <w:p>
            <w:r>
              <w:rPr>
                <w:sz w:val="16"/>
              </w:rPr>
              <w:t>Fastify on EKS + Aurora/Redis + OTP/DigiLocker adapters</w:t>
            </w:r>
          </w:p>
        </w:tc>
        <w:tc>
          <w:tcPr>
            <w:tcW w:type="dxa" w:w="2033"/>
            <w:tcMar>
              <w:top w:w="70" w:type="dxa"/>
              <w:start w:w="80" w:type="dxa"/>
              <w:bottom w:w="70" w:type="dxa"/>
              <w:end w:w="80" w:type="dxa"/>
            </w:tcMar>
            <w:vAlign w:val="center"/>
          </w:tcPr>
          <w:p>
            <w:r>
              <w:rPr>
                <w:sz w:val="16"/>
              </w:rPr>
              <w:t>Immutable citizen_id is the internal key. Authentication method is replaceable; profile and verified claims remain separate.</w:t>
            </w:r>
          </w:p>
        </w:tc>
      </w:tr>
      <w:tr>
        <w:trPr>
          <w:cantSplit/>
        </w:trPr>
        <w:tc>
          <w:tcPr>
            <w:tcW w:type="dxa" w:w="2033"/>
            <w:tcMar>
              <w:top w:w="70" w:type="dxa"/>
              <w:start w:w="80" w:type="dxa"/>
              <w:bottom w:w="70" w:type="dxa"/>
              <w:end w:w="80" w:type="dxa"/>
            </w:tcMar>
            <w:vAlign w:val="center"/>
          </w:tcPr>
          <w:p>
            <w:r>
              <w:rPr>
                <w:sz w:val="16"/>
              </w:rPr>
              <w:t>Authorization</w:t>
            </w:r>
          </w:p>
        </w:tc>
        <w:tc>
          <w:tcPr>
            <w:tcW w:type="dxa" w:w="2033"/>
            <w:tcMar>
              <w:top w:w="70" w:type="dxa"/>
              <w:start w:w="80" w:type="dxa"/>
              <w:bottom w:w="70" w:type="dxa"/>
              <w:end w:w="80" w:type="dxa"/>
            </w:tcMar>
            <w:vAlign w:val="center"/>
          </w:tcPr>
          <w:p>
            <w:r>
              <w:rPr>
                <w:sz w:val="16"/>
              </w:rPr>
              <w:t>OPA</w:t>
            </w:r>
          </w:p>
        </w:tc>
        <w:tc>
          <w:tcPr>
            <w:tcW w:type="dxa" w:w="2033"/>
            <w:tcMar>
              <w:top w:w="70" w:type="dxa"/>
              <w:start w:w="80" w:type="dxa"/>
              <w:bottom w:w="70" w:type="dxa"/>
              <w:end w:w="80" w:type="dxa"/>
            </w:tcMar>
            <w:vAlign w:val="center"/>
          </w:tcPr>
          <w:p>
            <w:r>
              <w:rPr>
                <w:sz w:val="16"/>
              </w:rPr>
              <w:t>ABAC/policy-as-code decisions</w:t>
            </w:r>
          </w:p>
        </w:tc>
        <w:tc>
          <w:tcPr>
            <w:tcW w:type="dxa" w:w="2033"/>
            <w:tcMar>
              <w:top w:w="70" w:type="dxa"/>
              <w:start w:w="80" w:type="dxa"/>
              <w:bottom w:w="70" w:type="dxa"/>
              <w:end w:w="80" w:type="dxa"/>
            </w:tcMar>
            <w:vAlign w:val="center"/>
          </w:tcPr>
          <w:p>
            <w:r>
              <w:rPr>
                <w:sz w:val="16"/>
              </w:rPr>
              <w:t>Sidecar or central EKS service</w:t>
            </w:r>
          </w:p>
        </w:tc>
        <w:tc>
          <w:tcPr>
            <w:tcW w:type="dxa" w:w="2033"/>
            <w:tcMar>
              <w:top w:w="70" w:type="dxa"/>
              <w:start w:w="80" w:type="dxa"/>
              <w:bottom w:w="70" w:type="dxa"/>
              <w:end w:w="80" w:type="dxa"/>
            </w:tcMar>
            <w:vAlign w:val="center"/>
          </w:tcPr>
          <w:p>
            <w:r>
              <w:rPr>
                <w:sz w:val="16"/>
              </w:rPr>
              <w:t>Separate from statutory eligibility rules.</w:t>
            </w:r>
          </w:p>
        </w:tc>
      </w:tr>
      <w:tr>
        <w:trPr>
          <w:cantSplit/>
        </w:trPr>
        <w:tc>
          <w:tcPr>
            <w:tcW w:type="dxa" w:w="2033"/>
            <w:tcMar>
              <w:top w:w="70" w:type="dxa"/>
              <w:start w:w="80" w:type="dxa"/>
              <w:bottom w:w="70" w:type="dxa"/>
              <w:end w:w="80" w:type="dxa"/>
            </w:tcMar>
            <w:vAlign w:val="center"/>
          </w:tcPr>
          <w:p>
            <w:r>
              <w:rPr>
                <w:sz w:val="16"/>
              </w:rPr>
              <w:t>Rules</w:t>
            </w:r>
          </w:p>
        </w:tc>
        <w:tc>
          <w:tcPr>
            <w:tcW w:type="dxa" w:w="2033"/>
            <w:tcMar>
              <w:top w:w="70" w:type="dxa"/>
              <w:start w:w="80" w:type="dxa"/>
              <w:bottom w:w="70" w:type="dxa"/>
              <w:end w:w="80" w:type="dxa"/>
            </w:tcMar>
            <w:vAlign w:val="center"/>
          </w:tcPr>
          <w:p>
            <w:r>
              <w:rPr>
                <w:sz w:val="16"/>
              </w:rPr>
              <w:t>GoRules ZEN</w:t>
            </w:r>
          </w:p>
        </w:tc>
        <w:tc>
          <w:tcPr>
            <w:tcW w:type="dxa" w:w="2033"/>
            <w:tcMar>
              <w:top w:w="70" w:type="dxa"/>
              <w:start w:w="80" w:type="dxa"/>
              <w:bottom w:w="70" w:type="dxa"/>
              <w:end w:w="80" w:type="dxa"/>
            </w:tcMar>
            <w:vAlign w:val="center"/>
          </w:tcPr>
          <w:p>
            <w:r>
              <w:rPr>
                <w:sz w:val="16"/>
              </w:rPr>
              <w:t>Eligibility, fee, evidence, routing decision tables/graphs</w:t>
            </w:r>
          </w:p>
        </w:tc>
        <w:tc>
          <w:tcPr>
            <w:tcW w:type="dxa" w:w="2033"/>
            <w:tcMar>
              <w:top w:w="70" w:type="dxa"/>
              <w:start w:w="80" w:type="dxa"/>
              <w:bottom w:w="70" w:type="dxa"/>
              <w:end w:w="80" w:type="dxa"/>
            </w:tcMar>
            <w:vAlign w:val="center"/>
          </w:tcPr>
          <w:p>
            <w:r>
              <w:rPr>
                <w:sz w:val="16"/>
              </w:rPr>
              <w:t>Embedded Node binding in rules service</w:t>
            </w:r>
          </w:p>
        </w:tc>
        <w:tc>
          <w:tcPr>
            <w:tcW w:type="dxa" w:w="2033"/>
            <w:tcMar>
              <w:top w:w="70" w:type="dxa"/>
              <w:start w:w="80" w:type="dxa"/>
              <w:bottom w:w="70" w:type="dxa"/>
              <w:end w:w="80" w:type="dxa"/>
            </w:tcMar>
            <w:vAlign w:val="center"/>
          </w:tcPr>
          <w:p>
            <w:r>
              <w:rPr>
                <w:sz w:val="16"/>
              </w:rPr>
              <w:t>MIT core, deterministic and JSON-portable.</w:t>
            </w:r>
          </w:p>
        </w:tc>
      </w:tr>
      <w:tr>
        <w:trPr>
          <w:cantSplit/>
        </w:trPr>
        <w:tc>
          <w:tcPr>
            <w:tcW w:type="dxa" w:w="2033"/>
            <w:tcMar>
              <w:top w:w="70" w:type="dxa"/>
              <w:start w:w="80" w:type="dxa"/>
              <w:bottom w:w="70" w:type="dxa"/>
              <w:end w:w="80" w:type="dxa"/>
            </w:tcMar>
            <w:vAlign w:val="center"/>
          </w:tcPr>
          <w:p>
            <w:r>
              <w:rPr>
                <w:sz w:val="16"/>
              </w:rPr>
              <w:t>Workflow</w:t>
            </w:r>
          </w:p>
        </w:tc>
        <w:tc>
          <w:tcPr>
            <w:tcW w:type="dxa" w:w="2033"/>
            <w:tcMar>
              <w:top w:w="70" w:type="dxa"/>
              <w:start w:w="80" w:type="dxa"/>
              <w:bottom w:w="70" w:type="dxa"/>
              <w:end w:w="80" w:type="dxa"/>
            </w:tcMar>
            <w:vAlign w:val="center"/>
          </w:tcPr>
          <w:p>
            <w:r>
              <w:rPr>
                <w:sz w:val="16"/>
              </w:rPr>
              <w:t>Temporal</w:t>
            </w:r>
          </w:p>
        </w:tc>
        <w:tc>
          <w:tcPr>
            <w:tcW w:type="dxa" w:w="2033"/>
            <w:tcMar>
              <w:top w:w="70" w:type="dxa"/>
              <w:start w:w="80" w:type="dxa"/>
              <w:bottom w:w="70" w:type="dxa"/>
              <w:end w:w="80" w:type="dxa"/>
            </w:tcMar>
            <w:vAlign w:val="center"/>
          </w:tcPr>
          <w:p>
            <w:r>
              <w:rPr>
                <w:sz w:val="16"/>
              </w:rPr>
              <w:t>Durable orchestration, retries, timers, long-running cases</w:t>
            </w:r>
          </w:p>
        </w:tc>
        <w:tc>
          <w:tcPr>
            <w:tcW w:type="dxa" w:w="2033"/>
            <w:tcMar>
              <w:top w:w="70" w:type="dxa"/>
              <w:start w:w="80" w:type="dxa"/>
              <w:bottom w:w="70" w:type="dxa"/>
              <w:end w:w="80" w:type="dxa"/>
            </w:tcMar>
            <w:vAlign w:val="center"/>
          </w:tcPr>
          <w:p>
            <w:r>
              <w:rPr>
                <w:sz w:val="16"/>
              </w:rPr>
              <w:t>EKS + Aurora PostgreSQL persistence/visibility</w:t>
            </w:r>
          </w:p>
        </w:tc>
        <w:tc>
          <w:tcPr>
            <w:tcW w:type="dxa" w:w="2033"/>
            <w:tcMar>
              <w:top w:w="70" w:type="dxa"/>
              <w:start w:w="80" w:type="dxa"/>
              <w:bottom w:w="70" w:type="dxa"/>
              <w:end w:w="80" w:type="dxa"/>
            </w:tcMar>
            <w:vAlign w:val="center"/>
          </w:tcPr>
          <w:p>
            <w:r>
              <w:rPr>
                <w:sz w:val="16"/>
              </w:rPr>
              <w:t>MIT. ServiceForm provides human-task layer and metadata designer.</w:t>
            </w:r>
          </w:p>
        </w:tc>
      </w:tr>
      <w:tr>
        <w:trPr>
          <w:cantSplit/>
        </w:trPr>
        <w:tc>
          <w:tcPr>
            <w:tcW w:type="dxa" w:w="2033"/>
            <w:tcMar>
              <w:top w:w="70" w:type="dxa"/>
              <w:start w:w="80" w:type="dxa"/>
              <w:bottom w:w="70" w:type="dxa"/>
              <w:end w:w="80" w:type="dxa"/>
            </w:tcMar>
            <w:vAlign w:val="center"/>
          </w:tcPr>
          <w:p>
            <w:r>
              <w:rPr>
                <w:sz w:val="16"/>
              </w:rPr>
              <w:t>BPMN alternative</w:t>
            </w:r>
          </w:p>
        </w:tc>
        <w:tc>
          <w:tcPr>
            <w:tcW w:type="dxa" w:w="2033"/>
            <w:tcMar>
              <w:top w:w="70" w:type="dxa"/>
              <w:start w:w="80" w:type="dxa"/>
              <w:bottom w:w="70" w:type="dxa"/>
              <w:end w:w="80" w:type="dxa"/>
            </w:tcMar>
            <w:vAlign w:val="center"/>
          </w:tcPr>
          <w:p>
            <w:r>
              <w:rPr>
                <w:sz w:val="16"/>
              </w:rPr>
              <w:t>Flowable OSS</w:t>
            </w:r>
          </w:p>
        </w:tc>
        <w:tc>
          <w:tcPr>
            <w:tcW w:type="dxa" w:w="2033"/>
            <w:tcMar>
              <w:top w:w="70" w:type="dxa"/>
              <w:start w:w="80" w:type="dxa"/>
              <w:bottom w:w="70" w:type="dxa"/>
              <w:end w:w="80" w:type="dxa"/>
            </w:tcMar>
            <w:vAlign w:val="center"/>
          </w:tcPr>
          <w:p>
            <w:r>
              <w:rPr>
                <w:sz w:val="16"/>
              </w:rPr>
              <w:t>BPMN/CMMN/DMN if standards interchange is mandatory</w:t>
            </w:r>
          </w:p>
        </w:tc>
        <w:tc>
          <w:tcPr>
            <w:tcW w:type="dxa" w:w="2033"/>
            <w:tcMar>
              <w:top w:w="70" w:type="dxa"/>
              <w:start w:w="80" w:type="dxa"/>
              <w:bottom w:w="70" w:type="dxa"/>
              <w:end w:w="80" w:type="dxa"/>
            </w:tcMar>
            <w:vAlign w:val="center"/>
          </w:tcPr>
          <w:p>
            <w:r>
              <w:rPr>
                <w:sz w:val="16"/>
              </w:rPr>
              <w:t>EKS + managed PostgreSQL</w:t>
            </w:r>
          </w:p>
        </w:tc>
        <w:tc>
          <w:tcPr>
            <w:tcW w:type="dxa" w:w="2033"/>
            <w:tcMar>
              <w:top w:w="70" w:type="dxa"/>
              <w:start w:w="80" w:type="dxa"/>
              <w:bottom w:w="70" w:type="dxa"/>
              <w:end w:w="80" w:type="dxa"/>
            </w:tcMar>
            <w:vAlign w:val="center"/>
          </w:tcPr>
          <w:p>
            <w:r>
              <w:rPr>
                <w:sz w:val="16"/>
              </w:rPr>
              <w:t>Apache 2.0 core. Evaluate only if BPMN-first operation is a requirement.</w:t>
            </w:r>
          </w:p>
        </w:tc>
      </w:tr>
      <w:tr>
        <w:trPr>
          <w:cantSplit/>
        </w:trPr>
        <w:tc>
          <w:tcPr>
            <w:tcW w:type="dxa" w:w="2033"/>
            <w:tcMar>
              <w:top w:w="70" w:type="dxa"/>
              <w:start w:w="80" w:type="dxa"/>
              <w:bottom w:w="70" w:type="dxa"/>
              <w:end w:w="80" w:type="dxa"/>
            </w:tcMar>
            <w:vAlign w:val="center"/>
          </w:tcPr>
          <w:p>
            <w:r>
              <w:rPr>
                <w:sz w:val="16"/>
              </w:rPr>
              <w:t>Forms</w:t>
            </w:r>
          </w:p>
        </w:tc>
        <w:tc>
          <w:tcPr>
            <w:tcW w:type="dxa" w:w="2033"/>
            <w:tcMar>
              <w:top w:w="70" w:type="dxa"/>
              <w:start w:w="80" w:type="dxa"/>
              <w:bottom w:w="70" w:type="dxa"/>
              <w:end w:w="80" w:type="dxa"/>
            </w:tcMar>
            <w:vAlign w:val="center"/>
          </w:tcPr>
          <w:p>
            <w:r>
              <w:rPr>
                <w:sz w:val="16"/>
              </w:rPr>
              <w:t>JSON Forms</w:t>
            </w:r>
          </w:p>
        </w:tc>
        <w:tc>
          <w:tcPr>
            <w:tcW w:type="dxa" w:w="2033"/>
            <w:tcMar>
              <w:top w:w="70" w:type="dxa"/>
              <w:start w:w="80" w:type="dxa"/>
              <w:bottom w:w="70" w:type="dxa"/>
              <w:end w:w="80" w:type="dxa"/>
            </w:tcMar>
            <w:vAlign w:val="center"/>
          </w:tcPr>
          <w:p>
            <w:r>
              <w:rPr>
                <w:sz w:val="16"/>
              </w:rPr>
              <w:t>React schema-driven rendering</w:t>
            </w:r>
          </w:p>
        </w:tc>
        <w:tc>
          <w:tcPr>
            <w:tcW w:type="dxa" w:w="2033"/>
            <w:tcMar>
              <w:top w:w="70" w:type="dxa"/>
              <w:start w:w="80" w:type="dxa"/>
              <w:bottom w:w="70" w:type="dxa"/>
              <w:end w:w="80" w:type="dxa"/>
            </w:tcMar>
            <w:vAlign w:val="center"/>
          </w:tcPr>
          <w:p>
            <w:r>
              <w:rPr>
                <w:sz w:val="16"/>
              </w:rPr>
              <w:t>Next.js application</w:t>
            </w:r>
          </w:p>
        </w:tc>
        <w:tc>
          <w:tcPr>
            <w:tcW w:type="dxa" w:w="2033"/>
            <w:tcMar>
              <w:top w:w="70" w:type="dxa"/>
              <w:start w:w="80" w:type="dxa"/>
              <w:bottom w:w="70" w:type="dxa"/>
              <w:end w:w="80" w:type="dxa"/>
            </w:tcMar>
            <w:vAlign w:val="center"/>
          </w:tcPr>
          <w:p>
            <w:r>
              <w:rPr>
                <w:sz w:val="16"/>
              </w:rPr>
              <w:t>MIT; extend with government-grade renderer set.</w:t>
            </w:r>
          </w:p>
        </w:tc>
      </w:tr>
      <w:tr>
        <w:trPr>
          <w:cantSplit/>
        </w:trPr>
        <w:tc>
          <w:tcPr>
            <w:tcW w:type="dxa" w:w="2033"/>
            <w:tcMar>
              <w:top w:w="70" w:type="dxa"/>
              <w:start w:w="80" w:type="dxa"/>
              <w:bottom w:w="70" w:type="dxa"/>
              <w:end w:w="80" w:type="dxa"/>
            </w:tcMar>
            <w:vAlign w:val="center"/>
          </w:tcPr>
          <w:p>
            <w:r>
              <w:rPr>
                <w:sz w:val="16"/>
              </w:rPr>
              <w:t>Search</w:t>
            </w:r>
          </w:p>
        </w:tc>
        <w:tc>
          <w:tcPr>
            <w:tcW w:type="dxa" w:w="2033"/>
            <w:tcMar>
              <w:top w:w="70" w:type="dxa"/>
              <w:start w:w="80" w:type="dxa"/>
              <w:bottom w:w="70" w:type="dxa"/>
              <w:end w:w="80" w:type="dxa"/>
            </w:tcMar>
            <w:vAlign w:val="center"/>
          </w:tcPr>
          <w:p>
            <w:r>
              <w:rPr>
                <w:sz w:val="16"/>
              </w:rPr>
              <w:t>OpenSearch</w:t>
            </w:r>
          </w:p>
        </w:tc>
        <w:tc>
          <w:tcPr>
            <w:tcW w:type="dxa" w:w="2033"/>
            <w:tcMar>
              <w:top w:w="70" w:type="dxa"/>
              <w:start w:w="80" w:type="dxa"/>
              <w:bottom w:w="70" w:type="dxa"/>
              <w:end w:w="80" w:type="dxa"/>
            </w:tcMar>
            <w:vAlign w:val="center"/>
          </w:tcPr>
          <w:p>
            <w:r>
              <w:rPr>
                <w:sz w:val="16"/>
              </w:rPr>
              <w:t>Full-text/hybrid search</w:t>
            </w:r>
          </w:p>
        </w:tc>
        <w:tc>
          <w:tcPr>
            <w:tcW w:type="dxa" w:w="2033"/>
            <w:tcMar>
              <w:top w:w="70" w:type="dxa"/>
              <w:start w:w="80" w:type="dxa"/>
              <w:bottom w:w="70" w:type="dxa"/>
              <w:end w:w="80" w:type="dxa"/>
            </w:tcMar>
            <w:vAlign w:val="center"/>
          </w:tcPr>
          <w:p>
            <w:r>
              <w:rPr>
                <w:sz w:val="16"/>
              </w:rPr>
              <w:t>Amazon OpenSearch Service</w:t>
            </w:r>
          </w:p>
        </w:tc>
        <w:tc>
          <w:tcPr>
            <w:tcW w:type="dxa" w:w="2033"/>
            <w:tcMar>
              <w:top w:w="70" w:type="dxa"/>
              <w:start w:w="80" w:type="dxa"/>
              <w:bottom w:w="70" w:type="dxa"/>
              <w:end w:w="80" w:type="dxa"/>
            </w:tcMar>
            <w:vAlign w:val="center"/>
          </w:tcPr>
          <w:p>
            <w:r>
              <w:rPr>
                <w:sz w:val="16"/>
              </w:rPr>
              <w:t>Apache 2.0 upstream; managed service initially.</w:t>
            </w:r>
          </w:p>
        </w:tc>
      </w:tr>
      <w:tr>
        <w:trPr>
          <w:cantSplit/>
        </w:trPr>
        <w:tc>
          <w:tcPr>
            <w:tcW w:type="dxa" w:w="2033"/>
            <w:tcMar>
              <w:top w:w="70" w:type="dxa"/>
              <w:start w:w="80" w:type="dxa"/>
              <w:bottom w:w="70" w:type="dxa"/>
              <w:end w:w="80" w:type="dxa"/>
            </w:tcMar>
            <w:vAlign w:val="center"/>
          </w:tcPr>
          <w:p>
            <w:r>
              <w:rPr>
                <w:sz w:val="16"/>
              </w:rPr>
              <w:t>Telemetry</w:t>
            </w:r>
          </w:p>
        </w:tc>
        <w:tc>
          <w:tcPr>
            <w:tcW w:type="dxa" w:w="2033"/>
            <w:tcMar>
              <w:top w:w="70" w:type="dxa"/>
              <w:start w:w="80" w:type="dxa"/>
              <w:bottom w:w="70" w:type="dxa"/>
              <w:end w:w="80" w:type="dxa"/>
            </w:tcMar>
            <w:vAlign w:val="center"/>
          </w:tcPr>
          <w:p>
            <w:r>
              <w:rPr>
                <w:sz w:val="16"/>
              </w:rPr>
              <w:t>OpenTelemetry</w:t>
            </w:r>
          </w:p>
        </w:tc>
        <w:tc>
          <w:tcPr>
            <w:tcW w:type="dxa" w:w="2033"/>
            <w:tcMar>
              <w:top w:w="70" w:type="dxa"/>
              <w:start w:w="80" w:type="dxa"/>
              <w:bottom w:w="70" w:type="dxa"/>
              <w:end w:w="80" w:type="dxa"/>
            </w:tcMar>
            <w:vAlign w:val="center"/>
          </w:tcPr>
          <w:p>
            <w:r>
              <w:rPr>
                <w:sz w:val="16"/>
              </w:rPr>
              <w:t>Traces, metrics, logs instrumentation</w:t>
            </w:r>
          </w:p>
        </w:tc>
        <w:tc>
          <w:tcPr>
            <w:tcW w:type="dxa" w:w="2033"/>
            <w:tcMar>
              <w:top w:w="70" w:type="dxa"/>
              <w:start w:w="80" w:type="dxa"/>
              <w:bottom w:w="70" w:type="dxa"/>
              <w:end w:w="80" w:type="dxa"/>
            </w:tcMar>
            <w:vAlign w:val="center"/>
          </w:tcPr>
          <w:p>
            <w:r>
              <w:rPr>
                <w:sz w:val="16"/>
              </w:rPr>
              <w:t>OTel collectors on EKS</w:t>
            </w:r>
          </w:p>
        </w:tc>
        <w:tc>
          <w:tcPr>
            <w:tcW w:type="dxa" w:w="2033"/>
            <w:tcMar>
              <w:top w:w="70" w:type="dxa"/>
              <w:start w:w="80" w:type="dxa"/>
              <w:bottom w:w="70" w:type="dxa"/>
              <w:end w:w="80" w:type="dxa"/>
            </w:tcMar>
            <w:vAlign w:val="center"/>
          </w:tcPr>
          <w:p>
            <w:r>
              <w:rPr>
                <w:sz w:val="16"/>
              </w:rPr>
              <w:t>Vendor-neutral telemetry contract.</w:t>
            </w:r>
          </w:p>
        </w:tc>
      </w:tr>
      <w:tr>
        <w:trPr>
          <w:cantSplit/>
        </w:trPr>
        <w:tc>
          <w:tcPr>
            <w:tcW w:type="dxa" w:w="2033"/>
            <w:tcMar>
              <w:top w:w="70" w:type="dxa"/>
              <w:start w:w="80" w:type="dxa"/>
              <w:bottom w:w="70" w:type="dxa"/>
              <w:end w:w="80" w:type="dxa"/>
            </w:tcMar>
            <w:vAlign w:val="center"/>
          </w:tcPr>
          <w:p>
            <w:r>
              <w:rPr>
                <w:sz w:val="16"/>
              </w:rPr>
              <w:t>Autoscaling</w:t>
            </w:r>
          </w:p>
        </w:tc>
        <w:tc>
          <w:tcPr>
            <w:tcW w:type="dxa" w:w="2033"/>
            <w:tcMar>
              <w:top w:w="70" w:type="dxa"/>
              <w:start w:w="80" w:type="dxa"/>
              <w:bottom w:w="70" w:type="dxa"/>
              <w:end w:w="80" w:type="dxa"/>
            </w:tcMar>
            <w:vAlign w:val="center"/>
          </w:tcPr>
          <w:p>
            <w:r>
              <w:rPr>
                <w:sz w:val="16"/>
              </w:rPr>
              <w:t>KEDA</w:t>
            </w:r>
          </w:p>
        </w:tc>
        <w:tc>
          <w:tcPr>
            <w:tcW w:type="dxa" w:w="2033"/>
            <w:tcMar>
              <w:top w:w="70" w:type="dxa"/>
              <w:start w:w="80" w:type="dxa"/>
              <w:bottom w:w="70" w:type="dxa"/>
              <w:end w:w="80" w:type="dxa"/>
            </w:tcMar>
            <w:vAlign w:val="center"/>
          </w:tcPr>
          <w:p>
            <w:r>
              <w:rPr>
                <w:sz w:val="16"/>
              </w:rPr>
              <w:t>Queue/event-driven pod scaling</w:t>
            </w:r>
          </w:p>
        </w:tc>
        <w:tc>
          <w:tcPr>
            <w:tcW w:type="dxa" w:w="2033"/>
            <w:tcMar>
              <w:top w:w="70" w:type="dxa"/>
              <w:start w:w="80" w:type="dxa"/>
              <w:bottom w:w="70" w:type="dxa"/>
              <w:end w:w="80" w:type="dxa"/>
            </w:tcMar>
            <w:vAlign w:val="center"/>
          </w:tcPr>
          <w:p>
            <w:r>
              <w:rPr>
                <w:sz w:val="16"/>
              </w:rPr>
              <w:t>EKS</w:t>
            </w:r>
          </w:p>
        </w:tc>
        <w:tc>
          <w:tcPr>
            <w:tcW w:type="dxa" w:w="2033"/>
            <w:tcMar>
              <w:top w:w="70" w:type="dxa"/>
              <w:start w:w="80" w:type="dxa"/>
              <w:bottom w:w="70" w:type="dxa"/>
              <w:end w:w="80" w:type="dxa"/>
            </w:tcMar>
            <w:vAlign w:val="center"/>
          </w:tcPr>
          <w:p>
            <w:r>
              <w:rPr>
                <w:sz w:val="16"/>
              </w:rPr>
              <w:t>CNCF graduated; combine with HPA and Karpenter.</w:t>
            </w:r>
          </w:p>
        </w:tc>
      </w:tr>
      <w:tr>
        <w:trPr>
          <w:cantSplit/>
        </w:trPr>
        <w:tc>
          <w:tcPr>
            <w:tcW w:type="dxa" w:w="2033"/>
            <w:tcMar>
              <w:top w:w="70" w:type="dxa"/>
              <w:start w:w="80" w:type="dxa"/>
              <w:bottom w:w="70" w:type="dxa"/>
              <w:end w:w="80" w:type="dxa"/>
            </w:tcMar>
            <w:vAlign w:val="center"/>
          </w:tcPr>
          <w:p>
            <w:r>
              <w:rPr>
                <w:sz w:val="16"/>
              </w:rPr>
              <w:t>GitOps</w:t>
            </w:r>
          </w:p>
        </w:tc>
        <w:tc>
          <w:tcPr>
            <w:tcW w:type="dxa" w:w="2033"/>
            <w:tcMar>
              <w:top w:w="70" w:type="dxa"/>
              <w:start w:w="80" w:type="dxa"/>
              <w:bottom w:w="70" w:type="dxa"/>
              <w:end w:w="80" w:type="dxa"/>
            </w:tcMar>
            <w:vAlign w:val="center"/>
          </w:tcPr>
          <w:p>
            <w:r>
              <w:rPr>
                <w:sz w:val="16"/>
              </w:rPr>
              <w:t>Argo CD</w:t>
            </w:r>
          </w:p>
        </w:tc>
        <w:tc>
          <w:tcPr>
            <w:tcW w:type="dxa" w:w="2033"/>
            <w:tcMar>
              <w:top w:w="70" w:type="dxa"/>
              <w:start w:w="80" w:type="dxa"/>
              <w:bottom w:w="70" w:type="dxa"/>
              <w:end w:w="80" w:type="dxa"/>
            </w:tcMar>
            <w:vAlign w:val="center"/>
          </w:tcPr>
          <w:p>
            <w:r>
              <w:rPr>
                <w:sz w:val="16"/>
              </w:rPr>
              <w:t>Declarative deployment and environment promotion</w:t>
            </w:r>
          </w:p>
        </w:tc>
        <w:tc>
          <w:tcPr>
            <w:tcW w:type="dxa" w:w="2033"/>
            <w:tcMar>
              <w:top w:w="70" w:type="dxa"/>
              <w:start w:w="80" w:type="dxa"/>
              <w:bottom w:w="70" w:type="dxa"/>
              <w:end w:w="80" w:type="dxa"/>
            </w:tcMar>
            <w:vAlign w:val="center"/>
          </w:tcPr>
          <w:p>
            <w:r>
              <w:rPr>
                <w:sz w:val="16"/>
              </w:rPr>
              <w:t>EKS</w:t>
            </w:r>
          </w:p>
        </w:tc>
        <w:tc>
          <w:tcPr>
            <w:tcW w:type="dxa" w:w="2033"/>
            <w:tcMar>
              <w:top w:w="70" w:type="dxa"/>
              <w:start w:w="80" w:type="dxa"/>
              <w:bottom w:w="70" w:type="dxa"/>
              <w:end w:w="80" w:type="dxa"/>
            </w:tcMar>
            <w:vAlign w:val="center"/>
          </w:tcPr>
          <w:p>
            <w:r>
              <w:rPr>
                <w:sz w:val="16"/>
              </w:rPr>
              <w:t>Optional but recommended for controlled deployment.</w:t>
            </w:r>
          </w:p>
        </w:tc>
      </w:tr>
      <w:tr>
        <w:trPr>
          <w:cantSplit/>
        </w:trPr>
        <w:tc>
          <w:tcPr>
            <w:tcW w:type="dxa" w:w="2033"/>
            <w:tcMar>
              <w:top w:w="70" w:type="dxa"/>
              <w:start w:w="80" w:type="dxa"/>
              <w:bottom w:w="70" w:type="dxa"/>
              <w:end w:w="80" w:type="dxa"/>
            </w:tcMar>
            <w:vAlign w:val="center"/>
          </w:tcPr>
          <w:p>
            <w:r>
              <w:rPr>
                <w:sz w:val="16"/>
              </w:rPr>
              <w:t>Malware scan</w:t>
            </w:r>
          </w:p>
        </w:tc>
        <w:tc>
          <w:tcPr>
            <w:tcW w:type="dxa" w:w="2033"/>
            <w:tcMar>
              <w:top w:w="70" w:type="dxa"/>
              <w:start w:w="80" w:type="dxa"/>
              <w:bottom w:w="70" w:type="dxa"/>
              <w:end w:w="80" w:type="dxa"/>
            </w:tcMar>
            <w:vAlign w:val="center"/>
          </w:tcPr>
          <w:p>
            <w:r>
              <w:rPr>
                <w:sz w:val="16"/>
              </w:rPr>
              <w:t>ClamAV</w:t>
            </w:r>
          </w:p>
        </w:tc>
        <w:tc>
          <w:tcPr>
            <w:tcW w:type="dxa" w:w="2033"/>
            <w:tcMar>
              <w:top w:w="70" w:type="dxa"/>
              <w:start w:w="80" w:type="dxa"/>
              <w:bottom w:w="70" w:type="dxa"/>
              <w:end w:w="80" w:type="dxa"/>
            </w:tcMar>
            <w:vAlign w:val="center"/>
          </w:tcPr>
          <w:p>
            <w:r>
              <w:rPr>
                <w:sz w:val="16"/>
              </w:rPr>
              <w:t>File malware scanning fallback</w:t>
            </w:r>
          </w:p>
        </w:tc>
        <w:tc>
          <w:tcPr>
            <w:tcW w:type="dxa" w:w="2033"/>
            <w:tcMar>
              <w:top w:w="70" w:type="dxa"/>
              <w:start w:w="80" w:type="dxa"/>
              <w:bottom w:w="70" w:type="dxa"/>
              <w:end w:w="80" w:type="dxa"/>
            </w:tcMar>
            <w:vAlign w:val="center"/>
          </w:tcPr>
          <w:p>
            <w:r>
              <w:rPr>
                <w:sz w:val="16"/>
              </w:rPr>
              <w:t>EKS worker or Lambda container</w:t>
            </w:r>
          </w:p>
        </w:tc>
        <w:tc>
          <w:tcPr>
            <w:tcW w:type="dxa" w:w="2033"/>
            <w:tcMar>
              <w:top w:w="70" w:type="dxa"/>
              <w:start w:w="80" w:type="dxa"/>
              <w:bottom w:w="70" w:type="dxa"/>
              <w:end w:w="80" w:type="dxa"/>
            </w:tcMar>
            <w:vAlign w:val="center"/>
          </w:tcPr>
          <w:p>
            <w:r>
              <w:rPr>
                <w:sz w:val="16"/>
              </w:rPr>
              <w:t>AWS GuardDuty Malware Protection for S3 may be preferred operationally; keep scan interface pluggable.</w:t>
            </w:r>
          </w:p>
        </w:tc>
      </w:tr>
    </w:tbl>
    <w:p>
      <w:pPr>
        <w:pStyle w:val="Heading2"/>
      </w:pPr>
      <w:r>
        <w:t>3.1 Workflow engine decision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Primary: Temporal</w:t>
            </w:r>
          </w:p>
        </w:tc>
        <w:tc>
          <w:tcPr>
            <w:tcW w:type="dxa" w:w="7416"/>
            <w:vAlign w:val="center"/>
            <w:tcMar>
              <w:top w:w="90" w:type="dxa"/>
              <w:start w:w="110" w:type="dxa"/>
              <w:bottom w:w="90" w:type="dxa"/>
              <w:end w:w="110" w:type="dxa"/>
            </w:tcMar>
          </w:tcPr>
          <w:p>
            <w:pPr>
              <w:spacing w:after="0"/>
            </w:pPr>
            <w:r>
              <w:rPr>
                <w:sz w:val="18"/>
              </w:rPr>
              <w:t>Best fit for durable, code-controlled, extremely long-running government processes, timers, retries and worker scaling. The ServiceForm workflow DSL remains the authoritative model and compiles/maps to Temporal workflows. Human tasks are ServiceForm domain objects, not Temporal UI assumptions.</w:t>
            </w:r>
          </w:p>
        </w:tc>
      </w:tr>
      <w:tr>
        <w:trPr>
          <w:cantSplit/>
        </w:trPr>
        <w:tc>
          <w:tcPr>
            <w:tcW w:type="dxa" w:w="2232"/>
            <w:shd w:fill="EAF0F6"/>
            <w:vAlign w:val="center"/>
            <w:tcMar>
              <w:top w:w="90" w:type="dxa"/>
              <w:start w:w="110" w:type="dxa"/>
              <w:bottom w:w="90" w:type="dxa"/>
              <w:end w:w="110" w:type="dxa"/>
            </w:tcMar>
          </w:tcPr>
          <w:p>
            <w:pPr>
              <w:spacing w:after="0"/>
            </w:pPr>
            <w:r>
              <w:rPr>
                <w:b/>
                <w:sz w:val="18"/>
              </w:rPr>
              <w:t>Flowable alternative</w:t>
            </w:r>
          </w:p>
        </w:tc>
        <w:tc>
          <w:tcPr>
            <w:tcW w:type="dxa" w:w="7416"/>
            <w:vAlign w:val="center"/>
            <w:tcMar>
              <w:top w:w="90" w:type="dxa"/>
              <w:start w:w="110" w:type="dxa"/>
              <w:bottom w:w="90" w:type="dxa"/>
              <w:end w:w="110" w:type="dxa"/>
            </w:tcMar>
          </w:tcPr>
          <w:p>
            <w:pPr>
              <w:spacing w:after="0"/>
            </w:pPr>
            <w:r>
              <w:rPr>
                <w:sz w:val="18"/>
              </w:rPr>
              <w:t>Choose when formal BPMN/CMMN/DMN interchange and business-user modeling outweigh a code-first durable-execution approach. Its core engines are Apache 2.0.</w:t>
            </w:r>
          </w:p>
        </w:tc>
      </w:tr>
      <w:tr>
        <w:trPr>
          <w:cantSplit/>
        </w:trPr>
        <w:tc>
          <w:tcPr>
            <w:tcW w:type="dxa" w:w="2232"/>
            <w:shd w:fill="EAF0F6"/>
            <w:vAlign w:val="center"/>
            <w:tcMar>
              <w:top w:w="90" w:type="dxa"/>
              <w:start w:w="110" w:type="dxa"/>
              <w:bottom w:w="90" w:type="dxa"/>
              <w:end w:w="110" w:type="dxa"/>
            </w:tcMar>
          </w:tcPr>
          <w:p>
            <w:pPr>
              <w:spacing w:after="0"/>
            </w:pPr>
            <w:r>
              <w:rPr>
                <w:b/>
                <w:sz w:val="18"/>
              </w:rPr>
              <w:t>Camunda 8</w:t>
            </w:r>
          </w:p>
        </w:tc>
        <w:tc>
          <w:tcPr>
            <w:tcW w:type="dxa" w:w="7416"/>
            <w:vAlign w:val="center"/>
            <w:tcMar>
              <w:top w:w="90" w:type="dxa"/>
              <w:start w:w="110" w:type="dxa"/>
              <w:bottom w:w="90" w:type="dxa"/>
              <w:end w:w="110" w:type="dxa"/>
            </w:tcMar>
          </w:tcPr>
          <w:p>
            <w:pPr>
              <w:spacing w:after="0"/>
            </w:pPr>
            <w:r>
              <w:rPr>
                <w:sz w:val="18"/>
              </w:rPr>
              <w:t>Do not classify current Camunda 8 production self-managed as open-source/free. Production use requires the applicable commercial license. It can still be an enterprise option after commercial evaluation.</w:t>
            </w:r>
          </w:p>
        </w:tc>
      </w:tr>
    </w:tbl>
    <w:p>
      <w:pPr>
        <w:pStyle w:val="Heading1"/>
      </w:pPr>
      <w:r>
        <w:t>4. India-Scale Non-Functional Requirements and 10K TPS Cloud Architecture</w:t>
      </w:r>
    </w:p>
    <w:p>
      <w:r>
        <w:t>The numbers below are proposed engineering targets for load-test planning, not claims of achieved capacity. Production go-live requires benchmark evidence on representative datasets, workflows and integrations.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7365D"/>
            <w:tcMar>
              <w:top w:w="90" w:type="dxa"/>
              <w:start w:w="100" w:type="dxa"/>
              <w:bottom w:w="90" w:type="dxa"/>
              <w:end w:w="100" w:type="dxa"/>
            </w:tcMar>
          </w:tcPr>
          <w:p>
            <w:r>
              <w:rPr>
                <w:b/>
                <w:color w:val="FFFFFF"/>
              </w:rPr>
              <w:t>Area</w:t>
            </w:r>
          </w:p>
        </w:tc>
        <w:tc>
          <w:tcPr>
            <w:tcW w:type="dxa" w:w="2232"/>
            <w:shd w:fill="17365D"/>
            <w:tcMar>
              <w:top w:w="90" w:type="dxa"/>
              <w:start w:w="100" w:type="dxa"/>
              <w:bottom w:w="90" w:type="dxa"/>
              <w:end w:w="100" w:type="dxa"/>
            </w:tcMar>
          </w:tcPr>
          <w:p>
            <w:r>
              <w:rPr>
                <w:b/>
                <w:color w:val="FFFFFF"/>
              </w:rPr>
              <w:t>Initial target</w:t>
            </w:r>
          </w:p>
        </w:tc>
        <w:tc>
          <w:tcPr>
            <w:tcW w:type="dxa" w:w="3024"/>
            <w:shd w:fill="17365D"/>
            <w:tcMar>
              <w:top w:w="90" w:type="dxa"/>
              <w:start w:w="100" w:type="dxa"/>
              <w:bottom w:w="90" w:type="dxa"/>
              <w:end w:w="100" w:type="dxa"/>
            </w:tcMar>
          </w:tcPr>
          <w:p>
            <w:r>
              <w:rPr>
                <w:b/>
                <w:color w:val="FFFFFF"/>
              </w:rPr>
              <w:t>Scale strategy</w:t>
            </w:r>
          </w:p>
        </w:tc>
        <w:tc>
          <w:tcPr>
            <w:tcW w:type="dxa" w:w="2448"/>
            <w:shd w:fill="17365D"/>
            <w:tcMar>
              <w:top w:w="90" w:type="dxa"/>
              <w:start w:w="100" w:type="dxa"/>
              <w:bottom w:w="90" w:type="dxa"/>
              <w:end w:w="100" w:type="dxa"/>
            </w:tcMar>
          </w:tcPr>
          <w:p>
            <w:r>
              <w:rPr>
                <w:b/>
                <w:color w:val="FFFFFF"/>
              </w:rPr>
              <w:t>Acceptance evidence</w:t>
            </w:r>
          </w:p>
        </w:tc>
      </w:tr>
      <w:tr>
        <w:trPr>
          <w:cantSplit/>
        </w:trPr>
        <w:tc>
          <w:tcPr>
            <w:tcW w:type="dxa" w:w="2541"/>
            <w:tcMar>
              <w:top w:w="70" w:type="dxa"/>
              <w:start w:w="85" w:type="dxa"/>
              <w:bottom w:w="70" w:type="dxa"/>
              <w:end w:w="85" w:type="dxa"/>
            </w:tcMar>
          </w:tcPr>
          <w:p>
            <w:r>
              <w:rPr>
                <w:sz w:val="16"/>
              </w:rPr>
              <w:t>Citizen/API throughput</w:t>
            </w:r>
          </w:p>
        </w:tc>
        <w:tc>
          <w:tcPr>
            <w:tcW w:type="dxa" w:w="2541"/>
            <w:tcMar>
              <w:top w:w="70" w:type="dxa"/>
              <w:start w:w="85" w:type="dxa"/>
              <w:bottom w:w="70" w:type="dxa"/>
              <w:end w:w="85" w:type="dxa"/>
            </w:tcMar>
          </w:tcPr>
          <w:p>
            <w:r>
              <w:rPr>
                <w:sz w:val="16"/>
              </w:rPr>
              <w:t>10,000 sustained external RPS; 20,000 burst; 30,000 degradation test</w:t>
            </w:r>
          </w:p>
        </w:tc>
        <w:tc>
          <w:tcPr>
            <w:tcW w:type="dxa" w:w="2541"/>
            <w:tcMar>
              <w:top w:w="70" w:type="dxa"/>
              <w:start w:w="85" w:type="dxa"/>
              <w:bottom w:w="70" w:type="dxa"/>
              <w:end w:w="85" w:type="dxa"/>
            </w:tcMar>
          </w:tcPr>
          <w:p>
            <w:r>
              <w:rPr>
                <w:sz w:val="16"/>
              </w:rPr>
              <w:t>Horizontal pods + cells + edge cache + short synchronous hot path + asynchronous processing</w:t>
            </w:r>
          </w:p>
        </w:tc>
        <w:tc>
          <w:tcPr>
            <w:tcW w:type="dxa" w:w="2541"/>
            <w:tcMar>
              <w:top w:w="70" w:type="dxa"/>
              <w:start w:w="85" w:type="dxa"/>
              <w:bottom w:w="70" w:type="dxa"/>
              <w:end w:w="85" w:type="dxa"/>
            </w:tcMar>
          </w:tcPr>
          <w:p>
            <w:r>
              <w:rPr>
                <w:sz w:val="16"/>
              </w:rPr>
              <w:t>k6/Gatling report; p95/p99; saturation, queue growth and recovery</w:t>
            </w:r>
          </w:p>
        </w:tc>
      </w:tr>
      <w:tr>
        <w:trPr>
          <w:cantSplit/>
        </w:trPr>
        <w:tc>
          <w:tcPr>
            <w:tcW w:type="dxa" w:w="2541"/>
            <w:tcMar>
              <w:top w:w="70" w:type="dxa"/>
              <w:start w:w="85" w:type="dxa"/>
              <w:bottom w:w="70" w:type="dxa"/>
              <w:end w:w="85" w:type="dxa"/>
            </w:tcMar>
          </w:tcPr>
          <w:p>
            <w:r>
              <w:rPr>
                <w:sz w:val="16"/>
              </w:rPr>
              <w:t>Server-side latency</w:t>
            </w:r>
          </w:p>
        </w:tc>
        <w:tc>
          <w:tcPr>
            <w:tcW w:type="dxa" w:w="2541"/>
            <w:tcMar>
              <w:top w:w="70" w:type="dxa"/>
              <w:start w:w="85" w:type="dxa"/>
              <w:bottom w:w="70" w:type="dxa"/>
              <w:end w:w="85" w:type="dxa"/>
            </w:tcMar>
          </w:tcPr>
          <w:p>
            <w:r>
              <w:rPr>
                <w:sz w:val="16"/>
              </w:rPr>
              <w:t>p95 &lt; 1 s for ordinary transactional APIs</w:t>
            </w:r>
          </w:p>
        </w:tc>
        <w:tc>
          <w:tcPr>
            <w:tcW w:type="dxa" w:w="2541"/>
            <w:tcMar>
              <w:top w:w="70" w:type="dxa"/>
              <w:start w:w="85" w:type="dxa"/>
              <w:bottom w:w="70" w:type="dxa"/>
              <w:end w:w="85" w:type="dxa"/>
            </w:tcMar>
          </w:tcPr>
          <w:p>
            <w:r>
              <w:rPr>
                <w:sz w:val="16"/>
              </w:rPr>
              <w:t>cache/reference-data locality; tuned DB/indexes; no synchronous cross-service chains</w:t>
            </w:r>
          </w:p>
        </w:tc>
        <w:tc>
          <w:tcPr>
            <w:tcW w:type="dxa" w:w="2541"/>
            <w:tcMar>
              <w:top w:w="70" w:type="dxa"/>
              <w:start w:w="85" w:type="dxa"/>
              <w:bottom w:w="70" w:type="dxa"/>
              <w:end w:w="85" w:type="dxa"/>
            </w:tcMar>
          </w:tcPr>
          <w:p>
            <w:r>
              <w:rPr>
                <w:sz w:val="16"/>
              </w:rPr>
              <w:t>APM trace evidence under load</w:t>
            </w:r>
          </w:p>
        </w:tc>
      </w:tr>
      <w:tr>
        <w:trPr>
          <w:cantSplit/>
        </w:trPr>
        <w:tc>
          <w:tcPr>
            <w:tcW w:type="dxa" w:w="2541"/>
            <w:tcMar>
              <w:top w:w="70" w:type="dxa"/>
              <w:start w:w="85" w:type="dxa"/>
              <w:bottom w:w="70" w:type="dxa"/>
              <w:end w:w="85" w:type="dxa"/>
            </w:tcMar>
          </w:tcPr>
          <w:p>
            <w:r>
              <w:rPr>
                <w:sz w:val="16"/>
              </w:rPr>
              <w:t>Search</w:t>
            </w:r>
          </w:p>
        </w:tc>
        <w:tc>
          <w:tcPr>
            <w:tcW w:type="dxa" w:w="2541"/>
            <w:tcMar>
              <w:top w:w="70" w:type="dxa"/>
              <w:start w:w="85" w:type="dxa"/>
              <w:bottom w:w="70" w:type="dxa"/>
              <w:end w:w="85" w:type="dxa"/>
            </w:tcMar>
          </w:tcPr>
          <w:p>
            <w:r>
              <w:rPr>
                <w:sz w:val="16"/>
              </w:rPr>
              <w:t>p95 &lt; 500 ms for common service discovery</w:t>
            </w:r>
          </w:p>
        </w:tc>
        <w:tc>
          <w:tcPr>
            <w:tcW w:type="dxa" w:w="2541"/>
            <w:tcMar>
              <w:top w:w="70" w:type="dxa"/>
              <w:start w:w="85" w:type="dxa"/>
              <w:bottom w:w="70" w:type="dxa"/>
              <w:end w:w="85" w:type="dxa"/>
            </w:tcMar>
          </w:tcPr>
          <w:p>
            <w:r>
              <w:rPr>
                <w:sz w:val="16"/>
              </w:rPr>
              <w:t>OpenSearch shards/cells; query budget; cache popular catalogue results</w:t>
            </w:r>
          </w:p>
        </w:tc>
        <w:tc>
          <w:tcPr>
            <w:tcW w:type="dxa" w:w="2541"/>
            <w:tcMar>
              <w:top w:w="70" w:type="dxa"/>
              <w:start w:w="85" w:type="dxa"/>
              <w:bottom w:w="70" w:type="dxa"/>
              <w:end w:w="85" w:type="dxa"/>
            </w:tcMar>
          </w:tcPr>
          <w:p>
            <w:r>
              <w:rPr>
                <w:sz w:val="16"/>
              </w:rPr>
              <w:t>representative multilingual dataset benchmark</w:t>
            </w:r>
          </w:p>
        </w:tc>
      </w:tr>
      <w:tr>
        <w:trPr>
          <w:cantSplit/>
        </w:trPr>
        <w:tc>
          <w:tcPr>
            <w:tcW w:type="dxa" w:w="2541"/>
            <w:tcMar>
              <w:top w:w="70" w:type="dxa"/>
              <w:start w:w="85" w:type="dxa"/>
              <w:bottom w:w="70" w:type="dxa"/>
              <w:end w:w="85" w:type="dxa"/>
            </w:tcMar>
          </w:tcPr>
          <w:p>
            <w:r>
              <w:rPr>
                <w:sz w:val="16"/>
              </w:rPr>
              <w:t>Rules</w:t>
            </w:r>
          </w:p>
        </w:tc>
        <w:tc>
          <w:tcPr>
            <w:tcW w:type="dxa" w:w="2541"/>
            <w:tcMar>
              <w:top w:w="70" w:type="dxa"/>
              <w:start w:w="85" w:type="dxa"/>
              <w:bottom w:w="70" w:type="dxa"/>
              <w:end w:w="85" w:type="dxa"/>
            </w:tcMar>
          </w:tcPr>
          <w:p>
            <w:r>
              <w:rPr>
                <w:sz w:val="16"/>
              </w:rPr>
              <w:t>p95 &lt; 50 ms in-process for normal decision sets</w:t>
            </w:r>
          </w:p>
        </w:tc>
        <w:tc>
          <w:tcPr>
            <w:tcW w:type="dxa" w:w="2541"/>
            <w:tcMar>
              <w:top w:w="70" w:type="dxa"/>
              <w:start w:w="85" w:type="dxa"/>
              <w:bottom w:w="70" w:type="dxa"/>
              <w:end w:w="85" w:type="dxa"/>
            </w:tcMar>
          </w:tcPr>
          <w:p>
            <w:r>
              <w:rPr>
                <w:sz w:val="16"/>
              </w:rPr>
              <w:t>pre-load/compile rule versions; no network hop in hot path</w:t>
            </w:r>
          </w:p>
        </w:tc>
        <w:tc>
          <w:tcPr>
            <w:tcW w:type="dxa" w:w="2541"/>
            <w:tcMar>
              <w:top w:w="70" w:type="dxa"/>
              <w:start w:w="85" w:type="dxa"/>
              <w:bottom w:w="70" w:type="dxa"/>
              <w:end w:w="85" w:type="dxa"/>
            </w:tcMar>
          </w:tcPr>
          <w:p>
            <w:r>
              <w:rPr>
                <w:sz w:val="16"/>
              </w:rPr>
              <w:t>rule benchmark with 99th percentile</w:t>
            </w:r>
          </w:p>
        </w:tc>
      </w:tr>
      <w:tr>
        <w:trPr>
          <w:cantSplit/>
        </w:trPr>
        <w:tc>
          <w:tcPr>
            <w:tcW w:type="dxa" w:w="2541"/>
            <w:tcMar>
              <w:top w:w="70" w:type="dxa"/>
              <w:start w:w="85" w:type="dxa"/>
              <w:bottom w:w="70" w:type="dxa"/>
              <w:end w:w="85" w:type="dxa"/>
            </w:tcMar>
          </w:tcPr>
          <w:p>
            <w:r>
              <w:rPr>
                <w:sz w:val="16"/>
              </w:rPr>
              <w:t>Workflow durability</w:t>
            </w:r>
          </w:p>
        </w:tc>
        <w:tc>
          <w:tcPr>
            <w:tcW w:type="dxa" w:w="2541"/>
            <w:tcMar>
              <w:top w:w="70" w:type="dxa"/>
              <w:start w:w="85" w:type="dxa"/>
              <w:bottom w:w="70" w:type="dxa"/>
              <w:end w:w="85" w:type="dxa"/>
            </w:tcMar>
          </w:tcPr>
          <w:p>
            <w:r>
              <w:rPr>
                <w:sz w:val="16"/>
              </w:rPr>
              <w:t>No lost accepted transition; at-least-once worker execution with idempotent side effects</w:t>
            </w:r>
          </w:p>
        </w:tc>
        <w:tc>
          <w:tcPr>
            <w:tcW w:type="dxa" w:w="2541"/>
            <w:tcMar>
              <w:top w:w="70" w:type="dxa"/>
              <w:start w:w="85" w:type="dxa"/>
              <w:bottom w:w="70" w:type="dxa"/>
              <w:end w:w="85" w:type="dxa"/>
            </w:tcMar>
          </w:tcPr>
          <w:p>
            <w:r>
              <w:rPr>
                <w:sz w:val="16"/>
              </w:rPr>
              <w:t>Temporal durability + outbox/inbox + idempotency keys</w:t>
            </w:r>
          </w:p>
        </w:tc>
        <w:tc>
          <w:tcPr>
            <w:tcW w:type="dxa" w:w="2541"/>
            <w:tcMar>
              <w:top w:w="70" w:type="dxa"/>
              <w:start w:w="85" w:type="dxa"/>
              <w:bottom w:w="70" w:type="dxa"/>
              <w:end w:w="85" w:type="dxa"/>
            </w:tcMar>
          </w:tcPr>
          <w:p>
            <w:r>
              <w:rPr>
                <w:sz w:val="16"/>
              </w:rPr>
              <w:t>chaos/failure injection and replay tests</w:t>
            </w:r>
          </w:p>
        </w:tc>
      </w:tr>
      <w:tr>
        <w:trPr>
          <w:cantSplit/>
        </w:trPr>
        <w:tc>
          <w:tcPr>
            <w:tcW w:type="dxa" w:w="2541"/>
            <w:tcMar>
              <w:top w:w="70" w:type="dxa"/>
              <w:start w:w="85" w:type="dxa"/>
              <w:bottom w:w="70" w:type="dxa"/>
              <w:end w:w="85" w:type="dxa"/>
            </w:tcMar>
          </w:tcPr>
          <w:p>
            <w:r>
              <w:rPr>
                <w:sz w:val="16"/>
              </w:rPr>
              <w:t>Availability</w:t>
            </w:r>
          </w:p>
        </w:tc>
        <w:tc>
          <w:tcPr>
            <w:tcW w:type="dxa" w:w="2541"/>
            <w:tcMar>
              <w:top w:w="70" w:type="dxa"/>
              <w:start w:w="85" w:type="dxa"/>
              <w:bottom w:w="70" w:type="dxa"/>
              <w:end w:w="85" w:type="dxa"/>
            </w:tcMar>
          </w:tcPr>
          <w:p>
            <w:r>
              <w:rPr>
                <w:sz w:val="16"/>
              </w:rPr>
              <w:t>99.95% initial service objective for core citizen path; higher SLOs can be set per critical service</w:t>
            </w:r>
          </w:p>
        </w:tc>
        <w:tc>
          <w:tcPr>
            <w:tcW w:type="dxa" w:w="2541"/>
            <w:tcMar>
              <w:top w:w="70" w:type="dxa"/>
              <w:start w:w="85" w:type="dxa"/>
              <w:bottom w:w="70" w:type="dxa"/>
              <w:end w:w="85" w:type="dxa"/>
            </w:tcMar>
          </w:tcPr>
          <w:p>
            <w:r>
              <w:rPr>
                <w:sz w:val="16"/>
              </w:rPr>
              <w:t>multi-AZ; cell isolation; rolling deployments; DR runbooks</w:t>
            </w:r>
          </w:p>
        </w:tc>
        <w:tc>
          <w:tcPr>
            <w:tcW w:type="dxa" w:w="2541"/>
            <w:tcMar>
              <w:top w:w="70" w:type="dxa"/>
              <w:start w:w="85" w:type="dxa"/>
              <w:bottom w:w="70" w:type="dxa"/>
              <w:end w:w="85" w:type="dxa"/>
            </w:tcMar>
          </w:tcPr>
          <w:p>
            <w:r>
              <w:rPr>
                <w:sz w:val="16"/>
              </w:rPr>
              <w:t>monthly SLO report and failover drills</w:t>
            </w:r>
          </w:p>
        </w:tc>
      </w:tr>
      <w:tr>
        <w:trPr>
          <w:cantSplit/>
        </w:trPr>
        <w:tc>
          <w:tcPr>
            <w:tcW w:type="dxa" w:w="2541"/>
            <w:tcMar>
              <w:top w:w="70" w:type="dxa"/>
              <w:start w:w="85" w:type="dxa"/>
              <w:bottom w:w="70" w:type="dxa"/>
              <w:end w:w="85" w:type="dxa"/>
            </w:tcMar>
          </w:tcPr>
          <w:p>
            <w:r>
              <w:rPr>
                <w:sz w:val="16"/>
              </w:rPr>
              <w:t>RPO/RTO</w:t>
            </w:r>
          </w:p>
        </w:tc>
        <w:tc>
          <w:tcPr>
            <w:tcW w:type="dxa" w:w="2541"/>
            <w:tcMar>
              <w:top w:w="70" w:type="dxa"/>
              <w:start w:w="85" w:type="dxa"/>
              <w:bottom w:w="70" w:type="dxa"/>
              <w:end w:w="85" w:type="dxa"/>
            </w:tcMar>
          </w:tcPr>
          <w:p>
            <w:r>
              <w:rPr>
                <w:sz w:val="16"/>
              </w:rPr>
              <w:t>Regional DR target to be finalized; design baseline RPO &lt;= 5 min, RTO &lt;= 60 min for critical platform data</w:t>
            </w:r>
          </w:p>
        </w:tc>
        <w:tc>
          <w:tcPr>
            <w:tcW w:type="dxa" w:w="2541"/>
            <w:tcMar>
              <w:top w:w="70" w:type="dxa"/>
              <w:start w:w="85" w:type="dxa"/>
              <w:bottom w:w="70" w:type="dxa"/>
              <w:end w:w="85" w:type="dxa"/>
            </w:tcMar>
          </w:tcPr>
          <w:p>
            <w:r>
              <w:rPr>
                <w:sz w:val="16"/>
              </w:rPr>
              <w:t>Aurora Global/replication, S3 CRR as applicable, IaC and warm standby</w:t>
            </w:r>
          </w:p>
        </w:tc>
        <w:tc>
          <w:tcPr>
            <w:tcW w:type="dxa" w:w="2541"/>
            <w:tcMar>
              <w:top w:w="70" w:type="dxa"/>
              <w:start w:w="85" w:type="dxa"/>
              <w:bottom w:w="70" w:type="dxa"/>
              <w:end w:w="85" w:type="dxa"/>
            </w:tcMar>
          </w:tcPr>
          <w:p>
            <w:r>
              <w:rPr>
                <w:sz w:val="16"/>
              </w:rPr>
              <w:t>documented restore/failover exercise</w:t>
            </w:r>
          </w:p>
        </w:tc>
      </w:tr>
      <w:tr>
        <w:trPr>
          <w:cantSplit/>
        </w:trPr>
        <w:tc>
          <w:tcPr>
            <w:tcW w:type="dxa" w:w="2541"/>
            <w:tcMar>
              <w:top w:w="70" w:type="dxa"/>
              <w:start w:w="85" w:type="dxa"/>
              <w:bottom w:w="70" w:type="dxa"/>
              <w:end w:w="85" w:type="dxa"/>
            </w:tcMar>
          </w:tcPr>
          <w:p>
            <w:r>
              <w:rPr>
                <w:sz w:val="16"/>
              </w:rPr>
              <w:t>Identity</w:t>
            </w:r>
          </w:p>
        </w:tc>
        <w:tc>
          <w:tcPr>
            <w:tcW w:type="dxa" w:w="2541"/>
            <w:tcMar>
              <w:top w:w="70" w:type="dxa"/>
              <w:start w:w="85" w:type="dxa"/>
              <w:bottom w:w="70" w:type="dxa"/>
              <w:end w:w="85" w:type="dxa"/>
            </w:tcMar>
          </w:tcPr>
          <w:p>
            <w:r>
              <w:rPr>
                <w:sz w:val="16"/>
              </w:rPr>
              <w:t>Separate citizen and workforce identity paths; never assume one authentication cluster can hold national peak</w:t>
            </w:r>
          </w:p>
        </w:tc>
        <w:tc>
          <w:tcPr>
            <w:tcW w:type="dxa" w:w="2541"/>
            <w:tcMar>
              <w:top w:w="70" w:type="dxa"/>
              <w:start w:w="85" w:type="dxa"/>
              <w:bottom w:w="70" w:type="dxa"/>
              <w:end w:w="85" w:type="dxa"/>
            </w:tcMar>
          </w:tcPr>
          <w:p>
            <w:r>
              <w:rPr>
                <w:sz w:val="16"/>
              </w:rPr>
              <w:t>Citizen OTP/DigiLocker identity scales horizontally; Keycloak serves officers/admins; validate token locally in APIs</w:t>
            </w:r>
          </w:p>
        </w:tc>
        <w:tc>
          <w:tcPr>
            <w:tcW w:type="dxa" w:w="2541"/>
            <w:tcMar>
              <w:top w:w="70" w:type="dxa"/>
              <w:start w:w="85" w:type="dxa"/>
              <w:bottom w:w="70" w:type="dxa"/>
              <w:end w:w="85" w:type="dxa"/>
            </w:tcMar>
          </w:tcPr>
          <w:p>
            <w:r>
              <w:rPr>
                <w:sz w:val="16"/>
              </w:rPr>
              <w:t>Separate citizen OTP/session and Keycloak login/token benchmarks</w:t>
            </w:r>
          </w:p>
        </w:tc>
      </w:tr>
      <w:tr>
        <w:trPr>
          <w:cantSplit/>
        </w:trPr>
        <w:tc>
          <w:tcPr>
            <w:tcW w:type="dxa" w:w="2541"/>
            <w:tcMar>
              <w:top w:w="70" w:type="dxa"/>
              <w:start w:w="85" w:type="dxa"/>
              <w:bottom w:w="70" w:type="dxa"/>
              <w:end w:w="85" w:type="dxa"/>
            </w:tcMar>
          </w:tcPr>
          <w:p>
            <w:r>
              <w:rPr>
                <w:sz w:val="16"/>
              </w:rPr>
              <w:t>Data retention</w:t>
            </w:r>
          </w:p>
        </w:tc>
        <w:tc>
          <w:tcPr>
            <w:tcW w:type="dxa" w:w="2541"/>
            <w:tcMar>
              <w:top w:w="70" w:type="dxa"/>
              <w:start w:w="85" w:type="dxa"/>
              <w:bottom w:w="70" w:type="dxa"/>
              <w:end w:w="85" w:type="dxa"/>
            </w:tcMar>
          </w:tcPr>
          <w:p>
            <w:r>
              <w:rPr>
                <w:sz w:val="16"/>
              </w:rPr>
              <w:t>Policy-driven per service and evidence class</w:t>
            </w:r>
          </w:p>
        </w:tc>
        <w:tc>
          <w:tcPr>
            <w:tcW w:type="dxa" w:w="2541"/>
            <w:tcMar>
              <w:top w:w="70" w:type="dxa"/>
              <w:start w:w="85" w:type="dxa"/>
              <w:bottom w:w="70" w:type="dxa"/>
              <w:end w:w="85" w:type="dxa"/>
            </w:tcMar>
          </w:tcPr>
          <w:p>
            <w:r>
              <w:rPr>
                <w:sz w:val="16"/>
              </w:rPr>
              <w:t>lifecycle engine + S3 lifecycle + database archival partitions</w:t>
            </w:r>
          </w:p>
        </w:tc>
        <w:tc>
          <w:tcPr>
            <w:tcW w:type="dxa" w:w="2541"/>
            <w:tcMar>
              <w:top w:w="70" w:type="dxa"/>
              <w:start w:w="85" w:type="dxa"/>
              <w:bottom w:w="70" w:type="dxa"/>
              <w:end w:w="85" w:type="dxa"/>
            </w:tcMar>
          </w:tcPr>
          <w:p>
            <w:r>
              <w:rPr>
                <w:sz w:val="16"/>
              </w:rPr>
              <w:t>retention simulation/audit</w:t>
            </w:r>
          </w:p>
        </w:tc>
      </w:tr>
    </w:tbl>
    <w:p>
      <w:pPr>
        <w:pStyle w:val="Heading2"/>
      </w:pPr>
      <w:r>
        <w:t>4.1 Capacity model: define 10,000 TPS precisely</w:t>
      </w:r>
    </w:p>
    <w:p>
      <w:r>
        <w:t>ServiceForm AI capacity must be specified by workload class. Ten thousand external requests per second does not equal ten thousand database commits, workflow transitions or identity operations. A single citizen action can fan out into multiple internal events and asynchronous activities. Production sizing therefore uses separate L1 edge/API, L2 transactional and L3 event/processing capacity budgets.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Mar>
              <w:top w:w="90" w:type="dxa"/>
              <w:start w:w="100" w:type="dxa"/>
              <w:bottom w:w="90" w:type="dxa"/>
              <w:end w:w="100" w:type="dxa"/>
            </w:tcMar>
          </w:tcPr>
          <w:p>
            <w:r>
              <w:rPr>
                <w:b/>
                <w:color w:val="FFFFFF"/>
              </w:rPr>
              <w:t>Capacity layer</w:t>
            </w:r>
          </w:p>
        </w:tc>
        <w:tc>
          <w:tcPr>
            <w:tcW w:type="dxa" w:w="2232"/>
            <w:shd w:fill="17365D"/>
            <w:tcMar>
              <w:top w:w="90" w:type="dxa"/>
              <w:start w:w="100" w:type="dxa"/>
              <w:bottom w:w="90" w:type="dxa"/>
              <w:end w:w="100" w:type="dxa"/>
            </w:tcMar>
          </w:tcPr>
          <w:p>
            <w:r>
              <w:rPr>
                <w:b/>
                <w:color w:val="FFFFFF"/>
              </w:rPr>
              <w:t>Design target</w:t>
            </w:r>
          </w:p>
        </w:tc>
        <w:tc>
          <w:tcPr>
            <w:tcW w:type="dxa" w:w="3384"/>
            <w:shd w:fill="17365D"/>
            <w:tcMar>
              <w:top w:w="90" w:type="dxa"/>
              <w:start w:w="100" w:type="dxa"/>
              <w:bottom w:w="90" w:type="dxa"/>
              <w:end w:w="100" w:type="dxa"/>
            </w:tcMar>
          </w:tcPr>
          <w:p>
            <w:r>
              <w:rPr>
                <w:b/>
                <w:color w:val="FFFFFF"/>
              </w:rPr>
              <w:t>What it measures</w:t>
            </w:r>
          </w:p>
        </w:tc>
        <w:tc>
          <w:tcPr>
            <w:tcW w:type="dxa" w:w="2376"/>
            <w:shd w:fill="17365D"/>
            <w:tcMar>
              <w:top w:w="90" w:type="dxa"/>
              <w:start w:w="100" w:type="dxa"/>
              <w:bottom w:w="90" w:type="dxa"/>
              <w:end w:w="100" w:type="dxa"/>
            </w:tcMar>
          </w:tcPr>
          <w:p>
            <w:r>
              <w:rPr>
                <w:b/>
                <w:color w:val="FFFFFF"/>
              </w:rPr>
              <w:t>Primary scaling control</w:t>
            </w:r>
          </w:p>
        </w:tc>
      </w:tr>
      <w:tr>
        <w:trPr>
          <w:cantSplit/>
        </w:trPr>
        <w:tc>
          <w:tcPr>
            <w:tcW w:type="dxa" w:w="2541"/>
            <w:tcMar>
              <w:top w:w="70" w:type="dxa"/>
              <w:start w:w="85" w:type="dxa"/>
              <w:bottom w:w="70" w:type="dxa"/>
              <w:end w:w="85" w:type="dxa"/>
            </w:tcMar>
          </w:tcPr>
          <w:p>
            <w:r>
              <w:rPr>
                <w:sz w:val="16"/>
              </w:rPr>
              <w:t>L1 Edge/API</w:t>
            </w:r>
          </w:p>
        </w:tc>
        <w:tc>
          <w:tcPr>
            <w:tcW w:type="dxa" w:w="2541"/>
            <w:tcMar>
              <w:top w:w="70" w:type="dxa"/>
              <w:start w:w="85" w:type="dxa"/>
              <w:bottom w:w="70" w:type="dxa"/>
              <w:end w:w="85" w:type="dxa"/>
            </w:tcMar>
          </w:tcPr>
          <w:p>
            <w:r>
              <w:rPr>
                <w:sz w:val="16"/>
              </w:rPr>
              <w:t>10,000 RPS sustained; 20,000 burst; 30,000 degradation test</w:t>
            </w:r>
          </w:p>
        </w:tc>
        <w:tc>
          <w:tcPr>
            <w:tcW w:type="dxa" w:w="2541"/>
            <w:tcMar>
              <w:top w:w="70" w:type="dxa"/>
              <w:start w:w="85" w:type="dxa"/>
              <w:bottom w:w="70" w:type="dxa"/>
              <w:end w:w="85" w:type="dxa"/>
            </w:tcMar>
          </w:tcPr>
          <w:p>
            <w:r>
              <w:rPr>
                <w:sz w:val="16"/>
              </w:rPr>
              <w:t>Citizen/officer/partner HTTP requests reaching the platform</w:t>
            </w:r>
          </w:p>
        </w:tc>
        <w:tc>
          <w:tcPr>
            <w:tcW w:type="dxa" w:w="2541"/>
            <w:tcMar>
              <w:top w:w="70" w:type="dxa"/>
              <w:start w:w="85" w:type="dxa"/>
              <w:bottom w:w="70" w:type="dxa"/>
              <w:end w:w="85" w:type="dxa"/>
            </w:tcMar>
          </w:tcPr>
          <w:p>
            <w:r>
              <w:rPr>
                <w:sz w:val="16"/>
              </w:rPr>
              <w:t>CloudFront/WAF/ALB or API Gateway + horizontally scaled EKS APIs + cells</w:t>
            </w:r>
          </w:p>
        </w:tc>
      </w:tr>
      <w:tr>
        <w:trPr>
          <w:cantSplit/>
        </w:trPr>
        <w:tc>
          <w:tcPr>
            <w:tcW w:type="dxa" w:w="2541"/>
            <w:tcMar>
              <w:top w:w="70" w:type="dxa"/>
              <w:start w:w="85" w:type="dxa"/>
              <w:bottom w:w="70" w:type="dxa"/>
              <w:end w:w="85" w:type="dxa"/>
            </w:tcMar>
          </w:tcPr>
          <w:p>
            <w:r>
              <w:rPr>
                <w:sz w:val="16"/>
              </w:rPr>
              <w:t>L2 Transactions</w:t>
            </w:r>
          </w:p>
        </w:tc>
        <w:tc>
          <w:tcPr>
            <w:tcW w:type="dxa" w:w="2541"/>
            <w:tcMar>
              <w:top w:w="70" w:type="dxa"/>
              <w:start w:w="85" w:type="dxa"/>
              <w:bottom w:w="70" w:type="dxa"/>
              <w:end w:w="85" w:type="dxa"/>
            </w:tcMar>
          </w:tcPr>
          <w:p>
            <w:r>
              <w:rPr>
                <w:sz w:val="16"/>
              </w:rPr>
              <w:t>Benchmark per cell; design baseline up to 5,000 transactional writes/sec across cell set</w:t>
            </w:r>
          </w:p>
        </w:tc>
        <w:tc>
          <w:tcPr>
            <w:tcW w:type="dxa" w:w="2541"/>
            <w:tcMar>
              <w:top w:w="70" w:type="dxa"/>
              <w:start w:w="85" w:type="dxa"/>
              <w:bottom w:w="70" w:type="dxa"/>
              <w:end w:w="85" w:type="dxa"/>
            </w:tcMar>
          </w:tcPr>
          <w:p>
            <w:r>
              <w:rPr>
                <w:sz w:val="16"/>
              </w:rPr>
              <w:t>Committed application/case/payment/audit database transactions</w:t>
            </w:r>
          </w:p>
        </w:tc>
        <w:tc>
          <w:tcPr>
            <w:tcW w:type="dxa" w:w="2541"/>
            <w:tcMar>
              <w:top w:w="70" w:type="dxa"/>
              <w:start w:w="85" w:type="dxa"/>
              <w:bottom w:w="70" w:type="dxa"/>
              <w:end w:w="85" w:type="dxa"/>
            </w:tcMar>
          </w:tcPr>
          <w:p>
            <w:r>
              <w:rPr>
                <w:sz w:val="16"/>
              </w:rPr>
              <w:t>Short transactions, pooling/RDS Proxy, indexes, partitions, read replicas, cell DB boundaries</w:t>
            </w:r>
          </w:p>
        </w:tc>
      </w:tr>
      <w:tr>
        <w:trPr>
          <w:cantSplit/>
        </w:trPr>
        <w:tc>
          <w:tcPr>
            <w:tcW w:type="dxa" w:w="2541"/>
            <w:tcMar>
              <w:top w:w="70" w:type="dxa"/>
              <w:start w:w="85" w:type="dxa"/>
              <w:bottom w:w="70" w:type="dxa"/>
              <w:end w:w="85" w:type="dxa"/>
            </w:tcMar>
          </w:tcPr>
          <w:p>
            <w:r>
              <w:rPr>
                <w:sz w:val="16"/>
              </w:rPr>
              <w:t>L3 Events/Processing</w:t>
            </w:r>
          </w:p>
        </w:tc>
        <w:tc>
          <w:tcPr>
            <w:tcW w:type="dxa" w:w="2541"/>
            <w:tcMar>
              <w:top w:w="70" w:type="dxa"/>
              <w:start w:w="85" w:type="dxa"/>
              <w:bottom w:w="70" w:type="dxa"/>
              <w:end w:w="85" w:type="dxa"/>
            </w:tcMar>
          </w:tcPr>
          <w:p>
            <w:r>
              <w:rPr>
                <w:sz w:val="16"/>
              </w:rPr>
              <w:t>Design test target 100,000 events/sec platform-wide where representative</w:t>
            </w:r>
          </w:p>
        </w:tc>
        <w:tc>
          <w:tcPr>
            <w:tcW w:type="dxa" w:w="2541"/>
            <w:tcMar>
              <w:top w:w="70" w:type="dxa"/>
              <w:start w:w="85" w:type="dxa"/>
              <w:bottom w:w="70" w:type="dxa"/>
              <w:end w:w="85" w:type="dxa"/>
            </w:tcMar>
          </w:tcPr>
          <w:p>
            <w:r>
              <w:rPr>
                <w:sz w:val="16"/>
              </w:rPr>
              <w:t>Kafka events, search updates, workflow activities, notifications and integration jobs</w:t>
            </w:r>
          </w:p>
        </w:tc>
        <w:tc>
          <w:tcPr>
            <w:tcW w:type="dxa" w:w="2541"/>
            <w:tcMar>
              <w:top w:w="70" w:type="dxa"/>
              <w:start w:w="85" w:type="dxa"/>
              <w:bottom w:w="70" w:type="dxa"/>
              <w:end w:w="85" w:type="dxa"/>
            </w:tcMar>
          </w:tcPr>
          <w:p>
            <w:r>
              <w:rPr>
                <w:sz w:val="16"/>
              </w:rPr>
              <w:t>MSK partitions, independent consumers, KEDA/HPA, Temporal task queues, SQS isolation</w:t>
            </w:r>
          </w:p>
        </w:tc>
      </w:tr>
      <w:tr>
        <w:trPr>
          <w:cantSplit/>
        </w:trPr>
        <w:tc>
          <w:tcPr>
            <w:tcW w:type="dxa" w:w="2541"/>
            <w:tcMar>
              <w:top w:w="70" w:type="dxa"/>
              <w:start w:w="85" w:type="dxa"/>
              <w:bottom w:w="70" w:type="dxa"/>
              <w:end w:w="85" w:type="dxa"/>
            </w:tcMar>
          </w:tcPr>
          <w:p>
            <w:r>
              <w:rPr>
                <w:sz w:val="16"/>
              </w:rPr>
              <w:t>Rules</w:t>
            </w:r>
          </w:p>
        </w:tc>
        <w:tc>
          <w:tcPr>
            <w:tcW w:type="dxa" w:w="2541"/>
            <w:tcMar>
              <w:top w:w="70" w:type="dxa"/>
              <w:start w:w="85" w:type="dxa"/>
              <w:bottom w:w="70" w:type="dxa"/>
              <w:end w:w="85" w:type="dxa"/>
            </w:tcMar>
          </w:tcPr>
          <w:p>
            <w:r>
              <w:rPr>
                <w:sz w:val="16"/>
              </w:rPr>
              <w:t>25,000 normal evaluations/sec platform-wide test target</w:t>
            </w:r>
          </w:p>
        </w:tc>
        <w:tc>
          <w:tcPr>
            <w:tcW w:type="dxa" w:w="2541"/>
            <w:tcMar>
              <w:top w:w="70" w:type="dxa"/>
              <w:start w:w="85" w:type="dxa"/>
              <w:bottom w:w="70" w:type="dxa"/>
              <w:end w:w="85" w:type="dxa"/>
            </w:tcMar>
          </w:tcPr>
          <w:p>
            <w:r>
              <w:rPr>
                <w:sz w:val="16"/>
              </w:rPr>
              <w:t>Eligibility/evidence/fee/routing decisions</w:t>
            </w:r>
          </w:p>
        </w:tc>
        <w:tc>
          <w:tcPr>
            <w:tcW w:type="dxa" w:w="2541"/>
            <w:tcMar>
              <w:top w:w="70" w:type="dxa"/>
              <w:start w:w="85" w:type="dxa"/>
              <w:bottom w:w="70" w:type="dxa"/>
              <w:end w:w="85" w:type="dxa"/>
            </w:tcMar>
          </w:tcPr>
          <w:p>
            <w:r>
              <w:rPr>
                <w:sz w:val="16"/>
              </w:rPr>
              <w:t>Pre-loaded deterministic rules, local/in-process evaluation, horizontal APIs</w:t>
            </w:r>
          </w:p>
        </w:tc>
      </w:tr>
      <w:tr>
        <w:trPr>
          <w:cantSplit/>
        </w:trPr>
        <w:tc>
          <w:tcPr>
            <w:tcW w:type="dxa" w:w="2541"/>
            <w:tcMar>
              <w:top w:w="70" w:type="dxa"/>
              <w:start w:w="85" w:type="dxa"/>
              <w:bottom w:w="70" w:type="dxa"/>
              <w:end w:w="85" w:type="dxa"/>
            </w:tcMar>
          </w:tcPr>
          <w:p>
            <w:r>
              <w:rPr>
                <w:sz w:val="16"/>
              </w:rPr>
              <w:t>Search</w:t>
            </w:r>
          </w:p>
        </w:tc>
        <w:tc>
          <w:tcPr>
            <w:tcW w:type="dxa" w:w="2541"/>
            <w:tcMar>
              <w:top w:w="70" w:type="dxa"/>
              <w:start w:w="85" w:type="dxa"/>
              <w:bottom w:w="70" w:type="dxa"/>
              <w:end w:w="85" w:type="dxa"/>
            </w:tcMar>
          </w:tcPr>
          <w:p>
            <w:r>
              <w:rPr>
                <w:sz w:val="16"/>
              </w:rPr>
              <w:t>20,000 queries/sec platform-wide test target for common discovery mix</w:t>
            </w:r>
          </w:p>
        </w:tc>
        <w:tc>
          <w:tcPr>
            <w:tcW w:type="dxa" w:w="2541"/>
            <w:tcMar>
              <w:top w:w="70" w:type="dxa"/>
              <w:start w:w="85" w:type="dxa"/>
              <w:bottom w:w="70" w:type="dxa"/>
              <w:end w:w="85" w:type="dxa"/>
            </w:tcMar>
          </w:tcPr>
          <w:p>
            <w:r>
              <w:rPr>
                <w:sz w:val="16"/>
              </w:rPr>
              <w:t>Catalogue/service discovery and authorized application search</w:t>
            </w:r>
          </w:p>
        </w:tc>
        <w:tc>
          <w:tcPr>
            <w:tcW w:type="dxa" w:w="2541"/>
            <w:tcMar>
              <w:top w:w="70" w:type="dxa"/>
              <w:start w:w="85" w:type="dxa"/>
              <w:bottom w:w="70" w:type="dxa"/>
              <w:end w:w="85" w:type="dxa"/>
            </w:tcMar>
          </w:tcPr>
          <w:p>
            <w:r>
              <w:rPr>
                <w:sz w:val="16"/>
              </w:rPr>
              <w:t>OpenSearch shards/cells, caching, query budgets and derived read models</w:t>
            </w:r>
          </w:p>
        </w:tc>
      </w:tr>
      <w:tr>
        <w:trPr>
          <w:cantSplit/>
        </w:trPr>
        <w:tc>
          <w:tcPr>
            <w:tcW w:type="dxa" w:w="2541"/>
            <w:tcMar>
              <w:top w:w="70" w:type="dxa"/>
              <w:start w:w="85" w:type="dxa"/>
              <w:bottom w:w="70" w:type="dxa"/>
              <w:end w:w="85" w:type="dxa"/>
            </w:tcMar>
          </w:tcPr>
          <w:p>
            <w:r>
              <w:rPr>
                <w:sz w:val="16"/>
              </w:rPr>
              <w:t>Identity</w:t>
            </w:r>
          </w:p>
        </w:tc>
        <w:tc>
          <w:tcPr>
            <w:tcW w:type="dxa" w:w="2541"/>
            <w:tcMar>
              <w:top w:w="70" w:type="dxa"/>
              <w:start w:w="85" w:type="dxa"/>
              <w:bottom w:w="70" w:type="dxa"/>
              <w:end w:w="85" w:type="dxa"/>
            </w:tcMar>
          </w:tcPr>
          <w:p>
            <w:r>
              <w:rPr>
                <w:sz w:val="16"/>
              </w:rPr>
              <w:t>Separate workload-specific tests</w:t>
            </w:r>
          </w:p>
        </w:tc>
        <w:tc>
          <w:tcPr>
            <w:tcW w:type="dxa" w:w="2541"/>
            <w:tcMar>
              <w:top w:w="70" w:type="dxa"/>
              <w:start w:w="85" w:type="dxa"/>
              <w:bottom w:w="70" w:type="dxa"/>
              <w:end w:w="85" w:type="dxa"/>
            </w:tcMar>
          </w:tcPr>
          <w:p>
            <w:r>
              <w:rPr>
                <w:sz w:val="16"/>
              </w:rPr>
              <w:t>Citizen OTP/session and officer Keycloak login/token flows</w:t>
            </w:r>
          </w:p>
        </w:tc>
        <w:tc>
          <w:tcPr>
            <w:tcW w:type="dxa" w:w="2541"/>
            <w:tcMar>
              <w:top w:w="70" w:type="dxa"/>
              <w:start w:w="85" w:type="dxa"/>
              <w:bottom w:w="70" w:type="dxa"/>
              <w:end w:w="85" w:type="dxa"/>
            </w:tcMar>
          </w:tcPr>
          <w:p>
            <w:r>
              <w:rPr>
                <w:sz w:val="16"/>
              </w:rPr>
              <w:t>Independent identity planes, local JWT validation, anti-abuse controls</w:t>
            </w:r>
          </w:p>
        </w:tc>
      </w:tr>
    </w:tbl>
    <w:tbl>
      <w:tblPr>
        <w:tblW w:type="auto" w:w="0"/>
        <w:jc w:val="center"/>
        <w:tblLayout w:type="fixed"/>
        <w:tblLook w:firstColumn="1" w:firstRow="1" w:lastColumn="0" w:lastRow="0" w:noHBand="0" w:noVBand="1" w:val="04A0"/>
      </w:tblPr>
      <w:tblGrid>
        <w:gridCol w:w="10166"/>
      </w:tblGrid>
      <w:tr>
        <w:trPr>
          <w:cantSplit/>
        </w:trPr>
        <w:tc>
          <w:tcPr>
            <w:tcW w:type="dxa" w:w="9648"/>
            <w:shd w:fill="FFF2CC"/>
            <w:tcMar>
              <w:top w:w="120" w:type="dxa"/>
              <w:start w:w="150" w:type="dxa"/>
              <w:bottom w:w="120" w:type="dxa"/>
              <w:end w:w="150" w:type="dxa"/>
            </w:tcMar>
          </w:tcPr>
          <w:p>
            <w:r>
              <w:rPr>
                <w:b/>
              </w:rPr>
              <w:t xml:space="preserve">Capacity rule: </w:t>
            </w:r>
            <w:r>
              <w:t>The numeric L2/L3 component targets are engineering certification targets to validate under representative workflows, not vendor performance guarantees. Benchmark evidence and measured saturation points govern production capacity.</w:t>
            </w:r>
          </w:p>
        </w:tc>
      </w:tr>
    </w:tbl>
    <w:p>
      <w:pPr>
        <w:spacing w:after="0"/>
      </w:pPr>
    </w:p>
    <w:p>
      <w:pPr>
        <w:pStyle w:val="Heading2"/>
      </w:pPr>
      <w:r>
        <w:t>4.2 10K TPS AWS technical cloud architecture</w:t>
      </w:r>
    </w:p>
    <w:p>
      <w:pPr>
        <w:jc w:val="center"/>
      </w:pPr>
      <w:r>
        <w:drawing>
          <wp:inline xmlns:a="http://schemas.openxmlformats.org/drawingml/2006/main" xmlns:pic="http://schemas.openxmlformats.org/drawingml/2006/picture">
            <wp:extent cx="6126480" cy="3331323"/>
            <wp:docPr id="4" name="Picture 4"/>
            <wp:cNvGraphicFramePr>
              <a:graphicFrameLocks noChangeAspect="1"/>
            </wp:cNvGraphicFramePr>
            <a:graphic>
              <a:graphicData uri="http://schemas.openxmlformats.org/drawingml/2006/picture">
                <pic:pic>
                  <pic:nvPicPr>
                    <pic:cNvPr id="0" name="05_10k_reference.png"/>
                    <pic:cNvPicPr/>
                  </pic:nvPicPr>
                  <pic:blipFill>
                    <a:blip r:embed="rId12"/>
                    <a:stretch>
                      <a:fillRect/>
                    </a:stretch>
                  </pic:blipFill>
                  <pic:spPr>
                    <a:xfrm>
                      <a:off x="0" y="0"/>
                      <a:ext cx="6126480" cy="3331323"/>
                    </a:xfrm>
                    <a:prstGeom prst="rect"/>
                  </pic:spPr>
                </pic:pic>
              </a:graphicData>
            </a:graphic>
          </wp:inline>
        </w:drawing>
      </w:r>
    </w:p>
    <w:p>
      <w:pPr>
        <w:pStyle w:val="Caption"/>
        <w:jc w:val="center"/>
      </w:pPr>
      <w:r>
        <w:t>Figure 5 - 10K TPS AWS reference architecture and asynchronous processing path</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Edge and ingress</w:t>
            </w:r>
          </w:p>
        </w:tc>
        <w:tc>
          <w:tcPr>
            <w:tcW w:type="dxa" w:w="7416"/>
            <w:vAlign w:val="center"/>
            <w:tcMar>
              <w:top w:w="90" w:type="dxa"/>
              <w:start w:w="110" w:type="dxa"/>
              <w:bottom w:w="90" w:type="dxa"/>
              <w:end w:w="110" w:type="dxa"/>
            </w:tcMar>
          </w:tcPr>
          <w:p>
            <w:pPr>
              <w:spacing w:after="0"/>
            </w:pPr>
            <w:r>
              <w:rPr>
                <w:sz w:val="18"/>
              </w:rPr>
              <w:t>Route 53 -&gt; CloudFront where useful -&gt; AWS WAF/Shield -&gt; ALB for platform web/APIs; API Gateway for governed external partner APIs. Apply rate limits before expensive application work.</w:t>
            </w:r>
          </w:p>
        </w:tc>
      </w:tr>
      <w:tr>
        <w:trPr>
          <w:cantSplit/>
        </w:trPr>
        <w:tc>
          <w:tcPr>
            <w:tcW w:type="dxa" w:w="2232"/>
            <w:shd w:fill="EAF0F6"/>
            <w:vAlign w:val="center"/>
            <w:tcMar>
              <w:top w:w="90" w:type="dxa"/>
              <w:start w:w="110" w:type="dxa"/>
              <w:bottom w:w="90" w:type="dxa"/>
              <w:end w:w="110" w:type="dxa"/>
            </w:tcMar>
          </w:tcPr>
          <w:p>
            <w:pPr>
              <w:spacing w:after="0"/>
            </w:pPr>
            <w:r>
              <w:rPr>
                <w:b/>
                <w:sz w:val="18"/>
              </w:rPr>
              <w:t>API hot path</w:t>
            </w:r>
          </w:p>
        </w:tc>
        <w:tc>
          <w:tcPr>
            <w:tcW w:type="dxa" w:w="7416"/>
            <w:vAlign w:val="center"/>
            <w:tcMar>
              <w:top w:w="90" w:type="dxa"/>
              <w:start w:w="110" w:type="dxa"/>
              <w:bottom w:w="90" w:type="dxa"/>
              <w:end w:w="110" w:type="dxa"/>
            </w:tcMar>
          </w:tcPr>
          <w:p>
            <w:pPr>
              <w:spacing w:after="0"/>
            </w:pPr>
            <w:r>
              <w:rPr>
                <w:sz w:val="18"/>
              </w:rPr>
              <w:t>Fastify services on EKS remain stateless. Authenticate/validate token locally, authorize, validate schema, execute only essential deterministic rules, commit a short transaction plus outbox event, and return. Avoid long synchronous service chains.</w:t>
            </w:r>
          </w:p>
        </w:tc>
      </w:tr>
      <w:tr>
        <w:trPr>
          <w:cantSplit/>
        </w:trPr>
        <w:tc>
          <w:tcPr>
            <w:tcW w:type="dxa" w:w="2232"/>
            <w:shd w:fill="EAF0F6"/>
            <w:vAlign w:val="center"/>
            <w:tcMar>
              <w:top w:w="90" w:type="dxa"/>
              <w:start w:w="110" w:type="dxa"/>
              <w:bottom w:w="90" w:type="dxa"/>
              <w:end w:w="110" w:type="dxa"/>
            </w:tcMar>
          </w:tcPr>
          <w:p>
            <w:pPr>
              <w:spacing w:after="0"/>
            </w:pPr>
            <w:r>
              <w:rPr>
                <w:b/>
                <w:sz w:val="18"/>
              </w:rPr>
              <w:t>Data path</w:t>
            </w:r>
          </w:p>
        </w:tc>
        <w:tc>
          <w:tcPr>
            <w:tcW w:type="dxa" w:w="7416"/>
            <w:vAlign w:val="center"/>
            <w:tcMar>
              <w:top w:w="90" w:type="dxa"/>
              <w:start w:w="110" w:type="dxa"/>
              <w:bottom w:w="90" w:type="dxa"/>
              <w:end w:w="110" w:type="dxa"/>
            </w:tcMar>
          </w:tcPr>
          <w:p>
            <w:pPr>
              <w:spacing w:after="0"/>
            </w:pPr>
            <w:r>
              <w:rPr>
                <w:sz w:val="18"/>
              </w:rPr>
              <w:t>Aurora PostgreSQL per logical cell/data domain, connection pools and RDS Proxy where benchmarks show benefit. Redis is cache/session/reference acceleration only. S3 stores evidence/documents. OpenSearch is a derived read model.</w:t>
            </w:r>
          </w:p>
        </w:tc>
      </w:tr>
      <w:tr>
        <w:trPr>
          <w:cantSplit/>
        </w:trPr>
        <w:tc>
          <w:tcPr>
            <w:tcW w:type="dxa" w:w="2232"/>
            <w:shd w:fill="EAF0F6"/>
            <w:vAlign w:val="center"/>
            <w:tcMar>
              <w:top w:w="90" w:type="dxa"/>
              <w:start w:w="110" w:type="dxa"/>
              <w:bottom w:w="90" w:type="dxa"/>
              <w:end w:w="110" w:type="dxa"/>
            </w:tcMar>
          </w:tcPr>
          <w:p>
            <w:pPr>
              <w:spacing w:after="0"/>
            </w:pPr>
            <w:r>
              <w:rPr>
                <w:b/>
                <w:sz w:val="18"/>
              </w:rPr>
              <w:t>Event path</w:t>
            </w:r>
          </w:p>
        </w:tc>
        <w:tc>
          <w:tcPr>
            <w:tcW w:type="dxa" w:w="7416"/>
            <w:vAlign w:val="center"/>
            <w:tcMar>
              <w:top w:w="90" w:type="dxa"/>
              <w:start w:w="110" w:type="dxa"/>
              <w:bottom w:w="90" w:type="dxa"/>
              <w:end w:w="110" w:type="dxa"/>
            </w:tcMar>
          </w:tcPr>
          <w:p>
            <w:pPr>
              <w:spacing w:after="0"/>
            </w:pPr>
            <w:r>
              <w:rPr>
                <w:sz w:val="18"/>
              </w:rPr>
              <w:t>Transactional outbox publishes to MSK/Kafka. Search indexing, analytics, notifications, integrations, document generation and most workflow side effects run asynchronously.</w:t>
            </w:r>
          </w:p>
        </w:tc>
      </w:tr>
      <w:tr>
        <w:trPr>
          <w:cantSplit/>
        </w:trPr>
        <w:tc>
          <w:tcPr>
            <w:tcW w:type="dxa" w:w="2232"/>
            <w:shd w:fill="EAF0F6"/>
            <w:vAlign w:val="center"/>
            <w:tcMar>
              <w:top w:w="90" w:type="dxa"/>
              <w:start w:w="110" w:type="dxa"/>
              <w:bottom w:w="90" w:type="dxa"/>
              <w:end w:w="110" w:type="dxa"/>
            </w:tcMar>
          </w:tcPr>
          <w:p>
            <w:pPr>
              <w:spacing w:after="0"/>
            </w:pPr>
            <w:r>
              <w:rPr>
                <w:b/>
                <w:sz w:val="18"/>
              </w:rPr>
              <w:t>Workflow path</w:t>
            </w:r>
          </w:p>
        </w:tc>
        <w:tc>
          <w:tcPr>
            <w:tcW w:type="dxa" w:w="7416"/>
            <w:vAlign w:val="center"/>
            <w:tcMar>
              <w:top w:w="90" w:type="dxa"/>
              <w:start w:w="110" w:type="dxa"/>
              <w:bottom w:w="90" w:type="dxa"/>
              <w:end w:w="110" w:type="dxa"/>
            </w:tcMar>
          </w:tcPr>
          <w:p>
            <w:pPr>
              <w:spacing w:after="0"/>
            </w:pPr>
            <w:r>
              <w:rPr>
                <w:sz w:val="18"/>
              </w:rPr>
              <w:t>Temporal is durable orchestration, not an HTTP request dependency. Use separate task queues/worker pools for application processing, verification, credentials, integrations, notifications and scheduled jobs.</w:t>
            </w:r>
          </w:p>
        </w:tc>
      </w:tr>
      <w:tr>
        <w:trPr>
          <w:cantSplit/>
        </w:trPr>
        <w:tc>
          <w:tcPr>
            <w:tcW w:type="dxa" w:w="2232"/>
            <w:shd w:fill="EAF0F6"/>
            <w:vAlign w:val="center"/>
            <w:tcMar>
              <w:top w:w="90" w:type="dxa"/>
              <w:start w:w="110" w:type="dxa"/>
              <w:bottom w:w="90" w:type="dxa"/>
              <w:end w:w="110" w:type="dxa"/>
            </w:tcMar>
          </w:tcPr>
          <w:p>
            <w:pPr>
              <w:spacing w:after="0"/>
            </w:pPr>
            <w:r>
              <w:rPr>
                <w:b/>
                <w:sz w:val="18"/>
              </w:rPr>
              <w:t>Cell architecture</w:t>
            </w:r>
          </w:p>
        </w:tc>
        <w:tc>
          <w:tcPr>
            <w:tcW w:type="dxa" w:w="7416"/>
            <w:vAlign w:val="center"/>
            <w:tcMar>
              <w:top w:w="90" w:type="dxa"/>
              <w:start w:w="110" w:type="dxa"/>
              <w:bottom w:w="90" w:type="dxa"/>
              <w:end w:w="110" w:type="dxa"/>
            </w:tcMar>
          </w:tcPr>
          <w:p>
            <w:pPr>
              <w:spacing w:after="0"/>
            </w:pPr>
            <w:r>
              <w:rPr>
                <w:sz w:val="18"/>
              </w:rPr>
              <w:t>Begin with a small number of production cells. Add cells before a single database, cache, search cluster, identity plane or workflow cluster becomes a national blast radius. Dedicated large/sensitive tenants can receive a separate cell.</w:t>
            </w:r>
          </w:p>
        </w:tc>
      </w:tr>
    </w:tbl>
    <w:p>
      <w:pPr>
        <w:pStyle w:val="Heading2"/>
      </w:pPr>
      <w:r>
        <w:t>4.3 Synchronous hot path versus asynchronous work</w:t>
      </w:r>
    </w:p>
    <w:tbl>
      <w:tblPr>
        <w:tblW w:type="auto" w:w="0"/>
        <w:jc w:val="center"/>
        <w:tblLayout w:type="fixed"/>
        <w:tblLook w:firstColumn="1" w:firstRow="1" w:lastColumn="0" w:lastRow="0" w:noHBand="0" w:noVBand="1" w:val="04A0"/>
      </w:tblPr>
      <w:tblGrid>
        <w:gridCol w:w="10166"/>
      </w:tblGrid>
      <w:tr>
        <w:trPr>
          <w:cantSplit/>
        </w:trPr>
        <w:tc>
          <w:tcPr>
            <w:tcW w:type="dxa" w:w="9648"/>
            <w:shd w:fill="E8F3EC"/>
            <w:tcMar>
              <w:top w:w="120" w:type="dxa"/>
              <w:start w:w="150" w:type="dxa"/>
              <w:bottom w:w="120" w:type="dxa"/>
              <w:end w:w="150" w:type="dxa"/>
            </w:tcMar>
          </w:tcPr>
          <w:p>
            <w:r>
              <w:rPr>
                <w:b/>
              </w:rPr>
              <w:t xml:space="preserve">Submission pattern: </w:t>
            </w:r>
            <w:r>
              <w:t>The citizen should wait only for operations required to safely accept the transaction. PDF generation, SMS/email, DigiLocker publishing, analytics, search indexing and slow departmental integrations must not extend normal submission latency.</w:t>
            </w:r>
          </w:p>
        </w:tc>
      </w:tr>
    </w:tbl>
    <w:p>
      <w:pPr>
        <w:spacing w:after="0"/>
      </w:pPr>
    </w:p>
    <w:p>
      <w:pPr>
        <w:pStyle w:val="CodeBlock"/>
      </w:pPr>
      <w:r>
        <w:t>POST /applications</w:t>
        <w:br/>
        <w:br/>
        <w:t>1. Validate signed citizen token locally</w:t>
        <w:br/>
        <w:t>2. Authorize tenant/service/jurisdiction</w:t>
        <w:br/>
        <w:t>3. Validate request schema</w:t>
        <w:br/>
        <w:t>4. Execute essential deterministic rules</w:t>
        <w:br/>
        <w:t>5. Begin DB transaction</w:t>
        <w:br/>
        <w:t>6. Persist application + pinned configuration versions</w:t>
        <w:br/>
        <w:t>7. Persist audit record + outbox event</w:t>
        <w:br/>
        <w:t>8. Commit</w:t>
        <w:br/>
        <w:t>9. Return 201/202 with application ID</w:t>
        <w:br/>
        <w:br/>
        <w:t>ASYNC AFTER COMMIT</w:t>
        <w:br/>
        <w:t>ApplicationSubmitted -&gt; Kafka/MSK</w:t>
        <w:br/>
        <w:t xml:space="preserve">  -&gt; Temporal workflow start</w:t>
        <w:br/>
        <w:t xml:space="preserve">  -&gt; evidence verification</w:t>
        <w:br/>
        <w:t xml:space="preserve">  -&gt; search/read-model update</w:t>
        <w:br/>
        <w:t xml:space="preserve">  -&gt; notification</w:t>
        <w:br/>
        <w:t xml:space="preserve">  -&gt; analytics</w:t>
        <w:br/>
        <w:t xml:space="preserve">  -&gt; external integrations</w:t>
      </w:r>
    </w:p>
    <w:p>
      <w:pPr>
        <w:pStyle w:val="Heading2"/>
      </w:pPr>
      <w:r>
        <w:t>4.4 Cell-level scaling and blast-radius model</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Control plane</w:t>
            </w:r>
          </w:p>
        </w:tc>
        <w:tc>
          <w:tcPr>
            <w:tcW w:type="dxa" w:w="7416"/>
            <w:vAlign w:val="center"/>
            <w:tcMar>
              <w:top w:w="90" w:type="dxa"/>
              <w:start w:w="110" w:type="dxa"/>
              <w:bottom w:w="90" w:type="dxa"/>
              <w:end w:w="110" w:type="dxa"/>
            </w:tcMar>
          </w:tcPr>
          <w:p>
            <w:pPr>
              <w:spacing w:after="0"/>
            </w:pPr>
            <w:r>
              <w:rPr>
                <w:sz w:val="18"/>
              </w:rPr>
              <w:t>Canonical catalogue governance, schema registry, policy templates, tenant/cell placement, shared CI/CD and configuration governance. It must not become the synchronous data path for every citizen request.</w:t>
            </w:r>
          </w:p>
        </w:tc>
      </w:tr>
      <w:tr>
        <w:trPr>
          <w:cantSplit/>
        </w:trPr>
        <w:tc>
          <w:tcPr>
            <w:tcW w:type="dxa" w:w="2232"/>
            <w:shd w:fill="EAF0F6"/>
            <w:vAlign w:val="center"/>
            <w:tcMar>
              <w:top w:w="90" w:type="dxa"/>
              <w:start w:w="110" w:type="dxa"/>
              <w:bottom w:w="90" w:type="dxa"/>
              <w:end w:w="110" w:type="dxa"/>
            </w:tcMar>
          </w:tcPr>
          <w:p>
            <w:pPr>
              <w:spacing w:after="0"/>
            </w:pPr>
            <w:r>
              <w:rPr>
                <w:b/>
                <w:sz w:val="18"/>
              </w:rPr>
              <w:t>Data plane cell</w:t>
            </w:r>
          </w:p>
        </w:tc>
        <w:tc>
          <w:tcPr>
            <w:tcW w:type="dxa" w:w="7416"/>
            <w:vAlign w:val="center"/>
            <w:tcMar>
              <w:top w:w="90" w:type="dxa"/>
              <w:start w:w="110" w:type="dxa"/>
              <w:bottom w:w="90" w:type="dxa"/>
              <w:end w:w="110" w:type="dxa"/>
            </w:tcMar>
          </w:tcPr>
          <w:p>
            <w:pPr>
              <w:spacing w:after="0"/>
            </w:pPr>
            <w:r>
              <w:rPr>
                <w:sz w:val="18"/>
              </w:rPr>
              <w:t>Independent EKS workload capacity with its own Aurora/Redis/OpenSearch boundaries as required, Temporal worker/task-queue capacity, event consumers and tenant allocation.</w:t>
            </w:r>
          </w:p>
        </w:tc>
      </w:tr>
      <w:tr>
        <w:trPr>
          <w:cantSplit/>
        </w:trPr>
        <w:tc>
          <w:tcPr>
            <w:tcW w:type="dxa" w:w="2232"/>
            <w:shd w:fill="EAF0F6"/>
            <w:vAlign w:val="center"/>
            <w:tcMar>
              <w:top w:w="90" w:type="dxa"/>
              <w:start w:w="110" w:type="dxa"/>
              <w:bottom w:w="90" w:type="dxa"/>
              <w:end w:w="110" w:type="dxa"/>
            </w:tcMar>
          </w:tcPr>
          <w:p>
            <w:pPr>
              <w:spacing w:after="0"/>
            </w:pPr>
            <w:r>
              <w:rPr>
                <w:b/>
                <w:sz w:val="18"/>
              </w:rPr>
              <w:t>Tenant placement</w:t>
            </w:r>
          </w:p>
        </w:tc>
        <w:tc>
          <w:tcPr>
            <w:tcW w:type="dxa" w:w="7416"/>
            <w:vAlign w:val="center"/>
            <w:tcMar>
              <w:top w:w="90" w:type="dxa"/>
              <w:start w:w="110" w:type="dxa"/>
              <w:bottom w:w="90" w:type="dxa"/>
              <w:end w:w="110" w:type="dxa"/>
            </w:tcMar>
          </w:tcPr>
          <w:p>
            <w:pPr>
              <w:spacing w:after="0"/>
            </w:pPr>
            <w:r>
              <w:rPr>
                <w:sz w:val="18"/>
              </w:rPr>
              <w:t>Small departments/ULBs/Panchayats may share pooled cells. Large States/programmes or sensitive/high-volume tenants may be placed in dedicated cells. Placement changes are controlled and migration-tested.</w:t>
            </w:r>
          </w:p>
        </w:tc>
      </w:tr>
      <w:tr>
        <w:trPr>
          <w:cantSplit/>
        </w:trPr>
        <w:tc>
          <w:tcPr>
            <w:tcW w:type="dxa" w:w="2232"/>
            <w:shd w:fill="EAF0F6"/>
            <w:vAlign w:val="center"/>
            <w:tcMar>
              <w:top w:w="90" w:type="dxa"/>
              <w:start w:w="110" w:type="dxa"/>
              <w:bottom w:w="90" w:type="dxa"/>
              <w:end w:w="110" w:type="dxa"/>
            </w:tcMar>
          </w:tcPr>
          <w:p>
            <w:pPr>
              <w:spacing w:after="0"/>
            </w:pPr>
            <w:r>
              <w:rPr>
                <w:b/>
                <w:sz w:val="18"/>
              </w:rPr>
              <w:t>Failure isolation</w:t>
            </w:r>
          </w:p>
        </w:tc>
        <w:tc>
          <w:tcPr>
            <w:tcW w:type="dxa" w:w="7416"/>
            <w:vAlign w:val="center"/>
            <w:tcMar>
              <w:top w:w="90" w:type="dxa"/>
              <w:start w:w="110" w:type="dxa"/>
              <w:bottom w:w="90" w:type="dxa"/>
              <w:end w:w="110" w:type="dxa"/>
            </w:tcMar>
          </w:tcPr>
          <w:p>
            <w:pPr>
              <w:spacing w:after="0"/>
            </w:pPr>
            <w:r>
              <w:rPr>
                <w:sz w:val="18"/>
              </w:rPr>
              <w:t>A saturated or degraded cell must not take down unrelated cells. Cross-cell services use stable public contracts and asynchronous propagation where possible.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trigger</w:t>
            </w:r>
          </w:p>
        </w:tc>
        <w:tc>
          <w:tcPr>
            <w:tcW w:type="dxa" w:w="7416"/>
            <w:vAlign w:val="center"/>
            <w:tcMar>
              <w:top w:w="90" w:type="dxa"/>
              <w:start w:w="110" w:type="dxa"/>
              <w:bottom w:w="90" w:type="dxa"/>
              <w:end w:w="110" w:type="dxa"/>
            </w:tcMar>
          </w:tcPr>
          <w:p>
            <w:pPr>
              <w:spacing w:after="0"/>
            </w:pPr>
            <w:r>
              <w:rPr>
                <w:sz w:val="18"/>
              </w:rPr>
              <w:t>Create/expand a cell when measured DB connections/write latency, cache hot keys, workflow queue delay, OpenSearch saturation, node capacity or blast-radius policy crosses approved thresholds.</w:t>
            </w:r>
          </w:p>
        </w:tc>
      </w:tr>
    </w:tbl>
    <w:p>
      <w:pPr>
        <w:pStyle w:val="Heading2"/>
      </w:pPr>
      <w:r>
        <w:t>4.5 Database and connection architecture for high transaction load</w:t>
      </w:r>
    </w:p>
    <w:p>
      <w:pPr>
        <w:pStyle w:val="ListBullet"/>
        <w:spacing w:after="40"/>
      </w:pPr>
      <w:r>
        <w:t>Avoid a permanent national single-writer assumption. Start with Aurora PostgreSQL and cell boundaries; scale databases by workload/domain/cell before adopting more complex distributed database modes.</w:t>
      </w:r>
    </w:p>
    <w:p>
      <w:pPr>
        <w:pStyle w:val="ListBullet"/>
        <w:spacing w:after="40"/>
      </w:pPr>
      <w:r>
        <w:t>Use bounded connection pools. Evaluate RDS Proxy for very high pod counts, bursty Lambda/worker integrations or connection-storm protection. Never open a new database connection per HTTP request.</w:t>
      </w:r>
    </w:p>
    <w:p>
      <w:pPr>
        <w:pStyle w:val="ListBullet"/>
        <w:spacing w:after="40"/>
      </w:pPr>
      <w:r>
        <w:t>Keep transactions short. Do not call DigiLocker, payment gateways, eSign, SMS or departmental APIs inside an open database transaction.</w:t>
      </w:r>
    </w:p>
    <w:p>
      <w:pPr>
        <w:pStyle w:val="ListBullet"/>
        <w:spacing w:after="40"/>
      </w:pPr>
      <w:r>
        <w:t>Use transactional outbox for events so an accepted application cannot commit without a recoverable event publication intent.</w:t>
      </w:r>
    </w:p>
    <w:p>
      <w:pPr>
        <w:pStyle w:val="ListBullet"/>
        <w:spacing w:after="40"/>
      </w:pPr>
      <w:r>
        <w:t>Partition high-volume history/audit/application tables by time and/or tenant/cell when evidence shows benefit. Use indexes driven by measured query plans, not speculation.</w:t>
      </w:r>
    </w:p>
    <w:p>
      <w:pPr>
        <w:pStyle w:val="ListBullet"/>
        <w:spacing w:after="40"/>
      </w:pPr>
      <w:r>
        <w:t>Use read replicas/read models for dashboards and non-authoritative reads. Search/analytics never become the transactional system of record.</w:t>
      </w:r>
    </w:p>
    <w:p>
      <w:pPr>
        <w:pStyle w:val="ListBullet"/>
        <w:spacing w:after="40"/>
      </w:pPr>
      <w:r>
        <w:t>Evaluate Aurora Limitless only if measured write-scaling limits justify its schema/shard-key constraints; it is not required for the initial architecture.</w:t>
      </w:r>
    </w:p>
    <w:p>
      <w:pPr>
        <w:pStyle w:val="Heading2"/>
      </w:pPr>
      <w:r>
        <w:t>4.6 Workflow and event throughput architecture</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MSK/Kafka</w:t>
            </w:r>
          </w:p>
        </w:tc>
        <w:tc>
          <w:tcPr>
            <w:tcW w:type="dxa" w:w="7416"/>
            <w:vAlign w:val="center"/>
            <w:tcMar>
              <w:top w:w="90" w:type="dxa"/>
              <w:start w:w="110" w:type="dxa"/>
              <w:bottom w:w="90" w:type="dxa"/>
              <w:end w:w="110" w:type="dxa"/>
            </w:tcMar>
          </w:tcPr>
          <w:p>
            <w:pPr>
              <w:spacing w:after="0"/>
            </w:pPr>
            <w:r>
              <w:rPr>
                <w:sz w:val="18"/>
              </w:rPr>
              <w:t>Partition topics using a key that preserves only the ordering actually required, commonly application_id or another aggregate identifier. Never serialize national traffic through one partition.</w:t>
            </w:r>
          </w:p>
        </w:tc>
      </w:tr>
      <w:tr>
        <w:trPr>
          <w:cantSplit/>
        </w:trPr>
        <w:tc>
          <w:tcPr>
            <w:tcW w:type="dxa" w:w="2232"/>
            <w:shd w:fill="EAF0F6"/>
            <w:vAlign w:val="center"/>
            <w:tcMar>
              <w:top w:w="90" w:type="dxa"/>
              <w:start w:w="110" w:type="dxa"/>
              <w:bottom w:w="90" w:type="dxa"/>
              <w:end w:w="110" w:type="dxa"/>
            </w:tcMar>
          </w:tcPr>
          <w:p>
            <w:pPr>
              <w:spacing w:after="0"/>
            </w:pPr>
            <w:r>
              <w:rPr>
                <w:b/>
                <w:sz w:val="18"/>
              </w:rPr>
              <w:t>Temporal</w:t>
            </w:r>
          </w:p>
        </w:tc>
        <w:tc>
          <w:tcPr>
            <w:tcW w:type="dxa" w:w="7416"/>
            <w:vAlign w:val="center"/>
            <w:tcMar>
              <w:top w:w="90" w:type="dxa"/>
              <w:start w:w="110" w:type="dxa"/>
              <w:bottom w:w="90" w:type="dxa"/>
              <w:end w:w="110" w:type="dxa"/>
            </w:tcMar>
          </w:tcPr>
          <w:p>
            <w:pPr>
              <w:spacing w:after="0"/>
            </w:pPr>
            <w:r>
              <w:rPr>
                <w:sz w:val="18"/>
              </w:rPr>
              <w:t>Size history shards/task queues/workers from representative workflow benchmarks before production. Separate high-volume worker classes and keep all activity side effects idempotent.</w:t>
            </w:r>
          </w:p>
        </w:tc>
      </w:tr>
      <w:tr>
        <w:trPr>
          <w:cantSplit/>
        </w:trPr>
        <w:tc>
          <w:tcPr>
            <w:tcW w:type="dxa" w:w="2232"/>
            <w:shd w:fill="EAF0F6"/>
            <w:vAlign w:val="center"/>
            <w:tcMar>
              <w:top w:w="90" w:type="dxa"/>
              <w:start w:w="110" w:type="dxa"/>
              <w:bottom w:w="90" w:type="dxa"/>
              <w:end w:w="110" w:type="dxa"/>
            </w:tcMar>
          </w:tcPr>
          <w:p>
            <w:pPr>
              <w:spacing w:after="0"/>
            </w:pPr>
            <w:r>
              <w:rPr>
                <w:b/>
                <w:sz w:val="18"/>
              </w:rPr>
              <w:t>SQS</w:t>
            </w:r>
          </w:p>
        </w:tc>
        <w:tc>
          <w:tcPr>
            <w:tcW w:type="dxa" w:w="7416"/>
            <w:vAlign w:val="center"/>
            <w:tcMar>
              <w:top w:w="90" w:type="dxa"/>
              <w:start w:w="110" w:type="dxa"/>
              <w:bottom w:w="90" w:type="dxa"/>
              <w:end w:w="110" w:type="dxa"/>
            </w:tcMar>
          </w:tcPr>
          <w:p>
            <w:pPr>
              <w:spacing w:after="0"/>
            </w:pPr>
            <w:r>
              <w:rPr>
                <w:sz w:val="18"/>
              </w:rPr>
              <w:t>Use for isolated integration/retry queues where independent backpressure and dead-letter handling are operationally preferable to a shared event topic.</w:t>
            </w:r>
          </w:p>
        </w:tc>
      </w:tr>
      <w:tr>
        <w:trPr>
          <w:cantSplit/>
        </w:trPr>
        <w:tc>
          <w:tcPr>
            <w:tcW w:type="dxa" w:w="2232"/>
            <w:shd w:fill="EAF0F6"/>
            <w:vAlign w:val="center"/>
            <w:tcMar>
              <w:top w:w="90" w:type="dxa"/>
              <w:start w:w="110" w:type="dxa"/>
              <w:bottom w:w="90" w:type="dxa"/>
              <w:end w:w="110" w:type="dxa"/>
            </w:tcMar>
          </w:tcPr>
          <w:p>
            <w:pPr>
              <w:spacing w:after="0"/>
            </w:pPr>
            <w:r>
              <w:rPr>
                <w:b/>
                <w:sz w:val="18"/>
              </w:rPr>
              <w:t>Backpressure</w:t>
            </w:r>
          </w:p>
        </w:tc>
        <w:tc>
          <w:tcPr>
            <w:tcW w:type="dxa" w:w="7416"/>
            <w:vAlign w:val="center"/>
            <w:tcMar>
              <w:top w:w="90" w:type="dxa"/>
              <w:start w:w="110" w:type="dxa"/>
              <w:bottom w:w="90" w:type="dxa"/>
              <w:end w:w="110" w:type="dxa"/>
            </w:tcMar>
          </w:tcPr>
          <w:p>
            <w:pPr>
              <w:spacing w:after="0"/>
            </w:pPr>
            <w:r>
              <w:rPr>
                <w:sz w:val="18"/>
              </w:rPr>
              <w:t>Queue depth/lag is a first-class SLO. Autoscaling may increase workers only while downstream DB/API quotas remain safe. Apply circuit breakers and retry budgets.</w:t>
            </w:r>
          </w:p>
        </w:tc>
      </w:tr>
      <w:tr>
        <w:trPr>
          <w:cantSplit/>
        </w:trPr>
        <w:tc>
          <w:tcPr>
            <w:tcW w:type="dxa" w:w="2232"/>
            <w:shd w:fill="EAF0F6"/>
            <w:vAlign w:val="center"/>
            <w:tcMar>
              <w:top w:w="90" w:type="dxa"/>
              <w:start w:w="110" w:type="dxa"/>
              <w:bottom w:w="90" w:type="dxa"/>
              <w:end w:w="110" w:type="dxa"/>
            </w:tcMar>
          </w:tcPr>
          <w:p>
            <w:pPr>
              <w:spacing w:after="0"/>
            </w:pPr>
            <w:r>
              <w:rPr>
                <w:b/>
                <w:sz w:val="18"/>
              </w:rPr>
              <w:t>Recovery</w:t>
            </w:r>
          </w:p>
        </w:tc>
        <w:tc>
          <w:tcPr>
            <w:tcW w:type="dxa" w:w="7416"/>
            <w:vAlign w:val="center"/>
            <w:tcMar>
              <w:top w:w="90" w:type="dxa"/>
              <w:start w:w="110" w:type="dxa"/>
              <w:bottom w:w="90" w:type="dxa"/>
              <w:end w:w="110" w:type="dxa"/>
            </w:tcMar>
          </w:tcPr>
          <w:p>
            <w:pPr>
              <w:spacing w:after="0"/>
            </w:pPr>
            <w:r>
              <w:rPr>
                <w:sz w:val="18"/>
              </w:rPr>
              <w:t>Kill workers, nodes and AZ capacity during load tests. Accepted transactions must survive; backlog must drain predictably without duplicate payment/credential effects.</w:t>
            </w:r>
          </w:p>
        </w:tc>
      </w:tr>
    </w:tbl>
    <w:p>
      <w:pPr>
        <w:pStyle w:val="Heading2"/>
      </w:pPr>
      <w:r>
        <w:t>4.7 Identity architecture at national scale</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Government officers</w:t>
            </w:r>
          </w:p>
        </w:tc>
        <w:tc>
          <w:tcPr>
            <w:tcW w:type="dxa" w:w="7416"/>
            <w:vAlign w:val="center"/>
            <w:tcMar>
              <w:top w:w="90" w:type="dxa"/>
              <w:start w:w="110" w:type="dxa"/>
              <w:bottom w:w="90" w:type="dxa"/>
              <w:end w:w="110" w:type="dxa"/>
            </w:tcMar>
          </w:tcPr>
          <w:p>
            <w:pPr>
              <w:spacing w:after="0"/>
            </w:pPr>
            <w:r>
              <w:rPr>
                <w:sz w:val="18"/>
              </w:rPr>
              <w:t>Keycloak on EKS + Aurora PostgreSQL. Require MFA for privileged roles. Keycloak authenticates; ServiceForm organization/role/jurisdiction policy authorizes.</w:t>
            </w:r>
          </w:p>
        </w:tc>
      </w:tr>
      <w:tr>
        <w:trPr>
          <w:cantSplit/>
        </w:trPr>
        <w:tc>
          <w:tcPr>
            <w:tcW w:type="dxa" w:w="2232"/>
            <w:shd w:fill="EAF0F6"/>
            <w:vAlign w:val="center"/>
            <w:tcMar>
              <w:top w:w="90" w:type="dxa"/>
              <w:start w:w="110" w:type="dxa"/>
              <w:bottom w:w="90" w:type="dxa"/>
              <w:end w:w="110" w:type="dxa"/>
            </w:tcMar>
          </w:tcPr>
          <w:p>
            <w:pPr>
              <w:spacing w:after="0"/>
            </w:pPr>
            <w:r>
              <w:rPr>
                <w:b/>
                <w:sz w:val="18"/>
              </w:rPr>
              <w:t>Citizens - initial</w:t>
            </w:r>
          </w:p>
        </w:tc>
        <w:tc>
          <w:tcPr>
            <w:tcW w:type="dxa" w:w="7416"/>
            <w:vAlign w:val="center"/>
            <w:tcMar>
              <w:top w:w="90" w:type="dxa"/>
              <w:start w:w="110" w:type="dxa"/>
              <w:bottom w:w="90" w:type="dxa"/>
              <w:end w:w="110" w:type="dxa"/>
            </w:tcMar>
          </w:tcPr>
          <w:p>
            <w:pPr>
              <w:spacing w:after="0"/>
            </w:pPr>
            <w:r>
              <w:rPr>
                <w:sz w:val="18"/>
              </w:rPr>
              <w:t>Mobile OTP handled by the horizontally scalable Citizen Identity Service. Create an immutable citizen_id UUID. Mobile number is a login/contact attribute and can change or be recycled.</w:t>
            </w:r>
          </w:p>
        </w:tc>
      </w:tr>
      <w:tr>
        <w:trPr>
          <w:cantSplit/>
        </w:trPr>
        <w:tc>
          <w:tcPr>
            <w:tcW w:type="dxa" w:w="2232"/>
            <w:shd w:fill="EAF0F6"/>
            <w:vAlign w:val="center"/>
            <w:tcMar>
              <w:top w:w="90" w:type="dxa"/>
              <w:start w:w="110" w:type="dxa"/>
              <w:bottom w:w="90" w:type="dxa"/>
              <w:end w:w="110" w:type="dxa"/>
            </w:tcMar>
          </w:tcPr>
          <w:p>
            <w:pPr>
              <w:spacing w:after="0"/>
            </w:pPr>
            <w:r>
              <w:rPr>
                <w:b/>
                <w:sz w:val="18"/>
              </w:rPr>
              <w:t>Citizens - verification</w:t>
            </w:r>
          </w:p>
        </w:tc>
        <w:tc>
          <w:tcPr>
            <w:tcW w:type="dxa" w:w="7416"/>
            <w:vAlign w:val="center"/>
            <w:tcMar>
              <w:top w:w="90" w:type="dxa"/>
              <w:start w:w="110" w:type="dxa"/>
              <w:bottom w:w="90" w:type="dxa"/>
              <w:end w:w="110" w:type="dxa"/>
            </w:tcMar>
          </w:tcPr>
          <w:p>
            <w:pPr>
              <w:spacing w:after="0"/>
            </w:pPr>
            <w:r>
              <w:rPr>
                <w:sz w:val="18"/>
              </w:rPr>
              <w:t>DigiLocker authorization can verify identity/claims with source, time, assurance and consent provenance. Verified claims are stored in Citizen Profile/claim services, not embedded as ungoverned Keycloak attributes.</w:t>
            </w:r>
          </w:p>
        </w:tc>
      </w:tr>
      <w:tr>
        <w:trPr>
          <w:cantSplit/>
        </w:trPr>
        <w:tc>
          <w:tcPr>
            <w:tcW w:type="dxa" w:w="2232"/>
            <w:shd w:fill="EAF0F6"/>
            <w:vAlign w:val="center"/>
            <w:tcMar>
              <w:top w:w="90" w:type="dxa"/>
              <w:start w:w="110" w:type="dxa"/>
              <w:bottom w:w="90" w:type="dxa"/>
              <w:end w:w="110" w:type="dxa"/>
            </w:tcMar>
          </w:tcPr>
          <w:p>
            <w:pPr>
              <w:spacing w:after="0"/>
            </w:pPr>
            <w:r>
              <w:rPr>
                <w:b/>
                <w:sz w:val="18"/>
              </w:rPr>
              <w:t>Citizens - later SSO</w:t>
            </w:r>
          </w:p>
        </w:tc>
        <w:tc>
          <w:tcPr>
            <w:tcW w:type="dxa" w:w="7416"/>
            <w:vAlign w:val="center"/>
            <w:tcMar>
              <w:top w:w="90" w:type="dxa"/>
              <w:start w:w="110" w:type="dxa"/>
              <w:bottom w:w="90" w:type="dxa"/>
              <w:end w:w="110" w:type="dxa"/>
            </w:tcMar>
          </w:tcPr>
          <w:p>
            <w:pPr>
              <w:spacing w:after="0"/>
            </w:pPr>
            <w:r>
              <w:rPr>
                <w:sz w:val="18"/>
              </w:rPr>
              <w:t>Add DigiLocker SSO as another authentication method that links to the existing citizen_id rather than creating a second citizen account.</w:t>
            </w:r>
          </w:p>
        </w:tc>
      </w:tr>
      <w:tr>
        <w:trPr>
          <w:cantSplit/>
        </w:trPr>
        <w:tc>
          <w:tcPr>
            <w:tcW w:type="dxa" w:w="2232"/>
            <w:shd w:fill="EAF0F6"/>
            <w:vAlign w:val="center"/>
            <w:tcMar>
              <w:top w:w="90" w:type="dxa"/>
              <w:start w:w="110" w:type="dxa"/>
              <w:bottom w:w="90" w:type="dxa"/>
              <w:end w:w="110" w:type="dxa"/>
            </w:tcMar>
          </w:tcPr>
          <w:p>
            <w:pPr>
              <w:spacing w:after="0"/>
            </w:pPr>
            <w:r>
              <w:rPr>
                <w:b/>
                <w:sz w:val="18"/>
              </w:rPr>
              <w:t>Request validation</w:t>
            </w:r>
          </w:p>
        </w:tc>
        <w:tc>
          <w:tcPr>
            <w:tcW w:type="dxa" w:w="7416"/>
            <w:vAlign w:val="center"/>
            <w:tcMar>
              <w:top w:w="90" w:type="dxa"/>
              <w:start w:w="110" w:type="dxa"/>
              <w:bottom w:w="90" w:type="dxa"/>
              <w:end w:w="110" w:type="dxa"/>
            </w:tcMar>
          </w:tcPr>
          <w:p>
            <w:pPr>
              <w:spacing w:after="0"/>
            </w:pPr>
            <w:r>
              <w:rPr>
                <w:sz w:val="18"/>
              </w:rPr>
              <w:t>After successful authentication, APIs validate signed tokens locally. Do not synchronously call Keycloak or DigiLocker on every request.</w:t>
            </w:r>
          </w:p>
        </w:tc>
      </w:tr>
      <w:tr>
        <w:trPr>
          <w:cantSplit/>
        </w:trPr>
        <w:tc>
          <w:tcPr>
            <w:tcW w:type="dxa" w:w="2232"/>
            <w:shd w:fill="EAF0F6"/>
            <w:vAlign w:val="center"/>
            <w:tcMar>
              <w:top w:w="90" w:type="dxa"/>
              <w:start w:w="110" w:type="dxa"/>
              <w:bottom w:w="90" w:type="dxa"/>
              <w:end w:w="110" w:type="dxa"/>
            </w:tcMar>
          </w:tcPr>
          <w:p>
            <w:pPr>
              <w:spacing w:after="0"/>
            </w:pPr>
            <w:r>
              <w:rPr>
                <w:b/>
                <w:sz w:val="18"/>
              </w:rPr>
              <w:t>Assurance</w:t>
            </w:r>
          </w:p>
        </w:tc>
        <w:tc>
          <w:tcPr>
            <w:tcW w:type="dxa" w:w="7416"/>
            <w:vAlign w:val="center"/>
            <w:tcMar>
              <w:top w:w="90" w:type="dxa"/>
              <w:start w:w="110" w:type="dxa"/>
              <w:bottom w:w="90" w:type="dxa"/>
              <w:end w:w="110" w:type="dxa"/>
            </w:tcMar>
          </w:tcPr>
          <w:p>
            <w:pPr>
              <w:spacing w:after="0"/>
            </w:pPr>
            <w:r>
              <w:rPr>
                <w:sz w:val="18"/>
              </w:rPr>
              <w:t>Service definitions may declare required assurance levels, e.g. OTP-verified versus DigiLocker-verified, without changing application code.</w:t>
            </w:r>
          </w:p>
        </w:tc>
      </w:tr>
    </w:tbl>
    <w:p>
      <w:pPr>
        <w:pStyle w:val="Heading2"/>
      </w:pPr>
      <w:r>
        <w:t>4.8 Performance certification ladder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17365D"/>
            <w:tcMar>
              <w:top w:w="90" w:type="dxa"/>
              <w:start w:w="100" w:type="dxa"/>
              <w:bottom w:w="90" w:type="dxa"/>
              <w:end w:w="100" w:type="dxa"/>
            </w:tcMar>
          </w:tcPr>
          <w:p>
            <w:r>
              <w:rPr>
                <w:b/>
                <w:color w:val="FFFFFF"/>
              </w:rPr>
              <w:t>Stage</w:t>
            </w:r>
          </w:p>
        </w:tc>
        <w:tc>
          <w:tcPr>
            <w:tcW w:type="dxa" w:w="2160"/>
            <w:shd w:fill="17365D"/>
            <w:tcMar>
              <w:top w:w="90" w:type="dxa"/>
              <w:start w:w="100" w:type="dxa"/>
              <w:bottom w:w="90" w:type="dxa"/>
              <w:end w:w="100" w:type="dxa"/>
            </w:tcMar>
          </w:tcPr>
          <w:p>
            <w:r>
              <w:rPr>
                <w:b/>
                <w:color w:val="FFFFFF"/>
              </w:rPr>
              <w:t>Target</w:t>
            </w:r>
          </w:p>
        </w:tc>
        <w:tc>
          <w:tcPr>
            <w:tcW w:type="dxa" w:w="5328"/>
            <w:shd w:fill="17365D"/>
            <w:tcMar>
              <w:top w:w="90" w:type="dxa"/>
              <w:start w:w="100" w:type="dxa"/>
              <w:bottom w:w="90" w:type="dxa"/>
              <w:end w:w="100" w:type="dxa"/>
            </w:tcMar>
          </w:tcPr>
          <w:p>
            <w:r>
              <w:rPr>
                <w:b/>
                <w:color w:val="FFFFFF"/>
              </w:rPr>
              <w:t>Pass condition</w:t>
            </w:r>
          </w:p>
        </w:tc>
      </w:tr>
      <w:tr>
        <w:trPr>
          <w:cantSplit/>
        </w:trPr>
        <w:tc>
          <w:tcPr>
            <w:tcW w:type="dxa" w:w="3389"/>
            <w:tcMar>
              <w:top w:w="70" w:type="dxa"/>
              <w:start w:w="85" w:type="dxa"/>
              <w:bottom w:w="70" w:type="dxa"/>
              <w:end w:w="85" w:type="dxa"/>
            </w:tcMar>
          </w:tcPr>
          <w:p>
            <w:r>
              <w:rPr>
                <w:sz w:val="16"/>
              </w:rPr>
              <w:t>Development smoke</w:t>
            </w:r>
          </w:p>
        </w:tc>
        <w:tc>
          <w:tcPr>
            <w:tcW w:type="dxa" w:w="3389"/>
            <w:tcMar>
              <w:top w:w="70" w:type="dxa"/>
              <w:start w:w="85" w:type="dxa"/>
              <w:bottom w:w="70" w:type="dxa"/>
              <w:end w:w="85" w:type="dxa"/>
            </w:tcMar>
          </w:tcPr>
          <w:p>
            <w:r>
              <w:rPr>
                <w:sz w:val="16"/>
              </w:rPr>
              <w:t>100 RPS</w:t>
            </w:r>
          </w:p>
        </w:tc>
        <w:tc>
          <w:tcPr>
            <w:tcW w:type="dxa" w:w="3389"/>
            <w:tcMar>
              <w:top w:w="70" w:type="dxa"/>
              <w:start w:w="85" w:type="dxa"/>
              <w:bottom w:w="70" w:type="dxa"/>
              <w:end w:w="85" w:type="dxa"/>
            </w:tcMar>
          </w:tcPr>
          <w:p>
            <w:r>
              <w:rPr>
                <w:sz w:val="16"/>
              </w:rPr>
              <w:t>Correctness, no leaks, baseline latency</w:t>
            </w:r>
          </w:p>
        </w:tc>
      </w:tr>
      <w:tr>
        <w:trPr>
          <w:cantSplit/>
        </w:trPr>
        <w:tc>
          <w:tcPr>
            <w:tcW w:type="dxa" w:w="3389"/>
            <w:tcMar>
              <w:top w:w="70" w:type="dxa"/>
              <w:start w:w="85" w:type="dxa"/>
              <w:bottom w:w="70" w:type="dxa"/>
              <w:end w:w="85" w:type="dxa"/>
            </w:tcMar>
          </w:tcPr>
          <w:p>
            <w:r>
              <w:rPr>
                <w:sz w:val="16"/>
              </w:rPr>
              <w:t>Integration</w:t>
            </w:r>
          </w:p>
        </w:tc>
        <w:tc>
          <w:tcPr>
            <w:tcW w:type="dxa" w:w="3389"/>
            <w:tcMar>
              <w:top w:w="70" w:type="dxa"/>
              <w:start w:w="85" w:type="dxa"/>
              <w:bottom w:w="70" w:type="dxa"/>
              <w:end w:w="85" w:type="dxa"/>
            </w:tcMar>
          </w:tcPr>
          <w:p>
            <w:r>
              <w:rPr>
                <w:sz w:val="16"/>
              </w:rPr>
              <w:t>500 RPS</w:t>
            </w:r>
          </w:p>
        </w:tc>
        <w:tc>
          <w:tcPr>
            <w:tcW w:type="dxa" w:w="3389"/>
            <w:tcMar>
              <w:top w:w="70" w:type="dxa"/>
              <w:start w:w="85" w:type="dxa"/>
              <w:bottom w:w="70" w:type="dxa"/>
              <w:end w:w="85" w:type="dxa"/>
            </w:tcMar>
          </w:tcPr>
          <w:p>
            <w:r>
              <w:rPr>
                <w:sz w:val="16"/>
              </w:rPr>
              <w:t>Stable dependencies and observability</w:t>
            </w:r>
          </w:p>
        </w:tc>
      </w:tr>
      <w:tr>
        <w:trPr>
          <w:cantSplit/>
        </w:trPr>
        <w:tc>
          <w:tcPr>
            <w:tcW w:type="dxa" w:w="3389"/>
            <w:tcMar>
              <w:top w:w="70" w:type="dxa"/>
              <w:start w:w="85" w:type="dxa"/>
              <w:bottom w:w="70" w:type="dxa"/>
              <w:end w:w="85" w:type="dxa"/>
            </w:tcMar>
          </w:tcPr>
          <w:p>
            <w:r>
              <w:rPr>
                <w:sz w:val="16"/>
              </w:rPr>
              <w:t>Basic load</w:t>
            </w:r>
          </w:p>
        </w:tc>
        <w:tc>
          <w:tcPr>
            <w:tcW w:type="dxa" w:w="3389"/>
            <w:tcMar>
              <w:top w:w="70" w:type="dxa"/>
              <w:start w:w="85" w:type="dxa"/>
              <w:bottom w:w="70" w:type="dxa"/>
              <w:end w:w="85" w:type="dxa"/>
            </w:tcMar>
          </w:tcPr>
          <w:p>
            <w:r>
              <w:rPr>
                <w:sz w:val="16"/>
              </w:rPr>
              <w:t>1,000 RPS</w:t>
            </w:r>
          </w:p>
        </w:tc>
        <w:tc>
          <w:tcPr>
            <w:tcW w:type="dxa" w:w="3389"/>
            <w:tcMar>
              <w:top w:w="70" w:type="dxa"/>
              <w:start w:w="85" w:type="dxa"/>
              <w:bottom w:w="70" w:type="dxa"/>
              <w:end w:w="85" w:type="dxa"/>
            </w:tcMar>
          </w:tcPr>
          <w:p>
            <w:r>
              <w:rPr>
                <w:sz w:val="16"/>
              </w:rPr>
              <w:t>No saturation; known resource profile</w:t>
            </w:r>
          </w:p>
        </w:tc>
      </w:tr>
      <w:tr>
        <w:trPr>
          <w:cantSplit/>
        </w:trPr>
        <w:tc>
          <w:tcPr>
            <w:tcW w:type="dxa" w:w="3389"/>
            <w:tcMar>
              <w:top w:w="70" w:type="dxa"/>
              <w:start w:w="85" w:type="dxa"/>
              <w:bottom w:w="70" w:type="dxa"/>
              <w:end w:w="85" w:type="dxa"/>
            </w:tcMar>
          </w:tcPr>
          <w:p>
            <w:r>
              <w:rPr>
                <w:sz w:val="16"/>
              </w:rPr>
              <w:t>Scale</w:t>
            </w:r>
          </w:p>
        </w:tc>
        <w:tc>
          <w:tcPr>
            <w:tcW w:type="dxa" w:w="3389"/>
            <w:tcMar>
              <w:top w:w="70" w:type="dxa"/>
              <w:start w:w="85" w:type="dxa"/>
              <w:bottom w:w="70" w:type="dxa"/>
              <w:end w:w="85" w:type="dxa"/>
            </w:tcMar>
          </w:tcPr>
          <w:p>
            <w:r>
              <w:rPr>
                <w:sz w:val="16"/>
              </w:rPr>
              <w:t>2,500 RPS</w:t>
            </w:r>
          </w:p>
        </w:tc>
        <w:tc>
          <w:tcPr>
            <w:tcW w:type="dxa" w:w="3389"/>
            <w:tcMar>
              <w:top w:w="70" w:type="dxa"/>
              <w:start w:w="85" w:type="dxa"/>
              <w:bottom w:w="70" w:type="dxa"/>
              <w:end w:w="85" w:type="dxa"/>
            </w:tcMar>
          </w:tcPr>
          <w:p>
            <w:r>
              <w:rPr>
                <w:sz w:val="16"/>
              </w:rPr>
              <w:t>Autoscaling and queue behavior verified</w:t>
            </w:r>
          </w:p>
        </w:tc>
      </w:tr>
      <w:tr>
        <w:trPr>
          <w:cantSplit/>
        </w:trPr>
        <w:tc>
          <w:tcPr>
            <w:tcW w:type="dxa" w:w="3389"/>
            <w:tcMar>
              <w:top w:w="70" w:type="dxa"/>
              <w:start w:w="85" w:type="dxa"/>
              <w:bottom w:w="70" w:type="dxa"/>
              <w:end w:w="85" w:type="dxa"/>
            </w:tcMar>
          </w:tcPr>
          <w:p>
            <w:r>
              <w:rPr>
                <w:sz w:val="16"/>
              </w:rPr>
              <w:t>High load</w:t>
            </w:r>
          </w:p>
        </w:tc>
        <w:tc>
          <w:tcPr>
            <w:tcW w:type="dxa" w:w="3389"/>
            <w:tcMar>
              <w:top w:w="70" w:type="dxa"/>
              <w:start w:w="85" w:type="dxa"/>
              <w:bottom w:w="70" w:type="dxa"/>
              <w:end w:w="85" w:type="dxa"/>
            </w:tcMar>
          </w:tcPr>
          <w:p>
            <w:r>
              <w:rPr>
                <w:sz w:val="16"/>
              </w:rPr>
              <w:t>5,000 RPS</w:t>
            </w:r>
          </w:p>
        </w:tc>
        <w:tc>
          <w:tcPr>
            <w:tcW w:type="dxa" w:w="3389"/>
            <w:tcMar>
              <w:top w:w="70" w:type="dxa"/>
              <w:start w:w="85" w:type="dxa"/>
              <w:bottom w:w="70" w:type="dxa"/>
              <w:end w:w="85" w:type="dxa"/>
            </w:tcMar>
          </w:tcPr>
          <w:p>
            <w:r>
              <w:rPr>
                <w:sz w:val="16"/>
              </w:rPr>
              <w:t>DB/cache/event capacity within safe headroom</w:t>
            </w:r>
          </w:p>
        </w:tc>
      </w:tr>
      <w:tr>
        <w:trPr>
          <w:cantSplit/>
        </w:trPr>
        <w:tc>
          <w:tcPr>
            <w:tcW w:type="dxa" w:w="3389"/>
            <w:tcMar>
              <w:top w:w="70" w:type="dxa"/>
              <w:start w:w="85" w:type="dxa"/>
              <w:bottom w:w="70" w:type="dxa"/>
              <w:end w:w="85" w:type="dxa"/>
            </w:tcMar>
          </w:tcPr>
          <w:p>
            <w:r>
              <w:rPr>
                <w:sz w:val="16"/>
              </w:rPr>
              <w:t>Required capacity</w:t>
            </w:r>
          </w:p>
        </w:tc>
        <w:tc>
          <w:tcPr>
            <w:tcW w:type="dxa" w:w="3389"/>
            <w:tcMar>
              <w:top w:w="70" w:type="dxa"/>
              <w:start w:w="85" w:type="dxa"/>
              <w:bottom w:w="70" w:type="dxa"/>
              <w:end w:w="85" w:type="dxa"/>
            </w:tcMar>
          </w:tcPr>
          <w:p>
            <w:r>
              <w:rPr>
                <w:sz w:val="16"/>
              </w:rPr>
              <w:t>10,000 RPS sustained for 60 minutes</w:t>
            </w:r>
          </w:p>
        </w:tc>
        <w:tc>
          <w:tcPr>
            <w:tcW w:type="dxa" w:w="3389"/>
            <w:tcMar>
              <w:top w:w="70" w:type="dxa"/>
              <w:start w:w="85" w:type="dxa"/>
              <w:bottom w:w="70" w:type="dxa"/>
              <w:end w:w="85" w:type="dxa"/>
            </w:tcMar>
          </w:tcPr>
          <w:p>
            <w:r>
              <w:rPr>
                <w:sz w:val="16"/>
              </w:rPr>
              <w:t>Core SLOs met; error rate &lt; 0.1% unless service-specific exception approved; zero lost committed applications</w:t>
            </w:r>
          </w:p>
        </w:tc>
      </w:tr>
      <w:tr>
        <w:trPr>
          <w:cantSplit/>
        </w:trPr>
        <w:tc>
          <w:tcPr>
            <w:tcW w:type="dxa" w:w="3389"/>
            <w:tcMar>
              <w:top w:w="70" w:type="dxa"/>
              <w:start w:w="85" w:type="dxa"/>
              <w:bottom w:w="70" w:type="dxa"/>
              <w:end w:w="85" w:type="dxa"/>
            </w:tcMar>
          </w:tcPr>
          <w:p>
            <w:r>
              <w:rPr>
                <w:sz w:val="16"/>
              </w:rPr>
              <w:t>Burst</w:t>
            </w:r>
          </w:p>
        </w:tc>
        <w:tc>
          <w:tcPr>
            <w:tcW w:type="dxa" w:w="3389"/>
            <w:tcMar>
              <w:top w:w="70" w:type="dxa"/>
              <w:start w:w="85" w:type="dxa"/>
              <w:bottom w:w="70" w:type="dxa"/>
              <w:end w:w="85" w:type="dxa"/>
            </w:tcMar>
          </w:tcPr>
          <w:p>
            <w:r>
              <w:rPr>
                <w:sz w:val="16"/>
              </w:rPr>
              <w:t>20,000 RPS for 15 minutes</w:t>
            </w:r>
          </w:p>
        </w:tc>
        <w:tc>
          <w:tcPr>
            <w:tcW w:type="dxa" w:w="3389"/>
            <w:tcMar>
              <w:top w:w="70" w:type="dxa"/>
              <w:start w:w="85" w:type="dxa"/>
              <w:bottom w:w="70" w:type="dxa"/>
              <w:end w:w="85" w:type="dxa"/>
            </w:tcMar>
          </w:tcPr>
          <w:p>
            <w:r>
              <w:rPr>
                <w:sz w:val="16"/>
              </w:rPr>
              <w:t>Controlled scaling/backpressure; no unsafe failure or duplicate side effects</w:t>
            </w:r>
          </w:p>
        </w:tc>
      </w:tr>
      <w:tr>
        <w:trPr>
          <w:cantSplit/>
        </w:trPr>
        <w:tc>
          <w:tcPr>
            <w:tcW w:type="dxa" w:w="3389"/>
            <w:tcMar>
              <w:top w:w="70" w:type="dxa"/>
              <w:start w:w="85" w:type="dxa"/>
              <w:bottom w:w="70" w:type="dxa"/>
              <w:end w:w="85" w:type="dxa"/>
            </w:tcMar>
          </w:tcPr>
          <w:p>
            <w:r>
              <w:rPr>
                <w:sz w:val="16"/>
              </w:rPr>
              <w:t>Degradation</w:t>
            </w:r>
          </w:p>
        </w:tc>
        <w:tc>
          <w:tcPr>
            <w:tcW w:type="dxa" w:w="3389"/>
            <w:tcMar>
              <w:top w:w="70" w:type="dxa"/>
              <w:start w:w="85" w:type="dxa"/>
              <w:bottom w:w="70" w:type="dxa"/>
              <w:end w:w="85" w:type="dxa"/>
            </w:tcMar>
          </w:tcPr>
          <w:p>
            <w:r>
              <w:rPr>
                <w:sz w:val="16"/>
              </w:rPr>
              <w:t>30,000 RPS controlled stress</w:t>
            </w:r>
          </w:p>
        </w:tc>
        <w:tc>
          <w:tcPr>
            <w:tcW w:type="dxa" w:w="3389"/>
            <w:tcMar>
              <w:top w:w="70" w:type="dxa"/>
              <w:start w:w="85" w:type="dxa"/>
              <w:bottom w:w="70" w:type="dxa"/>
              <w:end w:w="85" w:type="dxa"/>
            </w:tcMar>
          </w:tcPr>
          <w:p>
            <w:r>
              <w:rPr>
                <w:sz w:val="16"/>
              </w:rPr>
              <w:t>Graceful throttling/degradation; platform recovers without data corruption</w:t>
            </w:r>
          </w:p>
        </w:tc>
      </w:tr>
      <w:tr>
        <w:trPr>
          <w:cantSplit/>
        </w:trPr>
        <w:tc>
          <w:tcPr>
            <w:tcW w:type="dxa" w:w="3389"/>
            <w:tcMar>
              <w:top w:w="70" w:type="dxa"/>
              <w:start w:w="85" w:type="dxa"/>
              <w:bottom w:w="70" w:type="dxa"/>
              <w:end w:w="85" w:type="dxa"/>
            </w:tcMar>
          </w:tcPr>
          <w:p>
            <w:r>
              <w:rPr>
                <w:sz w:val="16"/>
              </w:rPr>
              <w:t>Chaos</w:t>
            </w:r>
          </w:p>
        </w:tc>
        <w:tc>
          <w:tcPr>
            <w:tcW w:type="dxa" w:w="3389"/>
            <w:tcMar>
              <w:top w:w="70" w:type="dxa"/>
              <w:start w:w="85" w:type="dxa"/>
              <w:bottom w:w="70" w:type="dxa"/>
              <w:end w:w="85" w:type="dxa"/>
            </w:tcMar>
          </w:tcPr>
          <w:p>
            <w:r>
              <w:rPr>
                <w:sz w:val="16"/>
              </w:rPr>
              <w:t>10,000 RPS + pod/node/AZ/dependency failure</w:t>
            </w:r>
          </w:p>
        </w:tc>
        <w:tc>
          <w:tcPr>
            <w:tcW w:type="dxa" w:w="3389"/>
            <w:tcMar>
              <w:top w:w="70" w:type="dxa"/>
              <w:start w:w="85" w:type="dxa"/>
              <w:bottom w:w="70" w:type="dxa"/>
              <w:end w:w="85" w:type="dxa"/>
            </w:tcMar>
          </w:tcPr>
          <w:p>
            <w:r>
              <w:rPr>
                <w:sz w:val="16"/>
              </w:rPr>
              <w:t>No cross-tenant leak, no lost committed application, backlog drains, measured recovery within approved objective</w:t>
            </w:r>
          </w:p>
        </w:tc>
      </w:tr>
      <w:tr>
        <w:trPr>
          <w:cantSplit/>
        </w:trPr>
        <w:tc>
          <w:tcPr>
            <w:tcW w:type="dxa" w:w="3389"/>
            <w:tcMar>
              <w:top w:w="70" w:type="dxa"/>
              <w:start w:w="85" w:type="dxa"/>
              <w:bottom w:w="70" w:type="dxa"/>
              <w:end w:w="85" w:type="dxa"/>
            </w:tcMar>
          </w:tcPr>
          <w:p>
            <w:r>
              <w:rPr>
                <w:sz w:val="16"/>
              </w:rPr>
              <w:t>Soak</w:t>
            </w:r>
          </w:p>
        </w:tc>
        <w:tc>
          <w:tcPr>
            <w:tcW w:type="dxa" w:w="3389"/>
            <w:tcMar>
              <w:top w:w="70" w:type="dxa"/>
              <w:start w:w="85" w:type="dxa"/>
              <w:bottom w:w="70" w:type="dxa"/>
              <w:end w:w="85" w:type="dxa"/>
            </w:tcMar>
          </w:tcPr>
          <w:p>
            <w:r>
              <w:rPr>
                <w:sz w:val="16"/>
              </w:rPr>
              <w:t>Representative peak mix for 8-24 hours</w:t>
            </w:r>
          </w:p>
        </w:tc>
        <w:tc>
          <w:tcPr>
            <w:tcW w:type="dxa" w:w="3389"/>
            <w:tcMar>
              <w:top w:w="70" w:type="dxa"/>
              <w:start w:w="85" w:type="dxa"/>
              <w:bottom w:w="70" w:type="dxa"/>
              <w:end w:w="85" w:type="dxa"/>
            </w:tcMar>
          </w:tcPr>
          <w:p>
            <w:r>
              <w:rPr>
                <w:sz w:val="16"/>
              </w:rPr>
              <w:t>No connection/memory leak, runaway queue, index growth anomaly or progressive latency collapse</w:t>
            </w:r>
          </w:p>
        </w:tc>
      </w:tr>
    </w:tbl>
    <w:tbl>
      <w:tblPr>
        <w:tblW w:type="auto" w:w="0"/>
        <w:jc w:val="center"/>
        <w:tblLayout w:type="fixed"/>
        <w:tblLook w:firstColumn="1" w:firstRow="1" w:lastColumn="0" w:lastRow="0" w:noHBand="0" w:noVBand="1" w:val="04A0"/>
      </w:tblPr>
      <w:tblGrid>
        <w:gridCol w:w="10166"/>
      </w:tblGrid>
      <w:tr>
        <w:trPr>
          <w:cantSplit/>
        </w:trPr>
        <w:tc>
          <w:tcPr>
            <w:tcW w:type="dxa" w:w="9648"/>
            <w:shd w:fill="FCE4D6"/>
            <w:tcMar>
              <w:top w:w="120" w:type="dxa"/>
              <w:start w:w="150" w:type="dxa"/>
              <w:bottom w:w="120" w:type="dxa"/>
              <w:end w:w="150" w:type="dxa"/>
            </w:tcMar>
          </w:tcPr>
          <w:p>
            <w:r>
              <w:rPr>
                <w:b/>
              </w:rPr>
              <w:t xml:space="preserve">Mandatory evidence: </w:t>
            </w:r>
            <w:r>
              <w:t>No component is certified for 10K TPS based on product reputation or vendor benchmarks. The production release gate is ServiceForm-specific load, spike, soak, failover and chaos evidence on representative data and workflows.</w:t>
            </w:r>
          </w:p>
        </w:tc>
      </w:tr>
    </w:tbl>
    <w:p>
      <w:pPr>
        <w:spacing w:after="0"/>
      </w:pPr>
    </w:p>
    <w:p>
      <w:pPr>
        <w:pStyle w:val="Heading1"/>
      </w:pPr>
      <w:r>
        <w:t>5. Cross-Cutting Engineering Invariants</w:t>
      </w:r>
    </w:p>
    <w:p>
      <w:pPr>
        <w:pStyle w:val="ListBullet"/>
      </w:pPr>
      <w:r>
        <w:t>The Service Design Studio is the supported authoring path for tenant service configuration. Runtime services consume published metadata packages; tenant authors do not introduce bespoke backend code for ordinary service variants.</w:t>
      </w:r>
    </w:p>
    <w:p>
      <w:pPr>
        <w:pStyle w:val="ListBullet"/>
        <w:spacing w:after="40"/>
      </w:pPr>
      <w:r>
        <w:t>No source-code branch may depend on a named State, district, municipality, block, panchayat or named officer.</w:t>
      </w:r>
    </w:p>
    <w:p>
      <w:pPr>
        <w:pStyle w:val="ListBullet"/>
        <w:spacing w:after="40"/>
      </w:pPr>
      <w:r>
        <w:t>Government organization hierarchy and geographical jurisdiction hierarchy are separate versioned models.</w:t>
      </w:r>
    </w:p>
    <w:p>
      <w:pPr>
        <w:pStyle w:val="ListBullet"/>
        <w:spacing w:after="40"/>
      </w:pPr>
      <w:r>
        <w:t>Every business record carries tenant/cell context and every access path proves tenant isolation.</w:t>
      </w:r>
    </w:p>
    <w:p>
      <w:pPr>
        <w:pStyle w:val="ListBullet"/>
        <w:spacing w:after="40"/>
      </w:pPr>
      <w:r>
        <w:t>Published service, form, rule, evidence, fee and workflow versions are immutable; applications pin exact versions.</w:t>
      </w:r>
    </w:p>
    <w:p>
      <w:pPr>
        <w:pStyle w:val="ListBullet"/>
        <w:spacing w:after="40"/>
      </w:pPr>
      <w:r>
        <w:t>Every external side effect uses an idempotency key and an auditable attempt/result record.</w:t>
      </w:r>
    </w:p>
    <w:p>
      <w:pPr>
        <w:pStyle w:val="ListBullet"/>
        <w:spacing w:after="40"/>
      </w:pPr>
      <w:r>
        <w:t>No LLM or generative model makes statutory eligibility, approval, rejection, entitlement or penalty decisions.</w:t>
      </w:r>
    </w:p>
    <w:p>
      <w:pPr>
        <w:pStyle w:val="ListBullet"/>
        <w:spacing w:after="40"/>
      </w:pPr>
      <w:r>
        <w:t>Authentication is not authorization: Keycloak authenticates; OPA/application policy determines permitted actions.</w:t>
      </w:r>
    </w:p>
    <w:p>
      <w:pPr>
        <w:pStyle w:val="ListBullet"/>
        <w:spacing w:after="40"/>
      </w:pPr>
      <w:r>
        <w:t>Search, cache, analytics and vector stores are derived views, never systems of record.</w:t>
      </w:r>
    </w:p>
    <w:p>
      <w:pPr>
        <w:pStyle w:val="ListBullet"/>
        <w:spacing w:after="40"/>
      </w:pPr>
      <w:r>
        <w:t>PII must not be copied to logs, traces, prompts, vector embeddings or events unless explicitly classified and allowed.</w:t>
      </w:r>
    </w:p>
    <w:p>
      <w:pPr>
        <w:pStyle w:val="ListBullet"/>
        <w:spacing w:after="40"/>
      </w:pPr>
      <w:r>
        <w:t>Every material state transition creates audit evidence with actor, authority, source, old/new state, time and correlation ID.</w:t>
      </w:r>
    </w:p>
    <w:p>
      <w:pPr>
        <w:pStyle w:val="ListBullet"/>
        <w:spacing w:after="40"/>
      </w:pPr>
      <w:r>
        <w:t>All APIs are contract-first and all domain events use versioned schemas.</w:t>
      </w:r>
    </w:p>
    <w:p>
      <w:pPr>
        <w:pStyle w:val="ListBullet"/>
        <w:spacing w:after="40"/>
      </w:pPr>
      <w:r>
        <w:t>Every component has SLOs, dashboards, alarms, runbooks and failure-mode tests before production.</w:t>
      </w:r>
    </w:p>
    <w:p>
      <w:pPr>
        <w:jc w:val="center"/>
      </w:pPr>
      <w:r>
        <w:drawing>
          <wp:inline xmlns:a="http://schemas.openxmlformats.org/drawingml/2006/main" xmlns:pic="http://schemas.openxmlformats.org/drawingml/2006/picture">
            <wp:extent cx="6126480" cy="396086"/>
            <wp:docPr id="5" name="Picture 5"/>
            <wp:cNvGraphicFramePr>
              <a:graphicFrameLocks noChangeAspect="1"/>
            </wp:cNvGraphicFramePr>
            <a:graphic>
              <a:graphicData uri="http://schemas.openxmlformats.org/drawingml/2006/picture">
                <pic:pic>
                  <pic:nvPicPr>
                    <pic:cNvPr id="0" name="service_execution.png"/>
                    <pic:cNvPicPr/>
                  </pic:nvPicPr>
                  <pic:blipFill>
                    <a:blip r:embed="rId13"/>
                    <a:stretch>
                      <a:fillRect/>
                    </a:stretch>
                  </pic:blipFill>
                  <pic:spPr>
                    <a:xfrm>
                      <a:off x="0" y="0"/>
                      <a:ext cx="6126480" cy="396086"/>
                    </a:xfrm>
                    <a:prstGeom prst="rect"/>
                  </pic:spPr>
                </pic:pic>
              </a:graphicData>
            </a:graphic>
          </wp:inline>
        </w:drawing>
      </w:r>
    </w:p>
    <w:p>
      <w:pPr>
        <w:pStyle w:val="Caption"/>
        <w:jc w:val="center"/>
      </w:pPr>
      <w:r>
        <w:t>Figure 4 - Generic service execution path</w:t>
      </w:r>
    </w:p>
    <w:p>
      <w:pPr>
        <w:pStyle w:val="Heading1"/>
      </w:pPr>
      <w:r>
        <w:t>6. Component Functional &amp; Technical Specifications</w:t>
      </w:r>
    </w:p>
    <w:p>
      <w:r>
        <w:t>Each component below is a logical bounded capability. It does not imply one Kubernetes microservice per component. Closely related low-volume capabilities may share a deployable while retaining module/data/API boundaries. Split deployables when scale, security, ownership or failure isolation requires it.</w:t>
      </w:r>
    </w:p>
    <w:p>
      <w:pPr>
        <w:pStyle w:val="Heading2"/>
      </w:pPr>
      <w:r>
        <w:t>CMP-001  Service Catalogue &amp; Registry</w:t>
      </w:r>
    </w:p>
    <w:p>
      <w:pPr>
        <w:spacing w:after="100"/>
      </w:pPr>
      <w:r>
        <w:t>Canonical registry for all government services and local offerings.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Create/version canonical services; map local aliases; publish local offerings; store category, provider, jurisdiction, SLA, fee, evidence, output and life-event metadata; expose browse/search APIs.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Fastify service backed by Aurora PostgreSQL. Immutable published versions. JSON Schema validation for manifests. Read models cached in Redis and indexed to OpenSearch. Use UUID/ULID IDs plus stable human service codes.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REST/OpenAPI: catalogue query/admin; events: ServiceDefinitionPublished, LocalOfferingPublished, OfferingRetired.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Global canonical records + tenant/local overlays. Local offering references organization_id and jurisdiction_scope_id; never duplicate canonical semantics simply because a State uses another label.</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Read-heavy; cache hot catalogue entries; paginate all APIs; bulk indexing asynchronous. Target p95 read &lt; 200 ms from cache/DB.</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Maker-checker publication; provenance to Act/Rule/notification; admin actions audited; no citizen PII stored.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Fastify domain service + Aurora + Redis + OpenSearch.</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AI must never invent authoritative service rules. Acceptance: same canonical service can host multiple state/local offerings without code changes.</w:t>
            </w:r>
          </w:p>
        </w:tc>
      </w:tr>
    </w:tbl>
    <w:p>
      <w:pPr>
        <w:spacing w:after="20"/>
      </w:pPr>
    </w:p>
    <w:p>
      <w:pPr>
        <w:pStyle w:val="Heading2"/>
      </w:pPr>
      <w:r>
        <w:t>CMP-002  Tenant &amp; Government Organisation Service</w:t>
      </w:r>
    </w:p>
    <w:p>
      <w:pPr>
        <w:spacing w:after="100"/>
      </w:pPr>
      <w:r>
        <w:t>Represents every service-provider organization and tenancy boundary.</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Create tenants, organizations, parent-child structures, offices, organizational types, delegations and service-provider relationships; support pooled and dedicated tenants.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Adjacency-list plus closure/path model for organization hierarchy. Tenant Placement registry maps tenant to cell/database/search partition. Configurable organization types, not enums tied to one State.</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org tree, office lookup, tenant placement; events: TenantCreated, OrganisationChanged, TenantPlacementChanged.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All org records tenant-scoped except national reference bodies. Geography is referenced but not embedded as hierarchy logic.</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Organization reads must be highly cacheable. Large tree queries use precomputed paths/materialized views.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Only privileged administrative roles modify organization graph; two-person approval for sensitive placement/authority changes.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on Aurora; Redis for hierarchy cache.</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model State department, district office, ULB and gram panchayat using metadata only; moving an office does not require code deployment.</w:t>
            </w:r>
          </w:p>
        </w:tc>
      </w:tr>
    </w:tbl>
    <w:p>
      <w:pPr>
        <w:spacing w:after="20"/>
      </w:pPr>
    </w:p>
    <w:p>
      <w:pPr>
        <w:pStyle w:val="Heading2"/>
      </w:pPr>
      <w:r>
        <w:t>CMP-003  Jurisdiction Engine</w:t>
      </w:r>
    </w:p>
    <w:p>
      <w:pPr>
        <w:spacing w:after="100"/>
      </w:pPr>
      <w:r>
        <w:t>Determines which government authority is competent for a service/application.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Resolve provider office from service + citizen/application location + jurisdiction type + effective date; support overlapping special jurisdictions and fallback rules.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Geospatial and administrative boundary model using PostGIS where polygons are required; deterministic resolution service; precomputed mapping for common village/ward/pincode lookups.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resolve jurisdiction; event: JurisdictionBoundaryChanged. Called by offering discovery, workflow routing and officer authorization.</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Effective-dated boundary versions. Applications pin resolved jurisdiction and boundary version at submission where law requires historical reproducibility.</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Cache common mappings; batch geospatial imports offline. p95 resolution &lt; 100 ms for indexed administrative keys.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Boundary changes are privileged and audited; no model may infer jurisdiction from free text when deterministic master data exists.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Aurora PostgreSQL + PostGIS extension if supported/validated; otherwise dedicated PostgreSQL/PostGIS service. Redis cache.</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resolve municipality, block and panchayat correctly without State-specific code; regression suite for boundary changes.</w:t>
            </w:r>
          </w:p>
        </w:tc>
      </w:tr>
    </w:tbl>
    <w:p>
      <w:pPr>
        <w:spacing w:after="20"/>
      </w:pPr>
    </w:p>
    <w:p>
      <w:pPr>
        <w:pStyle w:val="Heading2"/>
      </w:pPr>
      <w:r>
        <w:t>CMP-004  Identity &amp; Access Service</w:t>
      </w:r>
    </w:p>
    <w:p>
      <w:pPr>
        <w:spacing w:after="100"/>
      </w:pPr>
      <w:r>
        <w:t>Provides separate citizen and government-workforce identity planes while presenting a common authenticated principal contract to ServiceForm.</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Government officers/admins use Keycloak with MFA/federation. Citizens initially use mobile OTP through ServiceForm Citizen Identity Service, can verify identity/claims through DigiLocker, and later may use DigiLocker SSO. Service identities use workload identity/OAuth. Account linking must prevent duplicate citizen accounts.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Keycloak runs on EKS with Aurora PostgreSQL for workforce IAM only. Citizen Identity Service is a stateless Fastify service on EKS backed by Aurora for account/link records and Redis for short-lived OTP/session state. All citizen methods resolve to an immutable ServiceForm citizen_id UUID. APIs validate signed access tokens locally; ordinary requests must not call Keycloak/DigiLocker synchronously for token validation.</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OIDC/OAuth2/SAML for Keycloak; OTP provider adapter; DigiLocker verification/SSO adapter; account-linking API; service-to-service auth via AWS workload identity/mTLS/OAuth. Events: CitizenIdentityCreated, IdentityLinked, IdentityVerified, OfficerLoginSecurityEvent.</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Citizen identity and citizen profile are separate. Mobile number is an attribute/login handle, never the permanent primary key. Officer identity maps to organization/role/jurisdiction assignments held in ServiceForm authorization data. Detailed authorization remains external to Keycloak.</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Citizen identity pods scale horizontally and are benchmarked independently for OTP request/verify/session issuance. Keycloak is sized for workforce load, not hundreds of millions of citizens. APIs validate JWTs locally. Rate-limit OTP abuse and isolate third-party provider latency from the application hot path.</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MFA for officials/admins; OTP throttling and anti-enumeration; account-linking fraud controls; secure cookies/tokens; session revocation; consent/provenance for DigiLocker; admin plane isolated; KMS/Secrets Manager.</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Keycloak OSS on EKS + Aurora PostgreSQL for workforce; custom Fastify Citizen Identity Service + Aurora + Redis + pluggable OTP/DigiLocker adapters.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mobile OTP citizen can authenticate without Keycloak; DigiLocker verification can enrich assurance without changing citizen_id; later DigiLocker SSO links to the same citizen_id; token validation does not require synchronous identity-provider calls; load tests cover OTP, token issuance, Keycloak officer login and account linking.</w:t>
            </w:r>
          </w:p>
        </w:tc>
      </w:tr>
    </w:tbl>
    <w:p>
      <w:pPr>
        <w:spacing w:after="20"/>
      </w:pPr>
    </w:p>
    <w:p>
      <w:pPr>
        <w:pStyle w:val="Heading2"/>
      </w:pPr>
      <w:r>
        <w:t>CMP-005  Citizen Profile Service</w:t>
      </w:r>
    </w:p>
    <w:p>
      <w:pPr>
        <w:spacing w:after="100"/>
      </w:pPr>
      <w:r>
        <w:t>Maintains the citizen-facing profile and reusable verified claims with consent.</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Profile attributes, addresses, family/dependent relationships where lawful, preferences, languages, verified claims, profile completeness and consent references.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Fastify service + Aurora. Separate raw attributes from verification metadata. Claim model: value, source, verified_at, expiry, assurance, consent/purpose, revocation/status.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profile read/update, claim list/reuse; events: ProfileChanged, VerifiedClaimAdded, ClaimExpired.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Citizen-scoped, not tenant-owned; access mediated by purpose/consent. Tenant applications receive only allowed claims.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Read cache with strict invalidation. Sensitive fields encrypted at application/column level where required. Partition history tables.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Purpose limitation, consent ledger reference, masking, audit of access, field-level authorization, retention policy.</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Fastify service + Aurora + KMS; optional Redis for non-sensitive profile summary cache.</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citizen can see source/verification/expiry of reusable claims; AI recommendations cannot access fields without allowed purpose.</w:t>
            </w:r>
          </w:p>
        </w:tc>
      </w:tr>
    </w:tbl>
    <w:p>
      <w:pPr>
        <w:spacing w:after="20"/>
      </w:pPr>
    </w:p>
    <w:p>
      <w:pPr>
        <w:pStyle w:val="Heading2"/>
      </w:pPr>
      <w:r>
        <w:t>CMP-006  Service Discovery Engine</w:t>
      </w:r>
    </w:p>
    <w:p>
      <w:pPr>
        <w:spacing w:after="100"/>
      </w:pPr>
      <w:r>
        <w:t>Helps citizens find services by text, category, authority, location and life event.</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Multilingual search; filters; synonyms; typo tolerance; category/life-event navigation; service detail pages; availability by jurisdiction.</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OpenSearch index derived from catalogue/local offerings. Query service applies tenant/jurisdiction filters before ranking. Index pipeline supports transliteration/synonyms.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/search/services; events consumed from catalogue publication and jurisdiction updates.</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Only public service metadata is indexed. Personalized signals are passed at query time or separate private index, never mixed into public documents.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p95 &lt; 500 ms; cache popular anonymous searches; horizontally scalable stateless API.</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Prevent search-result data leakage through filters; sanitize queries; rate limiting and abuse controls.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Amazon OpenSearch Service + custom Fastify search API.</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same query returns only services actually available in citizen jurisdiction; multilingual regression test set required.</w:t>
            </w:r>
          </w:p>
        </w:tc>
      </w:tr>
    </w:tbl>
    <w:p>
      <w:pPr>
        <w:spacing w:after="20"/>
      </w:pPr>
    </w:p>
    <w:p>
      <w:pPr>
        <w:pStyle w:val="Heading2"/>
      </w:pPr>
      <w:r>
        <w:t>CMP-007  Recommendation Engine</w:t>
      </w:r>
    </w:p>
    <w:p>
      <w:pPr>
        <w:spacing w:after="100"/>
      </w:pPr>
      <w:r>
        <w:t>Produces explainable, consent-aware service/benefit recommendations without deciding eligibility.</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Candidate generation from profile/life events/location; deterministic filters; ranking; reason codes; suppression/dismissal; freshness; optional proactive reminders.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Hybrid engine: ZEN rules for candidate logic + OpenSearch for retrieval + Redis for cached recommendation set. Optional Bedrock classifier only for intent/life-event understanding; final recommendation reason is deterministic.</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recommendations; events: ProfileChanged, LifeEventObserved, OfferingPublished, RecommendationDismissed.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Stores recommendation IDs/reasons and minimal feature references; avoid duplicating sensitive profile data in search/vector stores.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Precompute asynchronously on profile events; online request reads cached set and performs final freshness check.</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Explainability required; no protected/sensitive inference; opt-out; purpose controls; recommendation != eligibility.</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recommendation service + GoRules ZEN + OpenSearch + Redis; Bedrock optional behind AI Gateway.</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every recommendation has human-readable reason codes and source attributes; removing consent removes dependent recommendations.</w:t>
            </w:r>
          </w:p>
        </w:tc>
      </w:tr>
    </w:tbl>
    <w:p>
      <w:pPr>
        <w:spacing w:after="20"/>
      </w:pPr>
    </w:p>
    <w:p>
      <w:pPr>
        <w:pStyle w:val="Heading2"/>
      </w:pPr>
      <w:r>
        <w:t>CMP-008  Eligibility / Rules Engine</w:t>
      </w:r>
    </w:p>
    <w:p>
      <w:pPr>
        <w:spacing w:after="100"/>
      </w:pPr>
      <w:r>
        <w:t>Runs deterministic government eligibility and policy decisions.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Evaluate eligibility, fee bands, evidence requirements, routing conditions and other deterministic decisions; produce decision trace/reason codes; version and test rules.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GoRules ZEN Engine embedded in a dedicated rules service/Node worker. Versioned JSON decision models signed/hash-addressed. Separate authoring governance from execution. No arbitrary JavaScript eval.</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evaluate decision version; events: RuleSetPublished. Called by form, offering, workflow, fee and recommendation components.</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Rules receive explicit input contract and return explicit output contract; no direct DB access from decision model; application pins exact rule version.</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Compile/load hot rule versions in memory; p95 normal evaluation &lt; 50 ms target; deterministic replay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Rule source provenance; maker-checker; sandboxed deterministic functions; no LLM decisions; full decision audit for statutory outcomes.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GoRules ZEN Engine (MIT) + ServiceForm rule registry. OPA remains separate for authorization.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same version + same input =&gt; same output; every outcome has test cases and reason trace; historical application can be replayed.</w:t>
            </w:r>
          </w:p>
        </w:tc>
      </w:tr>
    </w:tbl>
    <w:p>
      <w:pPr>
        <w:spacing w:after="20"/>
      </w:pPr>
    </w:p>
    <w:p>
      <w:pPr>
        <w:pStyle w:val="Heading2"/>
      </w:pPr>
      <w:r>
        <w:t>CMP-009  Dynamic Forms Engine</w:t>
      </w:r>
    </w:p>
    <w:p>
      <w:pPr>
        <w:spacing w:after="100"/>
      </w:pPr>
      <w:r>
        <w:t>Renders and validates service forms from metadata.</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JSON Schema fields, UI layout, conditional visibility, repeatable sections, calculations, cross-field validation, drafts, accessibility metadata, multilingual labels and server-side validation.</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Canonical contract: JSON Schema 2020-12 + ServiceForm UI schema + rule references. Web uses JSON Forms core with custom renderer library; server validates using AJV-compatible validator; Flutter implements same contract.</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form schema/version, validate, draft. Events: FormPublished. Integrates Rules and Evidence engines.</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Form definition immutable after publish. Citizen answers stored separately from schema; application pins form_version.</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Large forms loaded in sections; schema cached at CDN/Redis; validation budgets prevent pathological schemas.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No client-only validation for authoritative checks; sanitize rich text; secure file widgets; accessibility WCAG/GIGW verification.</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JSON Forms (MIT) + custom ServiceForm renderer/design system + server-side JSON Schema validation.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one form definition renders consistently on web and Flutter; no service-specific React page is needed; automated accessibility tests pass.</w:t>
            </w:r>
          </w:p>
        </w:tc>
      </w:tr>
    </w:tbl>
    <w:p>
      <w:pPr>
        <w:spacing w:after="20"/>
      </w:pPr>
    </w:p>
    <w:p>
      <w:pPr>
        <w:pStyle w:val="Heading2"/>
      </w:pPr>
      <w:r>
        <w:t>CMP-010  AI Form Assistant</w:t>
      </w:r>
    </w:p>
    <w:p>
      <w:pPr>
        <w:spacing w:after="100"/>
      </w:pPr>
      <w:r>
        <w:t>Conversationally assists form completion without replacing authoritative validation.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Explain fields, ask clarifying questions, map citizen intent to form fields, propose values from consented profile/evidence, summarize missing items and switch language.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AI Gateway mediates Bedrock model calls. Tool-only access to form schema/profile/evidence with scoped tokens. Suggested field updates are returned as patches and validated by Forms/Rules services before acceptance.</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Tools: getFormSchema, getAllowedProfileClaims, proposePatch, explainField. Events only for audited AI interaction metadata, not raw sensitive prompts by default.</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No model-side persistent memory of citizen PII. Conversation state encrypted and purpose-bound with short retention.</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Streaming response; circuit breaker/fallback to non-AI help. AI unavailable must never block form submission.</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Prompt injection isolation; allowlisted tools; PII redaction; model/provider policy; explicit user confirmation before applying suggested values.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Amazon Bedrock through ServiceForm AI Gateway; optional alternate providers behind same contract.</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assistant cannot bypass required fields/rules; every applied patch is validated and user-confirmed; system works when AI is disabled.</w:t>
            </w:r>
          </w:p>
        </w:tc>
      </w:tr>
    </w:tbl>
    <w:p>
      <w:pPr>
        <w:spacing w:after="20"/>
      </w:pPr>
    </w:p>
    <w:p>
      <w:pPr>
        <w:pStyle w:val="Heading2"/>
      </w:pPr>
      <w:r>
        <w:t>CMP-011  Evidence &amp; Document Requirement Engine</w:t>
      </w:r>
    </w:p>
    <w:p>
      <w:pPr>
        <w:spacing w:after="100"/>
      </w:pPr>
      <w:r>
        <w:t>Computes what evidence is required, optional, substitutable or reusable.</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Dynamic evidence checklist; alternative evidence sets; DigiLocker preference; exemptions; expiry/assurance constraints; missing-evidence explanation.</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ZEN decision models return evidence_requirement objects referencing evidence types and verification policies. Evidence policies versioned with offering.</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calculate evidence requirements; events: EvidencePolicyPublished. Integrates profile claims, DigiLocker and document service.</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Application pins evidence_policy_version; checklist outcome stored with decision trace.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In-process decision evaluation; cache static evidence type metadata.</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No hidden evidence requirement may be introduced outside published policy; provenance and reason code mandatory.</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 GoRules ZEN.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changing evidence rules affects new versions only; alternative evidence path tests cover all branches.</w:t>
            </w:r>
          </w:p>
        </w:tc>
      </w:tr>
    </w:tbl>
    <w:p>
      <w:pPr>
        <w:spacing w:after="20"/>
      </w:pPr>
    </w:p>
    <w:p>
      <w:pPr>
        <w:pStyle w:val="Heading2"/>
      </w:pPr>
      <w:r>
        <w:t>CMP-012  DigiLocker Connector</w:t>
      </w:r>
    </w:p>
    <w:p>
      <w:pPr>
        <w:spacing w:after="100"/>
      </w:pPr>
      <w:r>
        <w:t>Provides consented requester/issuer integration with DigiLocker.</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Document discovery/fetch after citizen authorization; URI/reference handling; issuer publishing of supported credentials; status and retry handling.</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Connector behind Integration Hub. Credentials/secrets held in Secrets Manager. Store references/hashes where possible, not duplicate documents unnecessarily. All calls idempotent and correlated.</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Commands/events: FetchDigiLockerDocument, PublishCredential; webhooks/callback adapter as supported by DigiLocker.</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Tenant/issuer configuration isolated. Citizen consent/purpose reference attached to every retrieval.</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Async retries with SQS/Temporal activity; circuit breaker; connector quota metrics.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Consent proof, minimal scopes, token encryption, no tokens in logs; issuer credentials protected.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connector; AWS Secrets Manager/KMS; SQS for resilient delivery.</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connector outage never loses application; retries are idempotent; citizen can see document source and reuse reason.</w:t>
            </w:r>
          </w:p>
        </w:tc>
      </w:tr>
    </w:tbl>
    <w:p>
      <w:pPr>
        <w:spacing w:after="20"/>
      </w:pPr>
    </w:p>
    <w:p>
      <w:pPr>
        <w:pStyle w:val="Heading2"/>
      </w:pPr>
      <w:r>
        <w:t>CMP-013  Document Upload Service</w:t>
      </w:r>
    </w:p>
    <w:p>
      <w:pPr>
        <w:spacing w:after="100"/>
      </w:pPr>
      <w:r>
        <w:t>Securely ingests citizen/official evidence files.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Presigned multipart upload, type/size validation, quarantine, checksum, malware scan, metadata, versioning, download authorization and lifecycle.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Upload directly to S3 quarantine using short-lived presigned URLs. Event triggers scan; clean objects promoted/tagged immutable. Metadata stored in Aurora; content addressed by SHA-256.</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create upload session, finalize, retrieve metadata; events: DocumentUploaded, DocumentScanned, DocumentRejected.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Object key contains opaque IDs, not PII. tenant/citizen/case references live in metadata DB. Evidence policy controls access.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Multipart upload; async scan; S3 scales independently. API does not proxy large file bodies.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SSE-KMS, bucket policies, no public ACLs, content sniffing, AV scanning, signed download URLs, DLP hooks.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Amazon S3 + KMS; GuardDuty Malware Protection for S3 or ClamAV adapter; Aurora metadata.</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infected/unscanned file can never become usable evidence; unauthorized tenant/case cannot obtain a download URL.</w:t>
            </w:r>
          </w:p>
        </w:tc>
      </w:tr>
    </w:tbl>
    <w:p>
      <w:pPr>
        <w:spacing w:after="20"/>
      </w:pPr>
    </w:p>
    <w:p>
      <w:pPr>
        <w:pStyle w:val="Heading2"/>
      </w:pPr>
      <w:r>
        <w:t>CMP-014  Document Intelligence / OCR Service</w:t>
      </w:r>
    </w:p>
    <w:p>
      <w:pPr>
        <w:spacing w:after="100"/>
      </w:pPr>
      <w:r>
        <w:t>Extracts structured facts from documents to reduce manual data entry and assist verification.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Document classification, OCR, field extraction, confidence, comparison with submitted values and human review queue for low confidence.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Asynchronous pipeline. Textract initially through abstraction; optional open-source OCR plug-ins. Outputs normalized extraction JSON with bounding/source references. Never overwrite citizen data automatically.</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Event: DocumentReadyForExtraction -&gt; ExtractionCompleted/ReviewRequired. API retrieves extraction result.</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Extraction stored separately from source file and marked machine-derived; retention follows evidence policy.</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Queue-driven workers scale with KEDA; large docs paginated; concurrency quotas controlled.</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PII stays in region/provider policy; model/OCR outputs are untrusted data; document prompt injection defense for LLM-assisted extraction.</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AWS Textract initially; optional PaddleOCR/Tesseract plug-ins; SQS + EKS worker.</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confidence/source coordinates preserved; low-confidence values require human/citizen confirmation; extraction cannot approve eligibility.</w:t>
            </w:r>
          </w:p>
        </w:tc>
      </w:tr>
    </w:tbl>
    <w:p>
      <w:pPr>
        <w:spacing w:after="20"/>
      </w:pPr>
    </w:p>
    <w:p>
      <w:pPr>
        <w:pStyle w:val="Heading2"/>
      </w:pPr>
      <w:r>
        <w:t>CMP-015  Application / Case Management Service</w:t>
      </w:r>
    </w:p>
    <w:p>
      <w:pPr>
        <w:spacing w:after="100"/>
      </w:pPr>
      <w:r>
        <w:t>System of record for citizen applications and their lifecycle.</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Draft, submit, state transitions, applicant/representative, pinned config versions, case timeline, deficiency, decision, closure and reopen/appeal linkage.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Fastify domain service with strict state machine. Aurora partitioning by cell/time as needed. Optimistic locking/version column. Domain events emitted through transactional outbox.</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create draft, submit, status, case summary; events: ApplicationSubmitted, StateChanged, DecisionRecorded.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Every row tenant/cell scoped plus citizen reference. Historical versions and decision artifacts immutable; mutable working data separated.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Write path optimized; read replicas/read models for dashboards. Avoid synchronous fan-out on submit.</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IDOR protection; authorization by citizen/representative or office/jurisdiction role; PII classification and audit.</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Fastify service + Aurora PostgreSQL + outbox publisher.</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duplicate submit is idempotent; full case can be reconstructed from authoritative records and audit; tenant isolation tests mandatory.</w:t>
            </w:r>
          </w:p>
        </w:tc>
      </w:tr>
    </w:tbl>
    <w:p>
      <w:pPr>
        <w:spacing w:after="20"/>
      </w:pPr>
    </w:p>
    <w:p>
      <w:pPr>
        <w:pStyle w:val="Heading2"/>
      </w:pPr>
      <w:r>
        <w:t>CMP-016  Workflow Engine</w:t>
      </w:r>
    </w:p>
    <w:p>
      <w:pPr>
        <w:spacing w:after="100"/>
      </w:pPr>
      <w:r>
        <w:t>Durably orchestrates long-running government processes.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Steps, timers, parallel branches, waits, escalation, callbacks, compensation/retry, human task creation and service activities; versioned workflow definitions.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Temporal Server on EKS. ServiceForm workflow definition compiles/maps to deterministic Temporal workflow code/templates; activities perform side effects. Human tasks are external domain records signaled back to workflow.</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Temporal task queues; domain events at business boundaries; APIs through workflow adapter, never direct Temporal exposure to clients.</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Workflow input contains IDs/references, not large PII/document blobs. Application pins workflow version and Temporal workflow ID.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Scale workers by task queue depth/latency; partition task queues by domain/cell; Temporal persistence on dedicated Aurora schemas/cluster after benchmark.</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mTLS/auth to Temporal; namespace isolation; payload encryption codec for sensitive values; deterministic code review.</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Temporal OSS (MIT) self-hosted on EKS + Aurora PostgreSQL. Flowable OSS documented as BPMN-first alternative.</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kill/restart workers during cases with no lost progress; timer/retry tests; workflow replay compatibility checked in CI.</w:t>
            </w:r>
          </w:p>
        </w:tc>
      </w:tr>
    </w:tbl>
    <w:p>
      <w:pPr>
        <w:spacing w:after="20"/>
      </w:pPr>
    </w:p>
    <w:p>
      <w:pPr>
        <w:pStyle w:val="Heading2"/>
      </w:pPr>
      <w:r>
        <w:t>CMP-017  Work Queue &amp; Task Management</w:t>
      </w:r>
    </w:p>
    <w:p>
      <w:pPr>
        <w:spacing w:after="100"/>
      </w:pPr>
      <w:r>
        <w:t>Provides official workbaskets and claims/assignments independent of named officers.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Queue by organization, office, jurisdiction, role, skill and service; claim/release/reassign/delegate; priority/SLA; bulk actions where lawful.</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Dedicated task service on Aurora; workflow creates tasks through idempotent command. Query read model indexed for fast workbasket filters. Assignment policy resolved dynamically.</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list/claim/complete/reassign; events: TaskCreated, TaskClaimed, TaskCompleted, TaskEscalated.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Task stores required authority scope snapshot and case reference. No named officer in workflow definition.</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High-read workbasket queries use optimized indexes/read model. Claim uses atomic compare-and-set.</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ABAC via OPA + application checks for role, office, jurisdiction, delegation and separation-of-duties.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Fastify service + Aurora + optional OpenSearch read model.</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two officers cannot claim same exclusive task; transfer/delegation works without workflow change; unauthorized jurisdiction sees zero tasks.</w:t>
            </w:r>
          </w:p>
        </w:tc>
      </w:tr>
    </w:tbl>
    <w:p>
      <w:pPr>
        <w:spacing w:after="20"/>
      </w:pPr>
    </w:p>
    <w:p>
      <w:pPr>
        <w:pStyle w:val="Heading2"/>
      </w:pPr>
      <w:r>
        <w:t>CMP-018  Inspection / Verification Service</w:t>
      </w:r>
    </w:p>
    <w:p>
      <w:pPr>
        <w:spacing w:after="100"/>
      </w:pPr>
      <w:r>
        <w:t>Supports structured field/desk verification as a reusable capability.</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Inspection order, checklist, scheduling, geo/time evidence, photographs, findings, recommendations, supervisor review and offline mobile sync.</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Case-linked inspection aggregate; Flutter offline store with signed sync protocol; photos uploaded through Document Service; location data captured only when policy requires.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assign/perform/submit inspection; events: InspectionRequested, InspectionCompleted.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Tenant/case scoped; checklist version pinned; raw geo/photo evidence retention policy explicit.</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Offline-first sync; resumable upload; queue-based processing for media.</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Device/user binding, tamper-evident timestamps, photo hash, no silent location collection, audit.</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 Flutter module + S3 + Aurora.</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offline inspection synchronizes idempotently; evidence hash and checklist version preserved.</w:t>
            </w:r>
          </w:p>
        </w:tc>
      </w:tr>
    </w:tbl>
    <w:p>
      <w:pPr>
        <w:spacing w:after="20"/>
      </w:pPr>
    </w:p>
    <w:p>
      <w:pPr>
        <w:pStyle w:val="Heading2"/>
      </w:pPr>
      <w:r>
        <w:t>CMP-019  Deficiency / Clarification Service</w:t>
      </w:r>
    </w:p>
    <w:p>
      <w:pPr>
        <w:spacing w:after="100"/>
      </w:pPr>
      <w:r>
        <w:t>Manages formal requests for missing/corrected information.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Create deficiency items, due date, citizen response, additional evidence, officer review, repeated rounds and closure reason.</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Subdomain linked to case/task; workflow waits for deficiency resolution signal; templates versioned and multilingual.</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issue deficiency, respond, close; events: DeficiencyIssued, DeficiencyResponded, DeficiencyClosed.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Record immutable issued text + structured missing-item codes; responses versioned.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Notification asynchronous; response upload direct to S3; workflow can wait months safely.</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Citizen sees only own case; officer authority checked; due-date changes audited.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Fastify service + Temporal integration.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deficiency pause/resume preserves SLA policy; repeated rounds are fully auditable.</w:t>
            </w:r>
          </w:p>
        </w:tc>
      </w:tr>
    </w:tbl>
    <w:p>
      <w:pPr>
        <w:spacing w:after="20"/>
      </w:pPr>
    </w:p>
    <w:p>
      <w:pPr>
        <w:pStyle w:val="Heading2"/>
      </w:pPr>
      <w:r>
        <w:t>CMP-020  Fee &amp; Calculation Engine</w:t>
      </w:r>
    </w:p>
    <w:p>
      <w:pPr>
        <w:spacing w:after="100"/>
      </w:pPr>
      <w:r>
        <w:t>Calculates statutory fees, concessions, taxes, penalties and exemptions.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Deterministic fee computation, breakdown, waiver/exemption reason, effective dates and jurisdiction/service-specific schedules.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ZEN decision models for computation and decision tables. Money represented in integer minor units/decimal fixed precision; no floating point. Fee quote has expiry/version.</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calculate fee; event: FeePolicyPublished. Payment service consumes immutable quote.</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Fee policy version pinned to quote/application; no external side effect.</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In-process rules; p95 &lt; 50 ms normal; cache static schedules.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Maker-checker and legal provenance; decision trace; no AI-calculated authoritative fee.</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GoRules ZEN + ServiceForm fee policy schema.</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deterministic replay and edge-case monetary tests; fee quote cannot mutate after payment initiation.</w:t>
            </w:r>
          </w:p>
        </w:tc>
      </w:tr>
    </w:tbl>
    <w:p>
      <w:pPr>
        <w:spacing w:after="20"/>
      </w:pPr>
    </w:p>
    <w:p>
      <w:pPr>
        <w:pStyle w:val="Heading2"/>
      </w:pPr>
      <w:r>
        <w:t>CMP-021  Payment Service</w:t>
      </w:r>
    </w:p>
    <w:p>
      <w:pPr>
        <w:spacing w:after="100"/>
      </w:pPr>
      <w:r>
        <w:t>Abstracts citizen payments, treasury integration, receipts, refunds and reconciliation.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Create payment intent, redirect/collect, callback verification, status, receipt, refund request, settlement/reconciliation and exception handling.</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Provider-adapter architecture. Payment intent and ledger in Aurora; callbacks idempotent and signature-verified. No card data stored. Workflow waits on payment domain event.</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payment intent/status/receipt; events: PaymentAuthorized, PaymentFailed, PaymentSettled, RefundCompleted.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Tenant/service configuration chooses provider/treasury head; financial ledger append-only.</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Async reconciliation; provider outage circuit breaker; duplicate callback safe; queue retries.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PCI scope minimized by redirect/tokenization; secrets in Secrets Manager; financial actions separation-of-duty.</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payment orchestration + government gateway/treasury adapters; SQS for callbacks/reconciliation.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duplicate callbacks do not double-credit; daily reconciliation reports zero unexplained difference or tracked exception.</w:t>
            </w:r>
          </w:p>
        </w:tc>
      </w:tr>
    </w:tbl>
    <w:p>
      <w:pPr>
        <w:spacing w:after="20"/>
      </w:pPr>
    </w:p>
    <w:p>
      <w:pPr>
        <w:pStyle w:val="Heading2"/>
      </w:pPr>
      <w:r>
        <w:t>CMP-022  Certificate / Credential Engine</w:t>
      </w:r>
    </w:p>
    <w:p>
      <w:pPr>
        <w:spacing w:after="100"/>
      </w:pPr>
      <w:r>
        <w:t>Generates the authoritative output of approved services.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Template rendering, certificate number, data merge, digital signature/eSign orchestration, PDF/A where required, VC payload optional and issuance record.</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Template registry + rendering workers. Approved decision snapshot is immutable input. Hash final artifact; store S3 object and credential metadata. Signing is adapter-based.</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Commands: IssueCredential; events: CredentialIssued, CredentialFailed.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Credential references case, template version, issuer org, jurisdiction and signature metadata. Never regenerate silently with changed template.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Async scalable workers; rendering/signing retries idempotent; issuance exactly-once logical semantics.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Key custody via licensed eSign/CA or KMS/CloudHSM as applicable; template injection protection; audit.</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 S3/KMS + eSign connector; standards adapter for W3C VC 2.0 where adopted.</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same issuance request cannot produce two active certificate numbers; artifact hash and signature verify.</w:t>
            </w:r>
          </w:p>
        </w:tc>
      </w:tr>
    </w:tbl>
    <w:p>
      <w:pPr>
        <w:spacing w:after="20"/>
      </w:pPr>
    </w:p>
    <w:p>
      <w:pPr>
        <w:pStyle w:val="Heading2"/>
      </w:pPr>
      <w:r>
        <w:t>CMP-023  QR Verification Service</w:t>
      </w:r>
    </w:p>
    <w:p>
      <w:pPr>
        <w:spacing w:after="100"/>
      </w:pPr>
      <w:r>
        <w:t>Provides public/authorized verification of issued credentials.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QR URL/token, minimal public verification page, status, issuer, issue date, subject masking, expiry/revocation and optional signed payload.</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Opaque random verification identifier; no predictable sequential IDs. Read-optimized credential status store/cache; rate limiting and bot protection.</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GET verify endpoint; event consumers update status cache on issue/revoke.</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Public response contains only policy-approved fields. Full credential requires authenticated/consented path.</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CDN/cache status where safe; revocation invalidates cache quickly; high read scale.</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Anti-enumeration, WAF/rate limits, no PII leakage, signed QR token if offline verification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Fastify service + Redis/OpenSearch optional read model + CloudFront/WAF.</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revoked/expired credential status reflects within defined propagation SLO; random scanning cannot enumerate citizens.</w:t>
            </w:r>
          </w:p>
        </w:tc>
      </w:tr>
    </w:tbl>
    <w:p>
      <w:pPr>
        <w:spacing w:after="20"/>
      </w:pPr>
    </w:p>
    <w:p>
      <w:pPr>
        <w:pStyle w:val="Heading2"/>
      </w:pPr>
      <w:r>
        <w:t>CMP-024  Credential Registry / Revocation Service</w:t>
      </w:r>
    </w:p>
    <w:p>
      <w:pPr>
        <w:spacing w:after="100"/>
      </w:pPr>
      <w:r>
        <w:t>Maintains credential lifecycle and status.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Issue registry, suspend, revoke, expire, replace, reason codes, status history and linkage to appeals/corrections.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Append-only status transitions with current-state projection. Optional W3C status list support. Idempotent commands with maker-checker for sensitive revocation.</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status/revoke/suspend; events: CredentialStatusChanged.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Credential and issuer tenant scope; citizen reference masked for public endpoints.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Status reads cached; transition writes low volume but high integrity.</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Strong authorization; revocation reason access controlled; audit and dual control where policy demands.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 Aurora + Redis.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invalid state transitions rejected; historical status timeline immutable.</w:t>
            </w:r>
          </w:p>
        </w:tc>
      </w:tr>
    </w:tbl>
    <w:p>
      <w:pPr>
        <w:spacing w:after="20"/>
      </w:pPr>
    </w:p>
    <w:p>
      <w:pPr>
        <w:pStyle w:val="Heading2"/>
      </w:pPr>
      <w:r>
        <w:t>CMP-025  Notification Service</w:t>
      </w:r>
    </w:p>
    <w:p>
      <w:pPr>
        <w:spacing w:after="100"/>
      </w:pPr>
      <w:r>
        <w:t>Sends transactional multilingual notifications over configured channels.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Template rendering, SMS/email/push/WhatsApp adapters where approved, delivery tracking, retry, preferences, critical-message override policy and quiet hours.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Event-driven consumers from Kafka/SQS. Template versioning. Provider adapters with per-channel rate controls and dead-letter queues.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Command/event: SendNotification; NotificationDelivered/Failed. No business service calls provider directly.</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Message record stores template ID, channel, destination tokenized/masked and delivery status; retention limited.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KEDA scales on queue depth; provider throttling backpressure; retries with jitter.</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No sensitive case details in SMS by default; opt-in/preference; anti-phishing standardized sender/link patterns.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AWS SES/SNS where appropriate plus government-approved providers; SQS/Kafka.</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provider outage does not block case workflow; retries do not create duplicate user-visible messages beyond policy.</w:t>
            </w:r>
          </w:p>
        </w:tc>
      </w:tr>
    </w:tbl>
    <w:p>
      <w:pPr>
        <w:spacing w:after="20"/>
      </w:pPr>
    </w:p>
    <w:p>
      <w:pPr>
        <w:pStyle w:val="Heading2"/>
      </w:pPr>
      <w:r>
        <w:t>CMP-026  Communication / Messaging Service</w:t>
      </w:r>
    </w:p>
    <w:p>
      <w:pPr>
        <w:spacing w:after="100"/>
      </w:pPr>
      <w:r>
        <w:t>Provides case-linked structured communication between citizen and authority.</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Messages, attachments, threaded communication, templates, read status and official notices with acknowledgement where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Case-scoped conversation aggregate; attachments via Document Service; official notice can trigger workflow signal and due dates.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thread/messages; events: CaseMessageSent, NoticeAcknowledged.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All messages tenant/case/citizen scoped; immutable official notice content.</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Pagination and archival; async notifications.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No cross-case leakage; content moderation/virus scan; official communications signed/audited as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Fastify service + Aurora + Document/Notification services.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citizen and authorized office see identical authoritative thread; deleted UI message cannot erase audit record.</w:t>
            </w:r>
          </w:p>
        </w:tc>
      </w:tr>
    </w:tbl>
    <w:p>
      <w:pPr>
        <w:spacing w:after="20"/>
      </w:pPr>
    </w:p>
    <w:p>
      <w:pPr>
        <w:pStyle w:val="Heading2"/>
      </w:pPr>
      <w:r>
        <w:t>CMP-027  Grievance &amp; Feedback Engine</w:t>
      </w:r>
    </w:p>
    <w:p>
      <w:pPr>
        <w:spacing w:after="100"/>
      </w:pPr>
      <w:r>
        <w:t>Handles complaints, grievances, service feedback and resolution.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Create grievance, categorize, route, investigate, communicate, escalate, resolve, reopen and measure satisfaction.</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Reuse Case/Workflow/Task engines with grievance-specific service manifest. Avoid separate monolith. Classification may be AI-assisted but routing policy deterministic.</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Events: GrievanceSubmitted, GrievanceEscalated, GrievanceResolved.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Grievance may reference another application but has separate privacy/access policy.</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Queue-driven routing; dashboards use read models.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Protect complainant identity where policy requires; retaliation-sensitive access restrictions; audit.</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Configuration on generic ServiceForm runtime, not separate product.</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new grievance scheme created via metadata/workflow/rules without new backend service.</w:t>
            </w:r>
          </w:p>
        </w:tc>
      </w:tr>
    </w:tbl>
    <w:p>
      <w:pPr>
        <w:spacing w:after="20"/>
      </w:pPr>
    </w:p>
    <w:p>
      <w:pPr>
        <w:pStyle w:val="Heading2"/>
      </w:pPr>
      <w:r>
        <w:t>CMP-028  Appeal / Review Engine</w:t>
      </w:r>
    </w:p>
    <w:p>
      <w:pPr>
        <w:spacing w:after="100"/>
      </w:pPr>
      <w:r>
        <w:t>Supports statutory appeals, review and revision proceedings.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Appeal filing, admissibility, appellate jurisdiction, record transfer, hearing/tasks, decision, remand and order issuance.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Configured as linked case with parent decision snapshot. Jurisdiction/rules determine appellate authority. Workflow supports remand/new decision while preserving original record.</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create appeal, appellate status; events: AppealFiled, AppealDecided, CaseRemanded.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Original case records immutable; appeal has separate case ID and authority scope.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Long-running workflow; document bundle generation asynchronous.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Stronger role segregation; original decision-maker restrictions as applicable; complete record-of-proceedings.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Generic Case + Workflow + Rules + Credential engines.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appeal chain is configurable by jurisdiction/service, e.g. local authority -&gt; district authority, without code.</w:t>
            </w:r>
          </w:p>
        </w:tc>
      </w:tr>
    </w:tbl>
    <w:p>
      <w:pPr>
        <w:spacing w:after="20"/>
      </w:pPr>
    </w:p>
    <w:p>
      <w:pPr>
        <w:pStyle w:val="Heading2"/>
      </w:pPr>
      <w:r>
        <w:t>CMP-029  SLA &amp; Escalation Engine</w:t>
      </w:r>
    </w:p>
    <w:p>
      <w:pPr>
        <w:spacing w:after="100"/>
      </w:pPr>
      <w:r>
        <w:t>Calculates statutory/operational deadlines and escalations.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Business calendars, holidays, pause/resume conditions, due dates, breach prediction, escalation levels and citizen-visible SLA.</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Deterministic calendar/rule service. Temporal timers schedule wakeups; SLA state stored in case projection. Calendars versioned/effective-dated.</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calculate deadline; events: SLAWarning, SLABreached, SLAResumed.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SLA policy pinned with application; pause reasons auditable.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No polling for millions of deadlines; use durable timers/partitioned scheduled work.</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Officers cannot silently edit deadlines; override requires authority and reason.</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SLA service + ZEN rules + Temporal timers.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holiday/calendar changes do not retroactively alter pinned SLA unless policy explicitly says so.</w:t>
            </w:r>
          </w:p>
        </w:tc>
      </w:tr>
    </w:tbl>
    <w:p>
      <w:pPr>
        <w:spacing w:after="20"/>
      </w:pPr>
    </w:p>
    <w:p>
      <w:pPr>
        <w:pStyle w:val="Heading2"/>
      </w:pPr>
      <w:r>
        <w:t>CMP-030  Consent &amp; Privacy Service</w:t>
      </w:r>
    </w:p>
    <w:p>
      <w:pPr>
        <w:spacing w:after="100"/>
      </w:pPr>
      <w:r>
        <w:t>Centralizes purpose, consent, sharing and privacy-control decisions.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Consent capture/withdrawal, purpose registry, data-sharing authorization, privacy notices, DSAR hooks, retention reference and consent receipts.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Consent ledger with versioned purposes/notices. OPA/application calls privacy decision API before sensitive data release. Cryptographic receipt hash optional.</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consent status/grant/withdraw; events: ConsentGranted, ConsentWithdrawn.</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Citizen-scoped records; tenant purpose request references. Consent is not used where another lawful basis governs; policy metadata distinguishes basis.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High read, low write; cache current consent with event invalidation.</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Immutable receipt/history, explicit purpose, data minimization, no dark patterns.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 Aurora + OPA integration.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withdrawal propagates to dependent recommendation/integration access within defined SLO; historical lawful processing remains auditable.</w:t>
            </w:r>
          </w:p>
        </w:tc>
      </w:tr>
    </w:tbl>
    <w:p>
      <w:pPr>
        <w:spacing w:after="20"/>
      </w:pPr>
    </w:p>
    <w:p>
      <w:pPr>
        <w:pStyle w:val="Heading2"/>
      </w:pPr>
      <w:r>
        <w:t>CMP-031  Audit &amp; Evidence Ledger</w:t>
      </w:r>
    </w:p>
    <w:p>
      <w:pPr>
        <w:spacing w:after="100"/>
      </w:pPr>
      <w:r>
        <w:t>Creates tamper-evident audit evidence for security and administrative actions.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Actor/action/resource, authority context, before/after references, correlation ID, decision trace, admin config changes and privileged data access.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Append-only audit API/event consumer. Store structured audit in immutable/append-only database partitions and archive to S3 Object Lock where policy requires. Hash chaining/batch signing optional.</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Event: AuditRecordCreated; query only through privileged audit API.</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Audit stores references and minimized values; avoid copying full PII payloads.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Asynchronous ingestion with durable buffer; critical state changes also write transactional audit/outbox record.</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Write-only from applications; restricted read; retention protected from tenant admins; clock synchronization.</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audit service + Aurora/S3 Object Lock + KMS.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privileged action without audit record fails CI/integration contract; deletion not available through normal APIs.</w:t>
            </w:r>
          </w:p>
        </w:tc>
      </w:tr>
    </w:tbl>
    <w:p>
      <w:pPr>
        <w:spacing w:after="20"/>
      </w:pPr>
    </w:p>
    <w:p>
      <w:pPr>
        <w:pStyle w:val="Heading2"/>
      </w:pPr>
      <w:r>
        <w:t>CMP-032  Storage Service</w:t>
      </w:r>
    </w:p>
    <w:p>
      <w:pPr>
        <w:spacing w:after="100"/>
      </w:pPr>
      <w:r>
        <w:t>Provides governed object-storage abstraction for documents and generated artifacts.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Buckets/classes, upload/download policies, checksum, encryption context, retention, legal hold, archival and object metadata.</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S3 adapter behind ServiceForm storage SDK. Separate quarantine/evidence/generated/audit buckets or access points. Lifecycle to colder storage based on retention policy.</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Internal API/SDK: put/get/presign/stat; events: ObjectStored, ObjectExpired.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Object key is opaque; business ownership lives in metadata. Per-cell/account isolation for high-sensitivity tenants.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S3 native scale; multipart; no application pod proxy for large transfers.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SSE-KMS, bucket ownership enforced, block public access, VPC endpoint, object lock for designated audit classes.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Amazon S3 + KMS; S3-compatible interface for portability.</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storage service cannot authorize a user by itself; it requires signed authorization context from owning domain service.</w:t>
            </w:r>
          </w:p>
        </w:tc>
      </w:tr>
    </w:tbl>
    <w:p>
      <w:pPr>
        <w:spacing w:after="20"/>
      </w:pPr>
    </w:p>
    <w:p>
      <w:pPr>
        <w:pStyle w:val="Heading2"/>
      </w:pPr>
      <w:r>
        <w:t>CMP-033  Metadata / Configuration Service</w:t>
      </w:r>
    </w:p>
    <w:p>
      <w:pPr>
        <w:spacing w:after="100"/>
      </w:pPr>
      <w:r>
        <w:t>Stores and publishes versioned platform/service configuration.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Config drafts, schema validation, dependency graph, effective dates, maker-checker, publish/rollback-to-new-version and environment promotion.</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Git-like immutable version model in Aurora/S3. JSON Schema validation and content hash. Published config distributed through cache/event bus.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draft/validate/publish; event: ConfigurationPublished.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Tenant/local overrides use explicit inheritance; no hidden runtime mutation.</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Read from cache; publication rare but strongly consistent. Dependency validation before publish.</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Admin ABAC; two-person approval; signed releases; secrets forbidden in config payload.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config service + Aurora + S3 + Redis.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every runtime decision can report exact config versions; malformed dependency blocks publication.</w:t>
            </w:r>
          </w:p>
        </w:tc>
      </w:tr>
    </w:tbl>
    <w:p>
      <w:pPr>
        <w:spacing w:after="20"/>
      </w:pPr>
    </w:p>
    <w:p>
      <w:pPr>
        <w:pStyle w:val="Heading2"/>
      </w:pPr>
      <w:r>
        <w:t>CMP-034  Master Data Service</w:t>
      </w:r>
    </w:p>
    <w:p>
      <w:pPr>
        <w:spacing w:after="100"/>
      </w:pPr>
      <w:r>
        <w:t>Provides authoritative reference lists and code mappings.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Administrative codes, document types, categories, languages, occupations, institutions, bank/reference codes and external-code mappings.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Versioned datasets with source/provenance; bulk import pipelines; delta publication; local tenant overlays where legitimate.</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lookup/list/version; events: MasterDataPublished.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Global vs tenant scope explicit; effective dates; external source code preserved.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CDN/Redis cache; batch imports outside peak; no relational joins to remote systems at request time.</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Only authorized stewards edit; provenance and validation rules; no citizen PII.</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 Aurora + S3 import store + Redis.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stale version can be reproduced for historical application; import rejects duplicate/inconsistent codes.</w:t>
            </w:r>
          </w:p>
        </w:tc>
      </w:tr>
    </w:tbl>
    <w:p>
      <w:pPr>
        <w:spacing w:after="20"/>
      </w:pPr>
    </w:p>
    <w:p>
      <w:pPr>
        <w:pStyle w:val="Heading2"/>
      </w:pPr>
      <w:r>
        <w:t>CMP-035  Search &amp; Indexing Service</w:t>
      </w:r>
    </w:p>
    <w:p>
      <w:pPr>
        <w:spacing w:after="100"/>
      </w:pPr>
      <w:r>
        <w:t>Maintains derived searchable views for services, cases and admin records.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Index pipelines, aliases, reindex, multilingual analyzers, authorized case search, full text, faceting and hybrid/vector capability.</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OpenSearch indexes per cell/domain with alias-based versioning. CDC/outbox consumers update indexes. Rebuildable from source of record.</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Internal indexing events; query APIs enforce auth filter before returning hits.</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Never index unrestricted PII by default. Separate public catalogue index from protected operational indexes.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Shard sizing/load test; index lifecycle; bulk ingestion; query timeout/budget.</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Document/field-level protections enforced in application; encrypted traffic; no direct public OpenSearch endpoint.</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Amazon OpenSearch Service; Apache 2.0-compatible engine.</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delete/restrict source record removes searchable access within SLO; full rebuild yields consistent count/checksum.</w:t>
            </w:r>
          </w:p>
        </w:tc>
      </w:tr>
    </w:tbl>
    <w:p>
      <w:pPr>
        <w:spacing w:after="20"/>
      </w:pPr>
    </w:p>
    <w:p>
      <w:pPr>
        <w:pStyle w:val="Heading2"/>
      </w:pPr>
      <w:r>
        <w:t>CMP-036  API Gateway</w:t>
      </w:r>
    </w:p>
    <w:p>
      <w:pPr>
        <w:spacing w:after="100"/>
      </w:pPr>
      <w:r>
        <w:t>Governed entry point for external and partner APIs.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Authentication, throttling, quotas, API keys/client registration, request size limits, version routing, rate plans and abuse protection.</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Use Amazon API Gateway for external lifecycle-managed APIs; internal/high-throughput app traffic may use ALB/EKS ingress. OpenAPI is source of truth.</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External REST/WebSocket as needed; correlation IDs propagated to EKS services.</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No business data persisted except logs/usage metrics; tenant context derived from authenticated client, never arbitrary header trust.</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Quotas sized from load test; cached GET where safe; backpressure rather than cascading failure.</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WAF, OAuth2/mTLS for partners, schema validation, IP policy where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Amazon API Gateway + WAF; Kong/Envoy remains portability option if needed.</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every externally exposed operation exists in OpenAPI and has auth/throttle/error contract tests.</w:t>
            </w:r>
          </w:p>
        </w:tc>
      </w:tr>
    </w:tbl>
    <w:p>
      <w:pPr>
        <w:spacing w:after="20"/>
      </w:pPr>
    </w:p>
    <w:p>
      <w:pPr>
        <w:pStyle w:val="Heading2"/>
      </w:pPr>
      <w:r>
        <w:t>CMP-037  Integration Hub / Connector Framework</w:t>
      </w:r>
    </w:p>
    <w:p>
      <w:pPr>
        <w:spacing w:after="100"/>
      </w:pPr>
      <w:r>
        <w:t>Standardizes all government/external system integrations.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Connector lifecycle, auth, mapping, retries, idempotency, circuit breaker, reconciliation, webhook intake, batch and polling patterns.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Adapter SDK in TypeScript; workers on EKS. Connectors communicate via commands/queues rather than synchronous chains where possible. Canonical data contracts isolate vendor schemas.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Kafka/SQS commands/events, REST/SOAP/SFTP adapters as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Connector configuration tenant/provider scoped; credentials separate in Secrets Manager.</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Independent worker autoscaling; per-provider concurrency/quota; DLQs and replay tools.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Egress allowlists, mTLS, secret rotation, payload redaction, signed webhooks.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connector framework + SQS/MSK + Secrets Manager; Temporal activities for durable orchestration.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replacing a provider changes only adapter/config, not case/workflow business logic.</w:t>
            </w:r>
          </w:p>
        </w:tc>
      </w:tr>
    </w:tbl>
    <w:p>
      <w:pPr>
        <w:spacing w:after="20"/>
      </w:pPr>
    </w:p>
    <w:p>
      <w:pPr>
        <w:pStyle w:val="Heading2"/>
      </w:pPr>
      <w:r>
        <w:t>CMP-038  Event Bus / Messaging Platform</w:t>
      </w:r>
    </w:p>
    <w:p>
      <w:pPr>
        <w:spacing w:after="100"/>
      </w:pPr>
      <w:r>
        <w:t>Carries versioned domain events and decouples services.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Publish/subscribe, ordered topics where required, consumer groups, replay, schema compatibility, DLQ strategy and event governance.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Kafka-compatible MSK for domain events; transactional outbox from Aurora; consumer inbox/dedup table. SQS for isolated command/retry queues. Schema registry strategy documented.</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AsyncAPI contracts; event envelope includes event_id, type, version, tenant/cell, correlation/causation, timestamp and data classification.</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PII-minimized events; event retention and replay class by topic.</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Partition by stable business key; monitor consumer lag; producer quotas; multi-AZ brokers/serverless as selected.</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TLS/IAM/SASL as applicable; topic ACL; no secrets/large documents in events.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Amazon MSK (Kafka) + SQS; optional AWS Glue Schema Registry or open schema registry.</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duplicate delivery is safe; schema compatibility CI gate; consumer can rebuild derived view from retained events/source.</w:t>
            </w:r>
          </w:p>
        </w:tc>
      </w:tr>
    </w:tbl>
    <w:p>
      <w:pPr>
        <w:spacing w:after="20"/>
      </w:pPr>
    </w:p>
    <w:p>
      <w:pPr>
        <w:pStyle w:val="Heading2"/>
      </w:pPr>
      <w:r>
        <w:t>CMP-039  AI Gateway</w:t>
      </w:r>
    </w:p>
    <w:p>
      <w:pPr>
        <w:spacing w:after="100"/>
      </w:pPr>
      <w:r>
        <w:t>Single governed entry point for all model use.</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Model routing, prompt templates, tool policy, safety filters, PII redaction, token/cost budgets, caching, fallback, evaluation, audit metadata and model-version control.</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Fastify gateway with provider adapters. Bedrock primary. Requests require use-case ID, data classification and allowed tools. Structured output schemas validated. No model credential outside gateway.</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Internal API only; events: AIInvocationCompleted/Blocked with metadata, not sensitive prompt body by default.</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Prompt/session content has explicit retention; tenant isolation; vector/embedding stores separate by classification.</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Rate limit per use case/tenant; async jobs for long tasks; provider circuit breaker and model fallback.</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Prompt injection defenses, tool allowlists, model data-use policy, no statutory decision authority, red-team/evaluation suites.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AI Gateway + Amazon Bedrock; optional OpenAI/other providers behind same adapter after approval.</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disabling a model/provider does not break statutory workflows; every model output is schema-validated and labeled machine-generated.</w:t>
            </w:r>
          </w:p>
        </w:tc>
      </w:tr>
    </w:tbl>
    <w:p>
      <w:pPr>
        <w:spacing w:after="20"/>
      </w:pPr>
    </w:p>
    <w:p>
      <w:pPr>
        <w:pStyle w:val="Heading2"/>
      </w:pPr>
      <w:r>
        <w:t>CMP-040  AI Service Designer Agent</w:t>
      </w:r>
    </w:p>
    <w:p>
      <w:pPr>
        <w:spacing w:after="100"/>
      </w:pPr>
      <w:r>
        <w:t>Drafts service configuration from laws, rules and manuals for human approval.</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Extract clauses, propose service manifest, form, rules, evidence, workflow, SLA, templates and test cases; show clause-level provenance and uncertainty.</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RAG over approved source corpus; output only repository schemas. Agent cannot publish; creates draft branch/config set. Deterministic validators run before review.</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Tools: retrieveSources, createDraftManifest, validateSchema, runRuleTests, diffVersions.</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Source documents and generated drafts tenant/program scoped. Store citations to authoritative source pages/clauses.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Async job; token budget; chunk/citation validation.</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No fabricated legal rule accepted; human maker-checker; prompt injection isolation from uploaded documents.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Bedrock via AI Gateway + ServiceForm config schemas/validators.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every generated rule/evidence requirement has source provenance or is flagged UNSOURCED and cannot publish.</w:t>
            </w:r>
          </w:p>
        </w:tc>
      </w:tr>
    </w:tbl>
    <w:p>
      <w:pPr>
        <w:spacing w:after="20"/>
      </w:pPr>
    </w:p>
    <w:p>
      <w:pPr>
        <w:pStyle w:val="Heading2"/>
      </w:pPr>
      <w:r>
        <w:t>CMP-041  AI Citizen Assistant</w:t>
      </w:r>
    </w:p>
    <w:p>
      <w:pPr>
        <w:spacing w:after="100"/>
      </w:pPr>
      <w:r>
        <w:t>Conversational layer for discovery, eligibility explanation, form help and status.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Intent detection, service search, recommendation explanation, form assistance, status lookup and multilingual conversational help.</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Tool-using agent; no direct DB/model access. Tools expose least-privilege read/actions. Authentication upgraded before personal status/profile tools.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Tools call Search, Recommendation, Form, Case and Notification services; streamed UI response.</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Conversation scoped to citizen and purpose; no cross-session sensitive memory by default.</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Graceful fallback to deterministic search/help; rate/cost limits; low-latency model tier for routine questions.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Identity verification before PII; prompt injection defenses; no approval/eligibility authority; generated advice labeled.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Bedrock via AI Gateway + retrieval over public service knowledge.</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assistant cannot reveal another citizen case; deterministic eligibility endpoint is cited for final eligibility result.</w:t>
            </w:r>
          </w:p>
        </w:tc>
      </w:tr>
    </w:tbl>
    <w:p>
      <w:pPr>
        <w:spacing w:after="20"/>
      </w:pPr>
    </w:p>
    <w:p>
      <w:pPr>
        <w:pStyle w:val="Heading2"/>
      </w:pPr>
      <w:r>
        <w:t>CMP-042  AI Officer Copilot</w:t>
      </w:r>
    </w:p>
    <w:p>
      <w:pPr>
        <w:spacing w:after="100"/>
      </w:pPr>
      <w:r>
        <w:t>Assists officials with case comprehension and quality checks.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Case summary, missing evidence hints, policy/source retrieval, comparison of data, draft correspondence and checklist assistance.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Retrieval tools use officer authorization context. Summaries cite case artifacts/source rules. Suggestions never perform state transition without explicit officer action.</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Tools: getCaseBundle, getApplicablePolicy, draftDeficiency, compareEvidence. All actions audited.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No bulk training/export of case PII. Copilot workspace ephemeral/controlled.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Async summarization for large cases; cache only non-sensitive policy context.</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ABAC, field masking, prompt injection from citizen documents treated as hostile data, human confirmation mandatory.</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Bedrock via AI Gateway; RAG on approved policy + scoped case data.</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copilot suggestion cannot call approve/reject tool; every factual policy statement links to source.</w:t>
            </w:r>
          </w:p>
        </w:tc>
      </w:tr>
    </w:tbl>
    <w:p>
      <w:pPr>
        <w:spacing w:after="20"/>
      </w:pPr>
    </w:p>
    <w:p>
      <w:pPr>
        <w:pStyle w:val="Heading2"/>
      </w:pPr>
      <w:r>
        <w:t>CMP-043  AI Validation Agent</w:t>
      </w:r>
    </w:p>
    <w:p>
      <w:pPr>
        <w:spacing w:after="100"/>
      </w:pPr>
      <w:r>
        <w:t>Checks configured services before publication.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Detect missing fields, unreachable workflow states, contradictory rules, incomplete evidence paths, inaccessible forms, broken references and policy gaps.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Hybrid deterministic validators first; LLM review second. Generate machine-readable findings with severity/evidence. Never auto-fix published config.</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Runs in CI and config publication pipeline; output consumed by maker-checker UI.</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Uses configuration only; no citizen data required.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Parallel validation jobs; deterministic checks must be fast enough for PR/config CI.</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LLM findings advisory; schema/security/tenant checks hard gates.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validators + AI Gateway optional semantic review.</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deliberately injected unreachable state/unknown rule reference fails publication; AI-only finding does not silently block without policy.</w:t>
            </w:r>
          </w:p>
        </w:tc>
      </w:tr>
    </w:tbl>
    <w:p>
      <w:pPr>
        <w:spacing w:after="20"/>
      </w:pPr>
    </w:p>
    <w:p>
      <w:pPr>
        <w:pStyle w:val="Heading2"/>
      </w:pPr>
      <w:r>
        <w:t>CMP-044  AI Testing Agent</w:t>
      </w:r>
    </w:p>
    <w:p>
      <w:pPr>
        <w:spacing w:after="100"/>
      </w:pPr>
      <w:r>
        <w:t>Generates and maintains tests from requirements and service definitions.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Create positive/negative/boundary tests for rules, forms, workflows, APIs, tenant isolation and accessibility; propose regression tests from incidents.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Agent writes tests to branch; tests execute in CI. Property-based generators use schemas. Golden files for deterministic rule/workflow expectations.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Inputs: requirements, schemas, manifests, ADRs; outputs: test code/data and traceability mapping.</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Synthetic data only unless approved masked fixture set.</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Parallel CI; test sharding; no production dependency.</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Cannot weaken assertions to make build green; security tests protected from agent deletion without approval.</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Cursor/Copilot/LLM via AI Gateway plus standard test frameworks (Vitest/Jest, Playwright, k6, Pact as selected).</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every requirement ID maps to at least one test or documented manual control; mutation tests used for critical rules.</w:t>
            </w:r>
          </w:p>
        </w:tc>
      </w:tr>
    </w:tbl>
    <w:p>
      <w:pPr>
        <w:spacing w:after="20"/>
      </w:pPr>
    </w:p>
    <w:p>
      <w:pPr>
        <w:pStyle w:val="Heading2"/>
      </w:pPr>
      <w:r>
        <w:t>CMP-045  Analytics &amp; MIS Platform</w:t>
      </w:r>
    </w:p>
    <w:p>
      <w:pPr>
        <w:spacing w:after="100"/>
      </w:pPr>
      <w:r>
        <w:t>Provides operational and policy analytics without burdening transactional stores.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Applications, pendency, SLA, approvals/rejections, demand, geography, channel, service quality and configurable MIS exports.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Events/CDC to analytics lake/warehouse. Curated semantic models and row-level security. Near-real-time operational metrics separated from statutory source records.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Ingest Kafka/S3; dashboard APIs/BI. Export jobs async.</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De-identify/aggregate where individual data not needed; tenant and department scopes enforced.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Columnar storage/query; pre-aggregations; never run heavy BI on primary Aurora.</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Purpose/role-based access, suppression for small cohorts where needed, export watermark/audit.</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S3 data lake + Athena/Glue/Redshift Serverless or open lakehouse engine as scale requires; QuickSight/Grafana for dashboards.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dashboard number reconciles to source-of-record sample; access filters independently tested.</w:t>
            </w:r>
          </w:p>
        </w:tc>
      </w:tr>
    </w:tbl>
    <w:p>
      <w:pPr>
        <w:spacing w:after="20"/>
      </w:pPr>
    </w:p>
    <w:p>
      <w:pPr>
        <w:pStyle w:val="Heading2"/>
      </w:pPr>
      <w:r>
        <w:t>CMP-046  Operational Dashboard</w:t>
      </w:r>
    </w:p>
    <w:p>
      <w:pPr>
        <w:spacing w:after="100"/>
      </w:pPr>
      <w:r>
        <w:t>Real-time operational view of queues, workflow bottlenecks, integration health and service status.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Queue depth, task aging, error rates, provider outages, SLA risk, throughput, deployment health and incident indicators.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Read from metrics/derived operational stores, not transactional scans. Drill-down links preserve authorization.</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Metrics from OTel/Prometheus/CloudWatch; case aggregate API for authorized drill-down.</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No citizen PII in general operational metrics; sensitive drill-down separate.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Refresh seconds/minutes; dashboard failure must not affect runtime.</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Role-controlled; avoid exposing infrastructure secrets/hostnames to ordinary business users.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Grafana/AMG + custom admin UI.</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simulated connector outage appears within monitoring SLO and links to runbook.</w:t>
            </w:r>
          </w:p>
        </w:tc>
      </w:tr>
    </w:tbl>
    <w:p>
      <w:pPr>
        <w:spacing w:after="20"/>
      </w:pPr>
    </w:p>
    <w:p>
      <w:pPr>
        <w:pStyle w:val="Heading2"/>
      </w:pPr>
      <w:r>
        <w:t>CMP-047  Observability Platform</w:t>
      </w:r>
    </w:p>
    <w:p>
      <w:pPr>
        <w:spacing w:after="100"/>
      </w:pPr>
      <w:r>
        <w:t>Provides traces, metrics, logs, SLOs and incident diagnostics.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Correlation IDs, distributed tracing, RED/USE metrics, structured logs, dashboards, alerting, SLO burn rate and runbooks.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OpenTelemetry SDK/Collector standard. CloudWatch for logs/alarms initially; Prometheus/AMP and Grafana/AMG for metrics. Trace backend selected with retention/cost controls.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OTLP; metrics scrape/remote-write; log pipeline. Correlation/causation IDs propagated through Kafka/Temporal.</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No payload/PII logging; tenant IDs may be hashed/tagged under policy.</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Sampling strategies; async exporters; telemetry outage must not fail business request.</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Redaction library mandatory; access to logs restricted; immutable security log class.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OpenTelemetry + CloudWatch + AMP/AMG; optional Tempo/X-Ray as chosen.</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one synthetic application trace spans gateway -&gt; API -&gt; rule -&gt; workflow -&gt; connector without exposing PII.</w:t>
            </w:r>
          </w:p>
        </w:tc>
      </w:tr>
    </w:tbl>
    <w:p>
      <w:pPr>
        <w:spacing w:after="20"/>
      </w:pPr>
    </w:p>
    <w:p>
      <w:pPr>
        <w:pStyle w:val="Heading2"/>
      </w:pPr>
      <w:r>
        <w:t>CMP-048  Security Platform</w:t>
      </w:r>
    </w:p>
    <w:p>
      <w:pPr>
        <w:spacing w:after="100"/>
      </w:pPr>
      <w:r>
        <w:t>Cross-cutting security controls, posture and runtime defenses.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WAF, IAM, workload identity, vulnerability management, image signing, secrets, KMS, threat detection, SIEM integration, CSPM and incident response.</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AWS Organizations/account separation; Security Hub/GuardDuty/Inspector; ECR scanning/signing; NetworkPolicy; service mesh/mTLS only if justified; policy-as-code in CI.</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Security findings/events integrate SOC tooling.</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Per-environment accounts and cell boundaries; sensitive tenants may use dedicated account/VPC/key.</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Security controls themselves HA; rate-limit attack absorption at edge.</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Zero trust, least privilege, short-lived credentials, break-glass audit, encryption everywhere.</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AWS native controls + OPA + Kubernetes network policy + SAST/SCA/DAST tooling.</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threat model and abuse cases for every component; critical findings block release; break-glass tested and audited.</w:t>
            </w:r>
          </w:p>
        </w:tc>
      </w:tr>
    </w:tbl>
    <w:p>
      <w:pPr>
        <w:spacing w:after="20"/>
      </w:pPr>
    </w:p>
    <w:p>
      <w:pPr>
        <w:pStyle w:val="Heading2"/>
      </w:pPr>
      <w:r>
        <w:t>CMP-049  Data Retention / Archival Engine</w:t>
      </w:r>
    </w:p>
    <w:p>
      <w:pPr>
        <w:spacing w:after="100"/>
      </w:pPr>
      <w:r>
        <w:t>Executes legal/policy retention, archival, anonymization and deletion.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Retention schedule by data class/service, hold, archive, delete/anonymize, evidence of execution and exception reporting.</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Policy-driven scheduled jobs over DB partitions and S3 lifecycle/objects. Deletion orchestrated durably; downstream derived stores notified. Legal hold overrides normal expiry.</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Events: RetentionDue, DataArchived, DataDeleted, HoldPlaced.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Retention policy version linked to records; subject/purpose mapping supports targeted deletion where legally applicable.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Batch jobs off-peak; partition pruning; S3 lifecycle preferred for large objects.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Dual control for holds/policy changes; deletion proof; backups/archives policy aligned.</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retention service + Temporal scheduled workflows + S3 lifecycle + Aurora partitioning.</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test tenant demonstrates end-to-end deletion/anonymization across DB, S3, search and cache with audit evidence.</w:t>
            </w:r>
          </w:p>
        </w:tc>
      </w:tr>
    </w:tbl>
    <w:p>
      <w:pPr>
        <w:spacing w:after="20"/>
      </w:pPr>
    </w:p>
    <w:p>
      <w:pPr>
        <w:pStyle w:val="Heading2"/>
      </w:pPr>
      <w:r>
        <w:t>CMP-050  Administration &amp; Service Designer Portal</w:t>
      </w:r>
    </w:p>
    <w:p>
      <w:pPr>
        <w:spacing w:after="100"/>
      </w:pPr>
      <w:r>
        <w:t>No-code/low-code workspace for authorized service owners.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Design service offering, form, rule, evidence, workflow, SLA, fee, template, translations; preview/simulate; compare versions; submit for approval.</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Next.js admin app consumes config APIs; visual editors generate only validated machine-readable schemas. No hidden proprietary model format.</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config draft/validate/simulate/publish request; integrates AI Designer and Validation Agent.</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Drafts tenant/program scoped; published versions immutable.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Admin use lower scale than citizen path; autosave and optimistic locking.</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MFA, ABAC, maker-checker, privileged actions audited, XSS-safe editors.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Next.js + ServiceForm design system; embed JSON Forms editor, ZEN/JDM editor components as appropriate.</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authorized product owner can configure Residence Certificate end-to-end without writing code; publish requires checker approval.</w:t>
            </w:r>
          </w:p>
        </w:tc>
      </w:tr>
    </w:tbl>
    <w:p>
      <w:pPr>
        <w:spacing w:after="20"/>
      </w:pPr>
    </w:p>
    <w:p>
      <w:pPr>
        <w:pStyle w:val="Heading2"/>
      </w:pPr>
      <w:r>
        <w:t>CMP-051  Maker-Checker / Publishing Engine</w:t>
      </w:r>
    </w:p>
    <w:p>
      <w:pPr>
        <w:spacing w:after="100"/>
      </w:pPr>
      <w:r>
        <w:t>Enforces controlled release of service and platform configuration.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Draft, submit, review, comment, approve/reject, automated validation, signing, publish and supersede; separation of duties.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Release aggregate references immutable component versions and validator results. Checker cannot be same principal where policy forbids. Publish emits atomic release manifest.</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APIs: submit/approve/publish; events: ReleaseSubmitted, ReleaseApproved, ReleasePublished.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Release includes tenant, offering, environment and effective date.</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Low throughput, highest integrity. Transactional publish and cache invalidation.</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MFA, SoD, non-repudiation/audit, rollback creates new version rather than editing history.</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domain service + Aurora + KMS signing optional.</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maker cannot self-approve protected release; runtime sees either old or new coherent release, never mixed partial versions.</w:t>
            </w:r>
          </w:p>
        </w:tc>
      </w:tr>
    </w:tbl>
    <w:p>
      <w:pPr>
        <w:spacing w:after="20"/>
      </w:pPr>
    </w:p>
    <w:p>
      <w:pPr>
        <w:pStyle w:val="Heading2"/>
      </w:pPr>
      <w:r>
        <w:t>CMP-052  Versioning &amp; Configuration Registry</w:t>
      </w:r>
    </w:p>
    <w:p>
      <w:pPr>
        <w:spacing w:after="100"/>
      </w:pPr>
      <w:r>
        <w:t>Resolves exact versions of runtime assets and dependencies.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Semantic/internal versions, hashes, dependency graph, compatibility rules, effective date, deprecation and pinning.</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Content-addressed immutable artifacts plus registry metadata. Release manifest pins service/form/rule/workflow/evidence/fee/template versions.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resolve release/version; events: VersionPublished/Deprecated.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Global and tenant overlays explicit; no mutable latest alias used for existing applications.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Heavy cache; content served from S3/CDN if large.</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Artifact signatures/checksums; only publish engine writes released versions.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registry + Aurora + S3 + Redis.</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historical application loads exact original versions even after ten later releases.</w:t>
            </w:r>
          </w:p>
        </w:tc>
      </w:tr>
    </w:tbl>
    <w:p>
      <w:pPr>
        <w:spacing w:after="20"/>
      </w:pPr>
    </w:p>
    <w:p>
      <w:pPr>
        <w:pStyle w:val="Heading2"/>
      </w:pPr>
      <w:r>
        <w:t>CMP-053  Localization Service</w:t>
      </w:r>
    </w:p>
    <w:p>
      <w:pPr>
        <w:spacing w:after="100"/>
      </w:pPr>
      <w:r>
        <w:t>Manages multilingual content, translation workflow and locale formatting.</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Labels/help/messages/templates, pluralization, transliteration support, locale/date/number formats, fallback language and translation review.</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Message catalogs keyed by stable content IDs, not hard-coded UI strings. Translation memory optional. Form/service config references keys.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API: catalog bundles; events: TranslationPublished.</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Global language packs + tenant/local terminology override; versioned.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Bundles CDN cached; client lazy loads locale.</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Avoid sending citizen PII to translation AI unless approved; human review for legal text.</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Custom service + ICU message format libraries; AI translation via gateway only as draft.</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switching language does not change semantic field IDs/rules; missing key falls back predictably and is reported.</w:t>
            </w:r>
          </w:p>
        </w:tc>
      </w:tr>
    </w:tbl>
    <w:p>
      <w:pPr>
        <w:spacing w:after="20"/>
      </w:pPr>
    </w:p>
    <w:p>
      <w:pPr>
        <w:pStyle w:val="Heading2"/>
      </w:pPr>
      <w:r>
        <w:t>CMP-054  Design System / Accessibility Layer</w:t>
      </w:r>
    </w:p>
    <w:p>
      <w:pPr>
        <w:spacing w:after="100"/>
      </w:pPr>
      <w:r>
        <w:t>Provides the mandatory UX4G Design System 3.0 implementation layer for citizen, officer, Studio and administrative experiences, including design tokens, accessible components, government patterns, multilingual content behavior and governed ServiceForm extensions.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Components, layouts, forms, errors, notifications, keyboard use, screen-reader semantics, responsive/mobile patterns, print/PDF guidelines.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Reusable React component library and Flutter design tokens; Storybook/component tests; JSON Forms renderers must exclusively use design-system controls for common fields.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NPM/package contracts consumed by apps; visual regression CI.</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No citizen data stored.</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Lightweight bundle budgets; SSR-compatible; progressive enhancement for low bandwidth.</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Accessibility tests (axe + manual), secure defaults for links/file inputs, CSP-compatible.</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ServiceForm/UX4G-aligned component library; MUI may be implementation base but public API is owned by ServiceForm.</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form engine achieves required accessibility standard without service teams writing custom accessibility code.</w:t>
            </w:r>
          </w:p>
        </w:tc>
      </w:tr>
    </w:tbl>
    <w:p>
      <w:pPr>
        <w:spacing w:after="20"/>
      </w:pPr>
    </w:p>
    <w:p>
      <w:pPr>
        <w:pStyle w:val="Heading2"/>
      </w:pPr>
      <w:r>
        <w:t>CMP-055  Developer Platform</w:t>
      </w:r>
    </w:p>
    <w:p>
      <w:pPr>
        <w:spacing w:after="100"/>
      </w:pPr>
      <w:r>
        <w:t>Enables teams and vendors to build, test and integrate consistently.</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Functional specification</w:t>
            </w:r>
          </w:p>
        </w:tc>
        <w:tc>
          <w:tcPr>
            <w:tcW w:type="dxa" w:w="7416"/>
            <w:vAlign w:val="center"/>
            <w:tcMar>
              <w:top w:w="90" w:type="dxa"/>
              <w:start w:w="110" w:type="dxa"/>
              <w:bottom w:w="90" w:type="dxa"/>
              <w:end w:w="110" w:type="dxa"/>
            </w:tcMar>
          </w:tcPr>
          <w:p>
            <w:pPr>
              <w:spacing w:after="0"/>
            </w:pPr>
            <w:r>
              <w:rPr>
                <w:sz w:val="18"/>
              </w:rPr>
              <w:t>SDKs, API docs, schema registry, local dev stack, sandbox tenants, mocks, sample services, CI templates, observability starter and secure deployment templates.</w:t>
            </w:r>
          </w:p>
        </w:tc>
      </w:tr>
      <w:tr>
        <w:trPr>
          <w:cantSplit/>
        </w:trPr>
        <w:tc>
          <w:tcPr>
            <w:tcW w:type="dxa" w:w="2232"/>
            <w:shd w:fill="EAF0F6"/>
            <w:vAlign w:val="center"/>
            <w:tcMar>
              <w:top w:w="90" w:type="dxa"/>
              <w:start w:w="110" w:type="dxa"/>
              <w:bottom w:w="90" w:type="dxa"/>
              <w:end w:w="110" w:type="dxa"/>
            </w:tcMar>
          </w:tcPr>
          <w:p>
            <w:pPr>
              <w:spacing w:after="0"/>
            </w:pPr>
            <w:r>
              <w:rPr>
                <w:b/>
                <w:sz w:val="18"/>
              </w:rPr>
              <w:t>Technical specification</w:t>
            </w:r>
          </w:p>
        </w:tc>
        <w:tc>
          <w:tcPr>
            <w:tcW w:type="dxa" w:w="7416"/>
            <w:vAlign w:val="center"/>
            <w:tcMar>
              <w:top w:w="90" w:type="dxa"/>
              <w:start w:w="110" w:type="dxa"/>
              <w:bottom w:w="90" w:type="dxa"/>
              <w:end w:w="110" w:type="dxa"/>
            </w:tcMar>
          </w:tcPr>
          <w:p>
            <w:pPr>
              <w:spacing w:after="0"/>
            </w:pPr>
            <w:r>
              <w:rPr>
                <w:sz w:val="18"/>
              </w:rPr>
              <w:t>Monorepo or governed multi-repo with generated TypeScript clients from OpenAPI; AsyncAPI/schema packages; Docker Compose dev dependencies; IaC modules for AWS.</w:t>
            </w:r>
          </w:p>
        </w:tc>
      </w:tr>
      <w:tr>
        <w:trPr>
          <w:cantSplit/>
        </w:trPr>
        <w:tc>
          <w:tcPr>
            <w:tcW w:type="dxa" w:w="2232"/>
            <w:shd w:fill="EAF0F6"/>
            <w:vAlign w:val="center"/>
            <w:tcMar>
              <w:top w:w="90" w:type="dxa"/>
              <w:start w:w="110" w:type="dxa"/>
              <w:bottom w:w="90" w:type="dxa"/>
              <w:end w:w="110" w:type="dxa"/>
            </w:tcMar>
          </w:tcPr>
          <w:p>
            <w:pPr>
              <w:spacing w:after="0"/>
            </w:pPr>
            <w:r>
              <w:rPr>
                <w:b/>
                <w:sz w:val="18"/>
              </w:rPr>
              <w:t>Interfaces / events</w:t>
            </w:r>
          </w:p>
        </w:tc>
        <w:tc>
          <w:tcPr>
            <w:tcW w:type="dxa" w:w="7416"/>
            <w:vAlign w:val="center"/>
            <w:tcMar>
              <w:top w:w="90" w:type="dxa"/>
              <w:start w:w="110" w:type="dxa"/>
              <w:bottom w:w="90" w:type="dxa"/>
              <w:end w:w="110" w:type="dxa"/>
            </w:tcMar>
          </w:tcPr>
          <w:p>
            <w:pPr>
              <w:spacing w:after="0"/>
            </w:pPr>
            <w:r>
              <w:rPr>
                <w:sz w:val="18"/>
              </w:rPr>
              <w:t>Developer portal exposes docs and non-production credentials; package registry and Git hosting integration.</w:t>
            </w:r>
          </w:p>
        </w:tc>
      </w:tr>
      <w:tr>
        <w:trPr>
          <w:cantSplit/>
        </w:trPr>
        <w:tc>
          <w:tcPr>
            <w:tcW w:type="dxa" w:w="2232"/>
            <w:shd w:fill="EAF0F6"/>
            <w:vAlign w:val="center"/>
            <w:tcMar>
              <w:top w:w="90" w:type="dxa"/>
              <w:start w:w="110" w:type="dxa"/>
              <w:bottom w:w="90" w:type="dxa"/>
              <w:end w:w="110" w:type="dxa"/>
            </w:tcMar>
          </w:tcPr>
          <w:p>
            <w:pPr>
              <w:spacing w:after="0"/>
            </w:pPr>
            <w:r>
              <w:rPr>
                <w:b/>
                <w:sz w:val="18"/>
              </w:rPr>
              <w:t>Data / tenancy / jurisdiction</w:t>
            </w:r>
          </w:p>
        </w:tc>
        <w:tc>
          <w:tcPr>
            <w:tcW w:type="dxa" w:w="7416"/>
            <w:vAlign w:val="center"/>
            <w:tcMar>
              <w:top w:w="90" w:type="dxa"/>
              <w:start w:w="110" w:type="dxa"/>
              <w:bottom w:w="90" w:type="dxa"/>
              <w:end w:w="110" w:type="dxa"/>
            </w:tcMar>
          </w:tcPr>
          <w:p>
            <w:pPr>
              <w:spacing w:after="0"/>
            </w:pPr>
            <w:r>
              <w:rPr>
                <w:sz w:val="18"/>
              </w:rPr>
              <w:t>No production PII in sandboxes; synthetic fixtures.</w:t>
            </w:r>
          </w:p>
        </w:tc>
      </w:tr>
      <w:tr>
        <w:trPr>
          <w:cantSplit/>
        </w:trPr>
        <w:tc>
          <w:tcPr>
            <w:tcW w:type="dxa" w:w="2232"/>
            <w:shd w:fill="EAF0F6"/>
            <w:vAlign w:val="center"/>
            <w:tcMar>
              <w:top w:w="90" w:type="dxa"/>
              <w:start w:w="110" w:type="dxa"/>
              <w:bottom w:w="90" w:type="dxa"/>
              <w:end w:w="110" w:type="dxa"/>
            </w:tcMar>
          </w:tcPr>
          <w:p>
            <w:pPr>
              <w:spacing w:after="0"/>
            </w:pPr>
            <w:r>
              <w:rPr>
                <w:b/>
                <w:sz w:val="18"/>
              </w:rPr>
              <w:t>Scale / HA / performance</w:t>
            </w:r>
          </w:p>
        </w:tc>
        <w:tc>
          <w:tcPr>
            <w:tcW w:type="dxa" w:w="7416"/>
            <w:vAlign w:val="center"/>
            <w:tcMar>
              <w:top w:w="90" w:type="dxa"/>
              <w:start w:w="110" w:type="dxa"/>
              <w:bottom w:w="90" w:type="dxa"/>
              <w:end w:w="110" w:type="dxa"/>
            </w:tcMar>
          </w:tcPr>
          <w:p>
            <w:pPr>
              <w:spacing w:after="0"/>
            </w:pPr>
            <w:r>
              <w:rPr>
                <w:sz w:val="18"/>
              </w:rPr>
              <w:t>Fast local feedback; contract tests before integration environments.</w:t>
            </w:r>
          </w:p>
        </w:tc>
      </w:tr>
      <w:tr>
        <w:trPr>
          <w:cantSplit/>
        </w:trPr>
        <w:tc>
          <w:tcPr>
            <w:tcW w:type="dxa" w:w="2232"/>
            <w:shd w:fill="EAF0F6"/>
            <w:vAlign w:val="center"/>
            <w:tcMar>
              <w:top w:w="90" w:type="dxa"/>
              <w:start w:w="110" w:type="dxa"/>
              <w:bottom w:w="90" w:type="dxa"/>
              <w:end w:w="110" w:type="dxa"/>
            </w:tcMar>
          </w:tcPr>
          <w:p>
            <w:pPr>
              <w:spacing w:after="0"/>
            </w:pPr>
            <w:r>
              <w:rPr>
                <w:b/>
                <w:sz w:val="18"/>
              </w:rPr>
              <w:t>Security / privacy</w:t>
            </w:r>
          </w:p>
        </w:tc>
        <w:tc>
          <w:tcPr>
            <w:tcW w:type="dxa" w:w="7416"/>
            <w:vAlign w:val="center"/>
            <w:tcMar>
              <w:top w:w="90" w:type="dxa"/>
              <w:start w:w="110" w:type="dxa"/>
              <w:bottom w:w="90" w:type="dxa"/>
              <w:end w:w="110" w:type="dxa"/>
            </w:tcMar>
          </w:tcPr>
          <w:p>
            <w:pPr>
              <w:spacing w:after="0"/>
            </w:pPr>
            <w:r>
              <w:rPr>
                <w:sz w:val="18"/>
              </w:rPr>
              <w:t>Secret scanning, dependency policies, signed artifacts, branch protection and CODEOWNERS.</w:t>
            </w:r>
          </w:p>
        </w:tc>
      </w:tr>
      <w:tr>
        <w:trPr>
          <w:cantSplit/>
        </w:trPr>
        <w:tc>
          <w:tcPr>
            <w:tcW w:type="dxa" w:w="2232"/>
            <w:shd w:fill="EAF0F6"/>
            <w:vAlign w:val="center"/>
            <w:tcMar>
              <w:top w:w="90" w:type="dxa"/>
              <w:start w:w="110" w:type="dxa"/>
              <w:bottom w:w="90" w:type="dxa"/>
              <w:end w:w="110" w:type="dxa"/>
            </w:tcMar>
          </w:tcPr>
          <w:p>
            <w:pPr>
              <w:spacing w:after="0"/>
            </w:pPr>
            <w:r>
              <w:rPr>
                <w:b/>
                <w:sz w:val="18"/>
              </w:rPr>
              <w:t>Recommended implementation</w:t>
            </w:r>
          </w:p>
        </w:tc>
        <w:tc>
          <w:tcPr>
            <w:tcW w:type="dxa" w:w="7416"/>
            <w:vAlign w:val="center"/>
            <w:tcMar>
              <w:top w:w="90" w:type="dxa"/>
              <w:start w:w="110" w:type="dxa"/>
              <w:bottom w:w="90" w:type="dxa"/>
              <w:end w:w="110" w:type="dxa"/>
            </w:tcMar>
          </w:tcPr>
          <w:p>
            <w:pPr>
              <w:spacing w:after="0"/>
            </w:pPr>
            <w:r>
              <w:rPr>
                <w:sz w:val="18"/>
              </w:rPr>
              <w:t>Backstage optional; GitHub/GitLab as SCM; OpenAPI Generator; Terraform/OpenTofu + Helm; Argo CD.</w:t>
            </w:r>
          </w:p>
        </w:tc>
      </w:tr>
      <w:tr>
        <w:trPr>
          <w:cantSplit/>
        </w:trPr>
        <w:tc>
          <w:tcPr>
            <w:tcW w:type="dxa" w:w="2232"/>
            <w:shd w:fill="EAF0F6"/>
            <w:vAlign w:val="center"/>
            <w:tcMar>
              <w:top w:w="90" w:type="dxa"/>
              <w:start w:w="110" w:type="dxa"/>
              <w:bottom w:w="90" w:type="dxa"/>
              <w:end w:w="110" w:type="dxa"/>
            </w:tcMar>
          </w:tcPr>
          <w:p>
            <w:pPr>
              <w:spacing w:after="0"/>
            </w:pPr>
            <w:r>
              <w:rPr>
                <w:b/>
                <w:sz w:val="18"/>
              </w:rPr>
              <w:t>AI build + acceptance contract</w:t>
            </w:r>
          </w:p>
        </w:tc>
        <w:tc>
          <w:tcPr>
            <w:tcW w:type="dxa" w:w="7416"/>
            <w:vAlign w:val="center"/>
            <w:tcMar>
              <w:top w:w="90" w:type="dxa"/>
              <w:start w:w="110" w:type="dxa"/>
              <w:bottom w:w="90" w:type="dxa"/>
              <w:end w:w="110" w:type="dxa"/>
            </w:tcMar>
          </w:tcPr>
          <w:p>
            <w:pPr>
              <w:spacing w:after="0"/>
            </w:pPr>
            <w:r>
              <w:rPr>
                <w:sz w:val="18"/>
              </w:rPr>
              <w:t>Acceptance: new service team can clone template, run locally, pass architecture gates and deploy to dev without manual infrastructure steps.</w:t>
            </w:r>
          </w:p>
        </w:tc>
      </w:tr>
    </w:tbl>
    <w:p>
      <w:pPr>
        <w:spacing w:after="20"/>
      </w:pPr>
    </w:p>
    <w:p>
      <w:pPr>
        <w:pStyle w:val="Heading1"/>
      </w:pPr>
      <w:r>
        <w:t>7. Golden Vertical Slice and Implementation Sequence</w:t>
      </w:r>
    </w:p>
    <w:p>
      <w:pPr/>
      <w:r>
        <w:t>No-code authoring requirement: the Residence Certificate golden slice must be authored through ServiceForm Studio and published as metadata; it must not rely on a developer-built service-specific form/workflow.</w:t>
      </w:r>
    </w:p>
    <w:p>
      <w:r>
        <w:t>Do not implement all service types first. Prove the platform with one complete Residence Certificate configuration and make every capability generic. Then onboard additional services through configuration to expose missing reusable capabilities.</w:t>
      </w:r>
    </w:p>
    <w:p>
      <w:pPr>
        <w:pStyle w:val="ListNumber"/>
        <w:spacing w:after="40"/>
      </w:pPr>
      <w:r>
        <w:t>Foundation: tenancy, organization, jurisdiction, identity, profile, configuration/version registry, audit and developer platform.</w:t>
      </w:r>
    </w:p>
    <w:p>
      <w:pPr>
        <w:pStyle w:val="ListNumber"/>
        <w:spacing w:after="40"/>
      </w:pPr>
      <w:r>
        <w:t>Runtime core: catalogue, rules, forms, evidence, application/case, workflow and task management.</w:t>
      </w:r>
    </w:p>
    <w:p>
      <w:pPr>
        <w:pStyle w:val="ListNumber"/>
        <w:spacing w:after="40"/>
      </w:pPr>
      <w:r>
        <w:t>Citizen completion: search, recommendation, upload/DigiLocker, payment, notification and tracking.</w:t>
      </w:r>
    </w:p>
    <w:p>
      <w:pPr>
        <w:pStyle w:val="ListNumber"/>
        <w:spacing w:after="40"/>
      </w:pPr>
      <w:r>
        <w:t>Official completion: work queue, scrutiny, deficiency, verification, approval/rejection and SLA.</w:t>
      </w:r>
    </w:p>
    <w:p>
      <w:pPr>
        <w:pStyle w:val="ListNumber"/>
        <w:spacing w:after="40"/>
      </w:pPr>
      <w:r>
        <w:t>Outcome: credential generation, digital signature adapter, QR verification and DigiLocker publishing.</w:t>
      </w:r>
    </w:p>
    <w:p>
      <w:pPr>
        <w:pStyle w:val="ListNumber"/>
        <w:spacing w:after="40"/>
      </w:pPr>
      <w:r>
        <w:t>AI assistance: citizen assistant, form assistant, service designer, validation, testing and officer copilot only after deterministic runtime is proven.</w:t>
      </w:r>
    </w:p>
    <w:p>
      <w:pPr>
        <w:pStyle w:val="ListNumber"/>
        <w:spacing w:after="40"/>
      </w:pPr>
      <w:r>
        <w:t>Expansion: configure Income Certificate, Caste/EWS, Legal Heir, Trade Licence, Building Permission, Water Connection, Mutation, Pension, Scholarship and Grievance. If new code is needed, first ask whether the missing behavior is a reusable platform capability.</w:t>
      </w:r>
    </w:p>
    <w:p>
      <w:pPr>
        <w:pStyle w:val="Heading1"/>
      </w:pPr>
      <w:r>
        <w:t>8. AI-Agent Build Protocol</w:t>
      </w:r>
    </w:p>
    <w:tbl>
      <w:tblPr>
        <w:tblW w:type="auto" w:w="0"/>
        <w:jc w:val="center"/>
        <w:tblLayout w:type="fixed"/>
        <w:tblLook w:firstColumn="1" w:firstRow="1" w:lastColumn="0" w:lastRow="0" w:noHBand="0" w:noVBand="1" w:val="04A0"/>
      </w:tblPr>
      <w:tblGrid>
        <w:gridCol w:w="10166"/>
      </w:tblGrid>
      <w:tr>
        <w:trPr>
          <w:cantSplit/>
        </w:trPr>
        <w:tc>
          <w:tcPr>
            <w:tcW w:type="dxa" w:w="9648"/>
            <w:shd w:fill="D9EAD3"/>
            <w:tcMar>
              <w:top w:w="120" w:type="dxa"/>
              <w:start w:w="150" w:type="dxa"/>
              <w:bottom w:w="120" w:type="dxa"/>
              <w:end w:w="150" w:type="dxa"/>
            </w:tcMar>
          </w:tcPr>
          <w:p>
            <w:r>
              <w:rPr>
                <w:b/>
              </w:rPr>
              <w:t xml:space="preserve">Mandatory AI sequence: </w:t>
            </w:r>
            <w:r>
              <w:t>Architecture/requirements -&gt; contract/schema -&gt; tests -&gt; implementation -&gt; tenant/security checks -&gt; observability -&gt; traceability -&gt; human review. Coding agents must not silently change accepted ADRs or weaken tests.</w:t>
            </w:r>
          </w:p>
        </w:tc>
      </w:tr>
    </w:tbl>
    <w:p>
      <w:pPr>
        <w:spacing w:after="0"/>
      </w:pPr>
    </w:p>
    <w:p>
      <w:pPr>
        <w:pStyle w:val="CodeBlock"/>
      </w:pPr>
      <w:r>
        <w:t>For each implementation task:</w:t>
        <w:br/>
        <w:br/>
        <w:t>1. Read AGENTS.md and architecture constitution.</w:t>
        <w:br/>
        <w:t>2. Identify CMP-xxx component(s) and requirement IDs.</w:t>
        <w:br/>
        <w:t>3. Read relevant ADRs, schemas, OpenAPI/AsyncAPI and security rules.</w:t>
        <w:br/>
        <w:t>4. Produce a short implementation plan and affected contracts.</w:t>
        <w:br/>
        <w:t>5. Write/update tests first where practical.</w:t>
        <w:br/>
        <w:t>6. Implement only within approved component boundaries.</w:t>
        <w:br/>
        <w:t>7. Run unit, integration, tenant-isolation, security and contract tests.</w:t>
        <w:br/>
        <w:t>8. Update traceability and telemetry.</w:t>
        <w:br/>
        <w:t>9. If a design choice is unresolved, create/propose an ADR; do not invent a hidden architecture decision.</w:t>
        <w:br/>
        <w:t>10. Stop before production deployment unless the human reviewer explicitly approves the release.</w:t>
      </w:r>
    </w:p>
    <w:p>
      <w:pPr>
        <w:pStyle w:val="Heading1"/>
      </w:pPr>
      <w:r>
        <w:t>9. Testing, Security and Production Readiness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7365D"/>
            <w:tcMar>
              <w:top w:w="90" w:type="dxa"/>
              <w:start w:w="100" w:type="dxa"/>
              <w:bottom w:w="90" w:type="dxa"/>
              <w:end w:w="100" w:type="dxa"/>
            </w:tcMar>
          </w:tcPr>
          <w:p>
            <w:r>
              <w:rPr>
                <w:b/>
                <w:color w:val="FFFFFF"/>
              </w:rPr>
              <w:t>Gate</w:t>
            </w:r>
          </w:p>
        </w:tc>
        <w:tc>
          <w:tcPr>
            <w:tcW w:type="dxa" w:w="5040"/>
            <w:shd w:fill="17365D"/>
            <w:tcMar>
              <w:top w:w="90" w:type="dxa"/>
              <w:start w:w="100" w:type="dxa"/>
              <w:bottom w:w="90" w:type="dxa"/>
              <w:end w:w="100" w:type="dxa"/>
            </w:tcMar>
          </w:tcPr>
          <w:p>
            <w:r>
              <w:rPr>
                <w:b/>
                <w:color w:val="FFFFFF"/>
              </w:rPr>
              <w:t>Minimum evidence</w:t>
            </w:r>
          </w:p>
        </w:tc>
        <w:tc>
          <w:tcPr>
            <w:tcW w:type="dxa" w:w="2736"/>
            <w:shd w:fill="17365D"/>
            <w:tcMar>
              <w:top w:w="90" w:type="dxa"/>
              <w:start w:w="100" w:type="dxa"/>
              <w:bottom w:w="90" w:type="dxa"/>
              <w:end w:w="100" w:type="dxa"/>
            </w:tcMar>
          </w:tcPr>
          <w:p>
            <w:r>
              <w:rPr>
                <w:b/>
                <w:color w:val="FFFFFF"/>
              </w:rPr>
              <w:t>Blocks production when</w:t>
            </w:r>
          </w:p>
        </w:tc>
      </w:tr>
      <w:tr>
        <w:trPr>
          <w:cantSplit/>
        </w:trPr>
        <w:tc>
          <w:tcPr>
            <w:tcW w:type="dxa" w:w="3389"/>
            <w:tcMar>
              <w:top w:w="70" w:type="dxa"/>
              <w:start w:w="90" w:type="dxa"/>
              <w:bottom w:w="70" w:type="dxa"/>
              <w:end w:w="90" w:type="dxa"/>
            </w:tcMar>
          </w:tcPr>
          <w:p>
            <w:r>
              <w:rPr>
                <w:sz w:val="17"/>
              </w:rPr>
              <w:t>Architecture</w:t>
            </w:r>
          </w:p>
        </w:tc>
        <w:tc>
          <w:tcPr>
            <w:tcW w:type="dxa" w:w="3389"/>
            <w:tcMar>
              <w:top w:w="70" w:type="dxa"/>
              <w:start w:w="90" w:type="dxa"/>
              <w:bottom w:w="70" w:type="dxa"/>
              <w:end w:w="90" w:type="dxa"/>
            </w:tcMar>
          </w:tcPr>
          <w:p>
            <w:r>
              <w:rPr>
                <w:sz w:val="17"/>
              </w:rPr>
              <w:t>Component mapping, ADRs, dependency rules, no hard-coded jurisdiction/service logic</w:t>
            </w:r>
          </w:p>
        </w:tc>
        <w:tc>
          <w:tcPr>
            <w:tcW w:type="dxa" w:w="3389"/>
            <w:tcMar>
              <w:top w:w="70" w:type="dxa"/>
              <w:start w:w="90" w:type="dxa"/>
              <w:bottom w:w="70" w:type="dxa"/>
              <w:end w:w="90" w:type="dxa"/>
            </w:tcMar>
          </w:tcPr>
          <w:p>
            <w:r>
              <w:rPr>
                <w:sz w:val="17"/>
              </w:rPr>
              <w:t>Unresolved BLOCKER architecture gap</w:t>
            </w:r>
          </w:p>
        </w:tc>
      </w:tr>
      <w:tr>
        <w:trPr>
          <w:cantSplit/>
        </w:trPr>
        <w:tc>
          <w:tcPr>
            <w:tcW w:type="dxa" w:w="3389"/>
            <w:tcMar>
              <w:top w:w="70" w:type="dxa"/>
              <w:start w:w="90" w:type="dxa"/>
              <w:bottom w:w="70" w:type="dxa"/>
              <w:end w:w="90" w:type="dxa"/>
            </w:tcMar>
          </w:tcPr>
          <w:p>
            <w:r>
              <w:rPr>
                <w:sz w:val="17"/>
              </w:rPr>
              <w:t>Functional</w:t>
            </w:r>
          </w:p>
        </w:tc>
        <w:tc>
          <w:tcPr>
            <w:tcW w:type="dxa" w:w="3389"/>
            <w:tcMar>
              <w:top w:w="70" w:type="dxa"/>
              <w:start w:w="90" w:type="dxa"/>
              <w:bottom w:w="70" w:type="dxa"/>
              <w:end w:w="90" w:type="dxa"/>
            </w:tcMar>
          </w:tcPr>
          <w:p>
            <w:r>
              <w:rPr>
                <w:sz w:val="17"/>
              </w:rPr>
              <w:t>Requirement/acceptance tests; service configuration simulation; end-to-end golden slice</w:t>
            </w:r>
          </w:p>
        </w:tc>
        <w:tc>
          <w:tcPr>
            <w:tcW w:type="dxa" w:w="3389"/>
            <w:tcMar>
              <w:top w:w="70" w:type="dxa"/>
              <w:start w:w="90" w:type="dxa"/>
              <w:bottom w:w="70" w:type="dxa"/>
              <w:end w:w="90" w:type="dxa"/>
            </w:tcMar>
          </w:tcPr>
          <w:p>
            <w:r>
              <w:rPr>
                <w:sz w:val="17"/>
              </w:rPr>
              <w:t>Critical requirement lacks passing evidence</w:t>
            </w:r>
          </w:p>
        </w:tc>
      </w:tr>
      <w:tr>
        <w:trPr>
          <w:cantSplit/>
        </w:trPr>
        <w:tc>
          <w:tcPr>
            <w:tcW w:type="dxa" w:w="3389"/>
            <w:tcMar>
              <w:top w:w="70" w:type="dxa"/>
              <w:start w:w="90" w:type="dxa"/>
              <w:bottom w:w="70" w:type="dxa"/>
              <w:end w:w="90" w:type="dxa"/>
            </w:tcMar>
          </w:tcPr>
          <w:p>
            <w:r>
              <w:rPr>
                <w:sz w:val="17"/>
              </w:rPr>
              <w:t>Tenancy</w:t>
            </w:r>
          </w:p>
        </w:tc>
        <w:tc>
          <w:tcPr>
            <w:tcW w:type="dxa" w:w="3389"/>
            <w:tcMar>
              <w:top w:w="70" w:type="dxa"/>
              <w:start w:w="90" w:type="dxa"/>
              <w:bottom w:w="70" w:type="dxa"/>
              <w:end w:w="90" w:type="dxa"/>
            </w:tcMar>
          </w:tcPr>
          <w:p>
            <w:r>
              <w:rPr>
                <w:sz w:val="17"/>
              </w:rPr>
              <w:t>Cross-tenant negative tests at API, DB, search, cache, object and event layers</w:t>
            </w:r>
          </w:p>
        </w:tc>
        <w:tc>
          <w:tcPr>
            <w:tcW w:type="dxa" w:w="3389"/>
            <w:tcMar>
              <w:top w:w="70" w:type="dxa"/>
              <w:start w:w="90" w:type="dxa"/>
              <w:bottom w:w="70" w:type="dxa"/>
              <w:end w:w="90" w:type="dxa"/>
            </w:tcMar>
          </w:tcPr>
          <w:p>
            <w:r>
              <w:rPr>
                <w:sz w:val="17"/>
              </w:rPr>
              <w:t>Any tenant escape or unscoped query</w:t>
            </w:r>
          </w:p>
        </w:tc>
      </w:tr>
      <w:tr>
        <w:trPr>
          <w:cantSplit/>
        </w:trPr>
        <w:tc>
          <w:tcPr>
            <w:tcW w:type="dxa" w:w="3389"/>
            <w:tcMar>
              <w:top w:w="70" w:type="dxa"/>
              <w:start w:w="90" w:type="dxa"/>
              <w:bottom w:w="70" w:type="dxa"/>
              <w:end w:w="90" w:type="dxa"/>
            </w:tcMar>
          </w:tcPr>
          <w:p>
            <w:r>
              <w:rPr>
                <w:sz w:val="17"/>
              </w:rPr>
              <w:t>Security</w:t>
            </w:r>
          </w:p>
        </w:tc>
        <w:tc>
          <w:tcPr>
            <w:tcW w:type="dxa" w:w="3389"/>
            <w:tcMar>
              <w:top w:w="70" w:type="dxa"/>
              <w:start w:w="90" w:type="dxa"/>
              <w:bottom w:w="70" w:type="dxa"/>
              <w:end w:w="90" w:type="dxa"/>
            </w:tcMar>
          </w:tcPr>
          <w:p>
            <w:r>
              <w:rPr>
                <w:sz w:val="17"/>
              </w:rPr>
              <w:t>Threat model, SAST/SCA/secret scan, DAST, authz tests, abuse cases</w:t>
            </w:r>
          </w:p>
        </w:tc>
        <w:tc>
          <w:tcPr>
            <w:tcW w:type="dxa" w:w="3389"/>
            <w:tcMar>
              <w:top w:w="70" w:type="dxa"/>
              <w:start w:w="90" w:type="dxa"/>
              <w:bottom w:w="70" w:type="dxa"/>
              <w:end w:w="90" w:type="dxa"/>
            </w:tcMar>
          </w:tcPr>
          <w:p>
            <w:r>
              <w:rPr>
                <w:sz w:val="17"/>
              </w:rPr>
              <w:t>Critical/high exploitable issue without approved exception</w:t>
            </w:r>
          </w:p>
        </w:tc>
      </w:tr>
      <w:tr>
        <w:trPr>
          <w:cantSplit/>
        </w:trPr>
        <w:tc>
          <w:tcPr>
            <w:tcW w:type="dxa" w:w="3389"/>
            <w:tcMar>
              <w:top w:w="70" w:type="dxa"/>
              <w:start w:w="90" w:type="dxa"/>
              <w:bottom w:w="70" w:type="dxa"/>
              <w:end w:w="90" w:type="dxa"/>
            </w:tcMar>
          </w:tcPr>
          <w:p>
            <w:r>
              <w:rPr>
                <w:sz w:val="17"/>
              </w:rPr>
              <w:t>Performance</w:t>
            </w:r>
          </w:p>
        </w:tc>
        <w:tc>
          <w:tcPr>
            <w:tcW w:type="dxa" w:w="3389"/>
            <w:tcMar>
              <w:top w:w="70" w:type="dxa"/>
              <w:start w:w="90" w:type="dxa"/>
              <w:bottom w:w="70" w:type="dxa"/>
              <w:end w:w="90" w:type="dxa"/>
            </w:tcMar>
          </w:tcPr>
          <w:p>
            <w:r>
              <w:rPr>
                <w:sz w:val="17"/>
              </w:rPr>
              <w:t>Load, spike, soak and recovery tests with production-like datasets</w:t>
            </w:r>
          </w:p>
        </w:tc>
        <w:tc>
          <w:tcPr>
            <w:tcW w:type="dxa" w:w="3389"/>
            <w:tcMar>
              <w:top w:w="70" w:type="dxa"/>
              <w:start w:w="90" w:type="dxa"/>
              <w:bottom w:w="70" w:type="dxa"/>
              <w:end w:w="90" w:type="dxa"/>
            </w:tcMar>
          </w:tcPr>
          <w:p>
            <w:r>
              <w:rPr>
                <w:sz w:val="17"/>
              </w:rPr>
              <w:t>SLO missed or saturation has unsafe failure behavior</w:t>
            </w:r>
          </w:p>
        </w:tc>
      </w:tr>
      <w:tr>
        <w:trPr>
          <w:cantSplit/>
        </w:trPr>
        <w:tc>
          <w:tcPr>
            <w:tcW w:type="dxa" w:w="3389"/>
            <w:tcMar>
              <w:top w:w="70" w:type="dxa"/>
              <w:start w:w="90" w:type="dxa"/>
              <w:bottom w:w="70" w:type="dxa"/>
              <w:end w:w="90" w:type="dxa"/>
            </w:tcMar>
          </w:tcPr>
          <w:p>
            <w:r>
              <w:rPr>
                <w:sz w:val="17"/>
              </w:rPr>
              <w:t>Resilience</w:t>
            </w:r>
          </w:p>
        </w:tc>
        <w:tc>
          <w:tcPr>
            <w:tcW w:type="dxa" w:w="3389"/>
            <w:tcMar>
              <w:top w:w="70" w:type="dxa"/>
              <w:start w:w="90" w:type="dxa"/>
              <w:bottom w:w="70" w:type="dxa"/>
              <w:end w:w="90" w:type="dxa"/>
            </w:tcMar>
          </w:tcPr>
          <w:p>
            <w:r>
              <w:rPr>
                <w:sz w:val="17"/>
              </w:rPr>
              <w:t>Pod/node/AZ failure, dependency outage, Kafka/SQS backlog, DB failover, Temporal worker kill</w:t>
            </w:r>
          </w:p>
        </w:tc>
        <w:tc>
          <w:tcPr>
            <w:tcW w:type="dxa" w:w="3389"/>
            <w:tcMar>
              <w:top w:w="70" w:type="dxa"/>
              <w:start w:w="90" w:type="dxa"/>
              <w:bottom w:w="70" w:type="dxa"/>
              <w:end w:w="90" w:type="dxa"/>
            </w:tcMar>
          </w:tcPr>
          <w:p>
            <w:r>
              <w:rPr>
                <w:sz w:val="17"/>
              </w:rPr>
              <w:t>Lost accepted transaction/state or unrecoverable backlog</w:t>
            </w:r>
          </w:p>
        </w:tc>
      </w:tr>
      <w:tr>
        <w:trPr>
          <w:cantSplit/>
        </w:trPr>
        <w:tc>
          <w:tcPr>
            <w:tcW w:type="dxa" w:w="3389"/>
            <w:tcMar>
              <w:top w:w="70" w:type="dxa"/>
              <w:start w:w="90" w:type="dxa"/>
              <w:bottom w:w="70" w:type="dxa"/>
              <w:end w:w="90" w:type="dxa"/>
            </w:tcMar>
          </w:tcPr>
          <w:p>
            <w:r>
              <w:rPr>
                <w:sz w:val="17"/>
              </w:rPr>
              <w:t>DR</w:t>
            </w:r>
          </w:p>
        </w:tc>
        <w:tc>
          <w:tcPr>
            <w:tcW w:type="dxa" w:w="3389"/>
            <w:tcMar>
              <w:top w:w="70" w:type="dxa"/>
              <w:start w:w="90" w:type="dxa"/>
              <w:bottom w:w="70" w:type="dxa"/>
              <w:end w:w="90" w:type="dxa"/>
            </w:tcMar>
          </w:tcPr>
          <w:p>
            <w:r>
              <w:rPr>
                <w:sz w:val="17"/>
              </w:rPr>
              <w:t>Restore and regional failover drill with measured RPO/RTO</w:t>
            </w:r>
          </w:p>
        </w:tc>
        <w:tc>
          <w:tcPr>
            <w:tcW w:type="dxa" w:w="3389"/>
            <w:tcMar>
              <w:top w:w="70" w:type="dxa"/>
              <w:start w:w="90" w:type="dxa"/>
              <w:bottom w:w="70" w:type="dxa"/>
              <w:end w:w="90" w:type="dxa"/>
            </w:tcMar>
          </w:tcPr>
          <w:p>
            <w:r>
              <w:rPr>
                <w:sz w:val="17"/>
              </w:rPr>
              <w:t>Critical data cannot be restored within approved objective</w:t>
            </w:r>
          </w:p>
        </w:tc>
      </w:tr>
      <w:tr>
        <w:trPr>
          <w:cantSplit/>
        </w:trPr>
        <w:tc>
          <w:tcPr>
            <w:tcW w:type="dxa" w:w="3389"/>
            <w:tcMar>
              <w:top w:w="70" w:type="dxa"/>
              <w:start w:w="90" w:type="dxa"/>
              <w:bottom w:w="70" w:type="dxa"/>
              <w:end w:w="90" w:type="dxa"/>
            </w:tcMar>
          </w:tcPr>
          <w:p>
            <w:r>
              <w:rPr>
                <w:sz w:val="17"/>
              </w:rPr>
              <w:t>AI safety</w:t>
            </w:r>
          </w:p>
        </w:tc>
        <w:tc>
          <w:tcPr>
            <w:tcW w:type="dxa" w:w="3389"/>
            <w:tcMar>
              <w:top w:w="70" w:type="dxa"/>
              <w:start w:w="90" w:type="dxa"/>
              <w:bottom w:w="70" w:type="dxa"/>
              <w:end w:w="90" w:type="dxa"/>
            </w:tcMar>
          </w:tcPr>
          <w:p>
            <w:r>
              <w:rPr>
                <w:sz w:val="17"/>
              </w:rPr>
              <w:t>Prompt injection, tool abuse, data leakage, deterministic fallback, model outage</w:t>
            </w:r>
          </w:p>
        </w:tc>
        <w:tc>
          <w:tcPr>
            <w:tcW w:type="dxa" w:w="3389"/>
            <w:tcMar>
              <w:top w:w="70" w:type="dxa"/>
              <w:start w:w="90" w:type="dxa"/>
              <w:bottom w:w="70" w:type="dxa"/>
              <w:end w:w="90" w:type="dxa"/>
            </w:tcMar>
          </w:tcPr>
          <w:p>
            <w:r>
              <w:rPr>
                <w:sz w:val="17"/>
              </w:rPr>
              <w:t>AI can approve/reject, exfiltrate data or block statutory path</w:t>
            </w:r>
          </w:p>
        </w:tc>
      </w:tr>
      <w:tr>
        <w:trPr>
          <w:cantSplit/>
        </w:trPr>
        <w:tc>
          <w:tcPr>
            <w:tcW w:type="dxa" w:w="3389"/>
            <w:tcMar>
              <w:top w:w="70" w:type="dxa"/>
              <w:start w:w="90" w:type="dxa"/>
              <w:bottom w:w="70" w:type="dxa"/>
              <w:end w:w="90" w:type="dxa"/>
            </w:tcMar>
          </w:tcPr>
          <w:p>
            <w:r>
              <w:rPr>
                <w:sz w:val="17"/>
              </w:rPr>
              <w:t>Accessibility</w:t>
            </w:r>
          </w:p>
        </w:tc>
        <w:tc>
          <w:tcPr>
            <w:tcW w:type="dxa" w:w="3389"/>
            <w:tcMar>
              <w:top w:w="70" w:type="dxa"/>
              <w:start w:w="90" w:type="dxa"/>
              <w:bottom w:w="70" w:type="dxa"/>
              <w:end w:w="90" w:type="dxa"/>
            </w:tcMar>
          </w:tcPr>
          <w:p>
            <w:r>
              <w:rPr>
                <w:sz w:val="17"/>
              </w:rPr>
              <w:t>Automated + manual keyboard/screen-reader checks on citizen golden journeys</w:t>
            </w:r>
          </w:p>
        </w:tc>
        <w:tc>
          <w:tcPr>
            <w:tcW w:type="dxa" w:w="3389"/>
            <w:tcMar>
              <w:top w:w="70" w:type="dxa"/>
              <w:start w:w="90" w:type="dxa"/>
              <w:bottom w:w="70" w:type="dxa"/>
              <w:end w:w="90" w:type="dxa"/>
            </w:tcMar>
          </w:tcPr>
          <w:p>
            <w:r>
              <w:rPr>
                <w:sz w:val="17"/>
              </w:rPr>
              <w:t>Critical journey not accessible</w:t>
            </w:r>
          </w:p>
        </w:tc>
      </w:tr>
      <w:tr>
        <w:trPr>
          <w:cantSplit/>
        </w:trPr>
        <w:tc>
          <w:tcPr>
            <w:tcW w:type="dxa" w:w="3389"/>
            <w:tcMar>
              <w:top w:w="70" w:type="dxa"/>
              <w:start w:w="90" w:type="dxa"/>
              <w:bottom w:w="70" w:type="dxa"/>
              <w:end w:w="90" w:type="dxa"/>
            </w:tcMar>
          </w:tcPr>
          <w:p>
            <w:r>
              <w:rPr>
                <w:sz w:val="17"/>
              </w:rPr>
              <w:t>Operations</w:t>
            </w:r>
          </w:p>
        </w:tc>
        <w:tc>
          <w:tcPr>
            <w:tcW w:type="dxa" w:w="3389"/>
            <w:tcMar>
              <w:top w:w="70" w:type="dxa"/>
              <w:start w:w="90" w:type="dxa"/>
              <w:bottom w:w="70" w:type="dxa"/>
              <w:end w:w="90" w:type="dxa"/>
            </w:tcMar>
          </w:tcPr>
          <w:p>
            <w:r>
              <w:rPr>
                <w:sz w:val="17"/>
              </w:rPr>
              <w:t>Dashboards, alarms, runbooks, ownership, on-call, rollback</w:t>
            </w:r>
          </w:p>
        </w:tc>
        <w:tc>
          <w:tcPr>
            <w:tcW w:type="dxa" w:w="3389"/>
            <w:tcMar>
              <w:top w:w="70" w:type="dxa"/>
              <w:start w:w="90" w:type="dxa"/>
              <w:bottom w:w="70" w:type="dxa"/>
              <w:end w:w="90" w:type="dxa"/>
            </w:tcMar>
          </w:tcPr>
          <w:p>
            <w:r>
              <w:rPr>
                <w:sz w:val="17"/>
              </w:rPr>
              <w:t>No measurable health or safe rollback</w:t>
            </w:r>
          </w:p>
        </w:tc>
      </w:tr>
    </w:tbl>
    <w:p>
      <w:pPr>
        <w:pStyle w:val="Heading1"/>
      </w:pPr>
      <w:r>
        <w:t>10. Standards and Authoritative References</w:t>
      </w:r>
    </w:p>
    <w:p>
      <w:pPr>
        <w:pStyle w:val="ListBullet"/>
        <w:spacing w:after="40"/>
      </w:pPr>
      <w:r>
        <w:rPr>
          <w:b/>
        </w:rPr>
        <w:t xml:space="preserve">Keycloak HA: </w:t>
      </w:r>
      <w:r>
        <w:t>https://www.keycloak.org/high-availability/introduction</w:t>
      </w:r>
    </w:p>
    <w:p>
      <w:pPr>
        <w:pStyle w:val="ListBullet"/>
        <w:spacing w:after="40"/>
      </w:pPr>
      <w:r>
        <w:rPr>
          <w:b/>
        </w:rPr>
        <w:t xml:space="preserve">Keycloak multi-cluster v2: </w:t>
      </w:r>
      <w:r>
        <w:t>https://www.keycloak.org/high-availability/multi-cluster-v2/introduction</w:t>
      </w:r>
    </w:p>
    <w:p>
      <w:pPr>
        <w:pStyle w:val="ListBullet"/>
        <w:spacing w:after="40"/>
      </w:pPr>
      <w:r>
        <w:rPr>
          <w:b/>
        </w:rPr>
        <w:t xml:space="preserve">Temporal self-hosted: </w:t>
      </w:r>
      <w:r>
        <w:t>https://docs.temporal.io/self-hosted-guide</w:t>
      </w:r>
    </w:p>
    <w:p>
      <w:pPr>
        <w:pStyle w:val="ListBullet"/>
        <w:spacing w:after="40"/>
      </w:pPr>
      <w:r>
        <w:rPr>
          <w:b/>
        </w:rPr>
        <w:t xml:space="preserve">Temporal server license: </w:t>
      </w:r>
      <w:r>
        <w:t>https://github.com/temporalio/temporal/blob/main/LICENSE</w:t>
      </w:r>
    </w:p>
    <w:p>
      <w:pPr>
        <w:pStyle w:val="ListBullet"/>
        <w:spacing w:after="40"/>
      </w:pPr>
      <w:r>
        <w:rPr>
          <w:b/>
        </w:rPr>
        <w:t xml:space="preserve">Flowable OSS: </w:t>
      </w:r>
      <w:r>
        <w:t>https://www.flowable.com/open-source</w:t>
      </w:r>
    </w:p>
    <w:p>
      <w:pPr>
        <w:pStyle w:val="ListBullet"/>
        <w:spacing w:after="40"/>
      </w:pPr>
      <w:r>
        <w:rPr>
          <w:b/>
        </w:rPr>
        <w:t xml:space="preserve">Camunda licensing: </w:t>
      </w:r>
      <w:r>
        <w:t>https://docs.camunda.io/docs/reference/licenses/</w:t>
      </w:r>
    </w:p>
    <w:p>
      <w:pPr>
        <w:pStyle w:val="ListBullet"/>
        <w:spacing w:after="40"/>
      </w:pPr>
      <w:r>
        <w:rPr>
          <w:b/>
        </w:rPr>
        <w:t xml:space="preserve">GoRules ZEN: </w:t>
      </w:r>
      <w:r>
        <w:t>https://gorules.io/open-source</w:t>
      </w:r>
    </w:p>
    <w:p>
      <w:pPr>
        <w:pStyle w:val="ListBullet"/>
        <w:spacing w:after="40"/>
      </w:pPr>
      <w:r>
        <w:rPr>
          <w:b/>
        </w:rPr>
        <w:t xml:space="preserve">Open Policy Agent: </w:t>
      </w:r>
      <w:r>
        <w:t>https://www.openpolicyagent.org/docs</w:t>
      </w:r>
    </w:p>
    <w:p>
      <w:pPr>
        <w:pStyle w:val="ListBullet"/>
        <w:spacing w:after="40"/>
      </w:pPr>
      <w:r>
        <w:rPr>
          <w:b/>
        </w:rPr>
        <w:t xml:space="preserve">JSON Forms: </w:t>
      </w:r>
      <w:r>
        <w:t>https://jsonforms.io/</w:t>
      </w:r>
    </w:p>
    <w:p>
      <w:pPr>
        <w:pStyle w:val="ListBullet"/>
      </w:pPr>
      <w:r>
        <w:t>UX4G Design System 3.0: https://www.ux4g.gov.in/get-started</w:t>
      </w:r>
    </w:p>
    <w:p>
      <w:pPr>
        <w:pStyle w:val="ListBullet"/>
      </w:pPr>
      <w:r>
        <w:t>UX4G Foundations / tokens / accessibility: https://www.ux4g.gov.in/foundations</w:t>
      </w:r>
    </w:p>
    <w:p>
      <w:pPr>
        <w:pStyle w:val="ListBullet"/>
      </w:pPr>
      <w:r>
        <w:t>UX4G Components: https://www.ux4g.gov.in/components</w:t>
      </w:r>
    </w:p>
    <w:p>
      <w:pPr>
        <w:pStyle w:val="ListBullet"/>
      </w:pPr>
      <w:r>
        <w:t>UX4G Developer Documentation / React / Flutter / Web Components: https://doc.ux4g.gov.in/utilities/api.php/</w:t>
      </w:r>
    </w:p>
    <w:p>
      <w:pPr>
        <w:pStyle w:val="ListBullet"/>
        <w:spacing w:after="40"/>
      </w:pPr>
      <w:r>
        <w:rPr>
          <w:b/>
        </w:rPr>
        <w:t xml:space="preserve">OpenSearch: </w:t>
      </w:r>
      <w:r>
        <w:t>https://opensearch.org/About/</w:t>
      </w:r>
    </w:p>
    <w:p>
      <w:pPr>
        <w:pStyle w:val="ListBullet"/>
        <w:spacing w:after="40"/>
      </w:pPr>
      <w:r>
        <w:rPr>
          <w:b/>
        </w:rPr>
        <w:t xml:space="preserve">KEDA: </w:t>
      </w:r>
      <w:r>
        <w:t>https://keda.sh/</w:t>
      </w:r>
    </w:p>
    <w:p>
      <w:pPr>
        <w:pStyle w:val="ListBullet"/>
        <w:spacing w:after="40"/>
      </w:pPr>
      <w:r>
        <w:rPr>
          <w:b/>
        </w:rPr>
        <w:t xml:space="preserve">Amazon EKS best practices: </w:t>
      </w:r>
      <w:r>
        <w:t>https://docs.aws.amazon.com/eks/latest/best-practices/introduction.html</w:t>
      </w:r>
    </w:p>
    <w:p>
      <w:pPr>
        <w:pStyle w:val="ListBullet"/>
        <w:spacing w:after="40"/>
      </w:pPr>
      <w:r>
        <w:rPr>
          <w:b/>
        </w:rPr>
        <w:t xml:space="preserve">Aurora HA: </w:t>
      </w:r>
      <w:r>
        <w:t>https://docs.aws.amazon.com/AmazonRDS/latest/AuroraUserGuide/Concepts.AuroraHighAvailability.html</w:t>
      </w:r>
    </w:p>
    <w:p>
      <w:pPr>
        <w:pStyle w:val="ListBullet"/>
        <w:spacing w:after="40"/>
      </w:pPr>
      <w:r>
        <w:rPr>
          <w:b/>
        </w:rPr>
        <w:t xml:space="preserve">Aurora PostgreSQL connection pooling: </w:t>
      </w:r>
      <w:r>
        <w:t>https://docs.aws.amazon.com/AmazonRDS/latest/AuroraUserGuide/AuroraPostgreSQL.BestPractices.connection_pooling.html</w:t>
      </w:r>
    </w:p>
    <w:p>
      <w:pPr>
        <w:pStyle w:val="ListBullet"/>
        <w:spacing w:after="40"/>
      </w:pPr>
      <w:r>
        <w:rPr>
          <w:b/>
        </w:rPr>
        <w:t xml:space="preserve">RDS Proxy: </w:t>
      </w:r>
      <w:r>
        <w:t>https://docs.aws.amazon.com/AmazonRDS/latest/UserGuide/rds-proxy.html</w:t>
      </w:r>
    </w:p>
    <w:p>
      <w:pPr>
        <w:pStyle w:val="ListBullet"/>
        <w:spacing w:after="40"/>
      </w:pPr>
      <w:r>
        <w:rPr>
          <w:b/>
        </w:rPr>
        <w:t xml:space="preserve">Aurora Limitless Database: </w:t>
      </w:r>
      <w:r>
        <w:t>https://docs.aws.amazon.com/AmazonRDS/latest/AuroraUserGuide/limitless.html</w:t>
      </w:r>
    </w:p>
    <w:p>
      <w:pPr>
        <w:pStyle w:val="ListBullet"/>
        <w:spacing w:after="40"/>
      </w:pPr>
      <w:r>
        <w:rPr>
          <w:b/>
        </w:rPr>
        <w:t xml:space="preserve">MSK Serverless: </w:t>
      </w:r>
      <w:r>
        <w:t>https://docs.aws.amazon.com/msk/latest/developerguide/serverless.html</w:t>
      </w:r>
    </w:p>
    <w:p>
      <w:pPr>
        <w:pStyle w:val="ListBullet"/>
        <w:spacing w:after="40"/>
      </w:pPr>
      <w:r>
        <w:rPr>
          <w:b/>
        </w:rPr>
        <w:t xml:space="preserve">OpenAPI: </w:t>
      </w:r>
      <w:r>
        <w:t>https://spec.openapis.org/oas/latest.html</w:t>
      </w:r>
    </w:p>
    <w:p>
      <w:pPr>
        <w:pStyle w:val="ListBullet"/>
        <w:spacing w:after="40"/>
      </w:pPr>
      <w:r>
        <w:rPr>
          <w:b/>
        </w:rPr>
        <w:t xml:space="preserve">AsyncAPI: </w:t>
      </w:r>
      <w:r>
        <w:t>https://www.asyncapi.com/docs/reference/specification/latest</w:t>
      </w:r>
    </w:p>
    <w:p>
      <w:pPr>
        <w:pStyle w:val="ListBullet"/>
        <w:spacing w:after="40"/>
      </w:pPr>
      <w:r>
        <w:rPr>
          <w:b/>
        </w:rPr>
        <w:t xml:space="preserve">JSON Schema: </w:t>
      </w:r>
      <w:r>
        <w:t>https://json-schema.org/specification</w:t>
      </w:r>
    </w:p>
    <w:p>
      <w:pPr>
        <w:pStyle w:val="ListBullet"/>
        <w:spacing w:after="40"/>
      </w:pPr>
      <w:r>
        <w:rPr>
          <w:b/>
        </w:rPr>
        <w:t xml:space="preserve">OpenTelemetry: </w:t>
      </w:r>
      <w:r>
        <w:t>https://opentelemetry.io/docs/</w:t>
      </w:r>
    </w:p>
    <w:p>
      <w:pPr>
        <w:pStyle w:val="ListBullet"/>
        <w:spacing w:after="40"/>
      </w:pPr>
      <w:r>
        <w:rPr>
          <w:b/>
        </w:rPr>
        <w:t xml:space="preserve">W3C Verifiable Credentials: </w:t>
      </w:r>
      <w:r>
        <w:t>https://www.w3.org/TR/vc-data-model-2.0/</w:t>
      </w:r>
    </w:p>
    <w:p>
      <w:pPr>
        <w:pStyle w:val="ListBullet"/>
        <w:spacing w:after="40"/>
      </w:pPr>
      <w:r>
        <w:rPr>
          <w:b/>
        </w:rPr>
        <w:t xml:space="preserve">GIGW: </w:t>
      </w:r>
      <w:r>
        <w:t>https://guidelines.india.gov.in/</w:t>
      </w:r>
    </w:p>
    <w:p>
      <w:pPr>
        <w:pStyle w:val="Heading1"/>
      </w:pPr>
      <w:r>
        <w:t>11. AI Development Context &amp; Domain Constitution</w:t>
      </w:r>
    </w:p>
    <w:tbl>
      <w:tblPr>
        <w:tblW w:type="auto" w:w="0"/>
        <w:tblLook w:firstColumn="1" w:firstRow="1" w:lastColumn="0" w:lastRow="0" w:noHBand="0" w:noVBand="1" w:val="04A0"/>
      </w:tblPr>
      <w:tblGrid>
        <w:gridCol w:w="10166"/>
      </w:tblGrid>
      <w:tr>
        <w:trPr>
          <w:cantSplit/>
        </w:trPr>
        <w:tc>
          <w:tcPr>
            <w:tcW w:type="dxa" w:w="10166"/>
            <w:shd w:fill="D9EAF7"/>
            <w:tcMar>
              <w:top w:w="120" w:type="dxa"/>
              <w:start w:w="130" w:type="dxa"/>
              <w:bottom w:w="120" w:type="dxa"/>
              <w:end w:w="130" w:type="dxa"/>
            </w:tcMar>
          </w:tcPr>
          <w:p>
            <w:r>
              <w:rPr>
                <w:sz w:val="19"/>
              </w:rPr>
            </w:r>
            <w:r>
              <w:rPr>
                <w:b/>
                <w:sz w:val="19"/>
              </w:rPr>
              <w:t>Mandatory rule: Cursor, GitHub Copilot and any autonomous engineering agent must load the Architecture Constitution, domain glossary, applicable requirement IDs, ADRs, component specification and tenant-isolation rules before modifying production code.</w:t>
            </w:r>
          </w:p>
        </w:tc>
      </w:tr>
    </w:tbl>
    <w:p>
      <w:pPr>
        <w:pStyle w:val="Heading2"/>
      </w:pPr>
      <w:r>
        <w:t>11.1 Context an AI agent must know before implementation</w:t>
      </w:r>
    </w:p>
    <w:tbl>
      <w:tblPr>
        <w:tblW w:type="auto" w:w="0"/>
        <w:tblLayout w:type="autofit"/>
        <w:tblLook w:firstColumn="1" w:firstRow="1" w:lastColumn="0" w:lastRow="0" w:noHBand="0" w:noVBand="1" w:val="04A0"/>
      </w:tblPr>
      <w:tblGrid>
        <w:gridCol w:w="5083"/>
        <w:gridCol w:w="5083"/>
      </w:tblGrid>
      <w:tr>
        <w:trPr>
          <w:cantSplit/>
        </w:trPr>
        <w:tc>
          <w:tcPr>
            <w:tcW w:type="dxa" w:w="2448"/>
            <w:vAlign w:val="center"/>
            <w:tcMar>
              <w:top w:w="90" w:type="dxa"/>
              <w:start w:w="100" w:type="dxa"/>
              <w:bottom w:w="90" w:type="dxa"/>
              <w:end w:w="100" w:type="dxa"/>
            </w:tcMar>
            <w:shd w:fill="1F4E78"/>
          </w:tcPr>
          <w:p>
            <w:pPr>
              <w:spacing w:after="40" w:before="40"/>
            </w:pPr>
            <w:r>
              <w:rPr>
                <w:b/>
                <w:color w:val="FFFFFF"/>
                <w:sz w:val="17"/>
              </w:rPr>
              <w:t>Context area</w:t>
            </w:r>
          </w:p>
        </w:tc>
        <w:tc>
          <w:tcPr>
            <w:tcW w:type="dxa" w:w="7776"/>
            <w:vAlign w:val="center"/>
            <w:tcMar>
              <w:top w:w="90" w:type="dxa"/>
              <w:start w:w="100" w:type="dxa"/>
              <w:bottom w:w="90" w:type="dxa"/>
              <w:end w:w="100" w:type="dxa"/>
            </w:tcMar>
            <w:shd w:fill="1F4E78"/>
          </w:tcPr>
          <w:p>
            <w:pPr>
              <w:spacing w:after="40" w:before="40"/>
            </w:pPr>
            <w:r>
              <w:rPr>
                <w:b/>
                <w:color w:val="FFFFFF"/>
                <w:sz w:val="17"/>
              </w:rPr>
              <w:t>AI implementation requirement</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Product boundaries</w:t>
            </w:r>
          </w:p>
        </w:tc>
        <w:tc>
          <w:tcPr>
            <w:tcW w:type="dxa" w:w="7776"/>
            <w:vAlign w:val="center"/>
            <w:tcMar>
              <w:top w:w="90" w:type="dxa"/>
              <w:start w:w="100" w:type="dxa"/>
              <w:bottom w:w="90" w:type="dxa"/>
              <w:end w:w="100" w:type="dxa"/>
            </w:tcMar>
          </w:tcPr>
          <w:p>
            <w:pPr>
              <w:spacing w:after="40" w:before="40"/>
            </w:pPr>
            <w:r>
              <w:rPr>
                <w:sz w:val="17"/>
              </w:rPr>
              <w:t>Citizen portal, officer portal, mobile app, service designer/admin, API/integration plane and AI assistants. AI must not invent products or modules outside approved scope.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Domain vocabulary</w:t>
            </w:r>
          </w:p>
        </w:tc>
        <w:tc>
          <w:tcPr>
            <w:tcW w:type="dxa" w:w="7776"/>
            <w:vAlign w:val="center"/>
            <w:tcMar>
              <w:top w:w="90" w:type="dxa"/>
              <w:start w:w="100" w:type="dxa"/>
              <w:bottom w:w="90" w:type="dxa"/>
              <w:end w:w="100" w:type="dxa"/>
            </w:tcMar>
          </w:tcPr>
          <w:p>
            <w:pPr>
              <w:spacing w:after="40" w:before="40"/>
            </w:pPr>
            <w:r>
              <w:rPr>
                <w:sz w:val="17"/>
              </w:rPr>
              <w:t>Exact semantics for tenant, organisation, office, jurisdiction, canonical service, local service offering, application, case, task, evidence, verified claim, deficiency, decision, credential and appeal.</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Government hierarchy</w:t>
            </w:r>
          </w:p>
        </w:tc>
        <w:tc>
          <w:tcPr>
            <w:tcW w:type="dxa" w:w="7776"/>
            <w:vAlign w:val="center"/>
            <w:tcMar>
              <w:top w:w="90" w:type="dxa"/>
              <w:start w:w="100" w:type="dxa"/>
              <w:bottom w:w="90" w:type="dxa"/>
              <w:end w:w="100" w:type="dxa"/>
            </w:tcMar>
          </w:tcPr>
          <w:p>
            <w:pPr>
              <w:spacing w:after="40" w:before="40"/>
            </w:pPr>
            <w:r>
              <w:rPr>
                <w:sz w:val="17"/>
              </w:rPr>
              <w:t>Administrative structures vary by State. The model must be graph/configuration driven; State-specific hierarchy names or levels must never be hard-coded.</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Tenant isolation</w:t>
            </w:r>
          </w:p>
        </w:tc>
        <w:tc>
          <w:tcPr>
            <w:tcW w:type="dxa" w:w="7776"/>
            <w:vAlign w:val="center"/>
            <w:tcMar>
              <w:top w:w="90" w:type="dxa"/>
              <w:start w:w="100" w:type="dxa"/>
              <w:bottom w:w="90" w:type="dxa"/>
              <w:end w:w="100" w:type="dxa"/>
            </w:tcMar>
          </w:tcPr>
          <w:p>
            <w:pPr>
              <w:spacing w:after="40" w:before="40"/>
            </w:pPr>
            <w:r>
              <w:rPr>
                <w:sz w:val="17"/>
              </w:rPr>
              <w:t>Pooled by default with PostgreSQL FORCE RLS + OPA ABAC; promotion to dedicated cells must not require domain-code changes.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Identity</w:t>
            </w:r>
          </w:p>
        </w:tc>
        <w:tc>
          <w:tcPr>
            <w:tcW w:type="dxa" w:w="7776"/>
            <w:vAlign w:val="center"/>
            <w:tcMar>
              <w:top w:w="90" w:type="dxa"/>
              <w:start w:w="100" w:type="dxa"/>
              <w:bottom w:w="90" w:type="dxa"/>
              <w:end w:w="100" w:type="dxa"/>
            </w:tcMar>
          </w:tcPr>
          <w:p>
            <w:pPr>
              <w:spacing w:after="40" w:before="40"/>
            </w:pPr>
            <w:r>
              <w:rPr>
                <w:sz w:val="17"/>
              </w:rPr>
              <w:t>Officer/admin authentication through Keycloak. Citizen authentication through mobile OTP initially, DigiLocker verification next, and DigiLocker SSO later. Internal citizen_id remains immutable.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Authorization</w:t>
            </w:r>
          </w:p>
        </w:tc>
        <w:tc>
          <w:tcPr>
            <w:tcW w:type="dxa" w:w="7776"/>
            <w:vAlign w:val="center"/>
            <w:tcMar>
              <w:top w:w="90" w:type="dxa"/>
              <w:start w:w="100" w:type="dxa"/>
              <w:bottom w:w="90" w:type="dxa"/>
              <w:end w:w="100" w:type="dxa"/>
            </w:tcMar>
          </w:tcPr>
          <w:p>
            <w:pPr>
              <w:spacing w:after="40" w:before="40"/>
            </w:pPr>
            <w:r>
              <w:rPr>
                <w:sz w:val="17"/>
              </w:rPr>
              <w:t>Deny-by-default. Access is a function of tenant + organisation + office + jurisdiction + service + role + delegation + resource ownership.</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Service model</w:t>
            </w:r>
          </w:p>
        </w:tc>
        <w:tc>
          <w:tcPr>
            <w:tcW w:type="dxa" w:w="7776"/>
            <w:vAlign w:val="center"/>
            <w:tcMar>
              <w:top w:w="90" w:type="dxa"/>
              <w:start w:w="100" w:type="dxa"/>
              <w:bottom w:w="90" w:type="dxa"/>
              <w:end w:w="100" w:type="dxa"/>
            </w:tcMar>
          </w:tcPr>
          <w:p>
            <w:pPr>
              <w:spacing w:after="40" w:before="40"/>
            </w:pPr>
            <w:r>
              <w:rPr>
                <w:sz w:val="17"/>
              </w:rPr>
              <w:t>Canonical service + local offering + provider + jurisdiction + form + rule + evidence + fee + SLA + workflow + integration + credential + notification + privacy policy.</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Forms</w:t>
            </w:r>
          </w:p>
        </w:tc>
        <w:tc>
          <w:tcPr>
            <w:tcW w:type="dxa" w:w="7776"/>
            <w:vAlign w:val="center"/>
            <w:tcMar>
              <w:top w:w="90" w:type="dxa"/>
              <w:start w:w="100" w:type="dxa"/>
              <w:bottom w:w="90" w:type="dxa"/>
              <w:end w:w="100" w:type="dxa"/>
            </w:tcMar>
          </w:tcPr>
          <w:p>
            <w:pPr>
              <w:spacing w:after="40" w:before="40"/>
            </w:pPr>
            <w:r>
              <w:rPr>
                <w:sz w:val="17"/>
              </w:rPr>
              <w:t>JSON Schema + UI schema; conditional fields, repeaters, calculations, multilingual text, evidence widgets, draft/resume and immutable published versions.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Rules</w:t>
            </w:r>
          </w:p>
        </w:tc>
        <w:tc>
          <w:tcPr>
            <w:tcW w:type="dxa" w:w="7776"/>
            <w:vAlign w:val="center"/>
            <w:tcMar>
              <w:top w:w="90" w:type="dxa"/>
              <w:start w:w="100" w:type="dxa"/>
              <w:bottom w:w="90" w:type="dxa"/>
              <w:end w:w="100" w:type="dxa"/>
            </w:tcMar>
          </w:tcPr>
          <w:p>
            <w:pPr>
              <w:spacing w:after="40" w:before="40"/>
            </w:pPr>
            <w:r>
              <w:rPr>
                <w:sz w:val="17"/>
              </w:rPr>
              <w:t>Deterministic, versioned, explainable eligibility/evidence/fee/jurisdiction/routing rules. AI may draft rules but cannot silently become the decision authority.</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Workflow</w:t>
            </w:r>
          </w:p>
        </w:tc>
        <w:tc>
          <w:tcPr>
            <w:tcW w:type="dxa" w:w="7776"/>
            <w:vAlign w:val="center"/>
            <w:tcMar>
              <w:top w:w="90" w:type="dxa"/>
              <w:start w:w="100" w:type="dxa"/>
              <w:bottom w:w="90" w:type="dxa"/>
              <w:end w:w="100" w:type="dxa"/>
            </w:tcMar>
          </w:tcPr>
          <w:p>
            <w:pPr>
              <w:spacing w:after="40" w:before="40"/>
            </w:pPr>
            <w:r>
              <w:rPr>
                <w:sz w:val="17"/>
              </w:rPr>
              <w:t>Generic workflow primitives and durable execution; no named-officer workflow definitions. Tasks resolve dynamically by office/jurisdiction/role.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Application lifecycle</w:t>
            </w:r>
          </w:p>
        </w:tc>
        <w:tc>
          <w:tcPr>
            <w:tcW w:type="dxa" w:w="7776"/>
            <w:vAlign w:val="center"/>
            <w:tcMar>
              <w:top w:w="90" w:type="dxa"/>
              <w:start w:w="100" w:type="dxa"/>
              <w:bottom w:w="90" w:type="dxa"/>
              <w:end w:w="100" w:type="dxa"/>
            </w:tcMar>
          </w:tcPr>
          <w:p>
            <w:pPr>
              <w:spacing w:after="40" w:before="40"/>
            </w:pPr>
            <w:r>
              <w:rPr>
                <w:sz w:val="17"/>
              </w:rPr>
              <w:t>Only approved state transitions may occur. Every material transition creates audit evidence and a versioned domain event.</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Evidence</w:t>
            </w:r>
          </w:p>
        </w:tc>
        <w:tc>
          <w:tcPr>
            <w:tcW w:type="dxa" w:w="7776"/>
            <w:vAlign w:val="center"/>
            <w:tcMar>
              <w:top w:w="90" w:type="dxa"/>
              <w:start w:w="100" w:type="dxa"/>
              <w:bottom w:w="90" w:type="dxa"/>
              <w:end w:w="100" w:type="dxa"/>
            </w:tcMar>
          </w:tcPr>
          <w:p>
            <w:pPr>
              <w:spacing w:after="40" w:before="40"/>
            </w:pPr>
            <w:r>
              <w:rPr>
                <w:sz w:val="17"/>
              </w:rPr>
              <w:t>Evidence source, issuer, validity, provenance, hash, verification status and reuse policy must be explicit.</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Credentials</w:t>
            </w:r>
          </w:p>
        </w:tc>
        <w:tc>
          <w:tcPr>
            <w:tcW w:type="dxa" w:w="7776"/>
            <w:vAlign w:val="center"/>
            <w:tcMar>
              <w:top w:w="90" w:type="dxa"/>
              <w:start w:w="100" w:type="dxa"/>
              <w:bottom w:w="90" w:type="dxa"/>
              <w:end w:w="100" w:type="dxa"/>
            </w:tcMar>
          </w:tcPr>
          <w:p>
            <w:pPr>
              <w:spacing w:after="40" w:before="40"/>
            </w:pPr>
            <w:r>
              <w:rPr>
                <w:sz w:val="17"/>
              </w:rPr>
              <w:t>Issued credential/certificate is versioned, signed, verifiable, status-addressable and revocable where applicable.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Payments</w:t>
            </w:r>
          </w:p>
        </w:tc>
        <w:tc>
          <w:tcPr>
            <w:tcW w:type="dxa" w:w="7776"/>
            <w:vAlign w:val="center"/>
            <w:tcMar>
              <w:top w:w="90" w:type="dxa"/>
              <w:start w:w="100" w:type="dxa"/>
              <w:bottom w:w="90" w:type="dxa"/>
              <w:end w:w="100" w:type="dxa"/>
            </w:tcMar>
          </w:tcPr>
          <w:p>
            <w:pPr>
              <w:spacing w:after="40" w:before="40"/>
            </w:pPr>
            <w:r>
              <w:rPr>
                <w:sz w:val="17"/>
              </w:rPr>
              <w:t>Idempotent payment intent/attempt/reconciliation/refund model. Payment ledger is authoritative and duplicate-safe.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Notifications</w:t>
            </w:r>
          </w:p>
        </w:tc>
        <w:tc>
          <w:tcPr>
            <w:tcW w:type="dxa" w:w="7776"/>
            <w:vAlign w:val="center"/>
            <w:tcMar>
              <w:top w:w="90" w:type="dxa"/>
              <w:start w:w="100" w:type="dxa"/>
              <w:bottom w:w="90" w:type="dxa"/>
              <w:end w:w="100" w:type="dxa"/>
            </w:tcMar>
          </w:tcPr>
          <w:p>
            <w:pPr>
              <w:spacing w:after="40" w:before="40"/>
            </w:pPr>
            <w:r>
              <w:rPr>
                <w:sz w:val="17"/>
              </w:rPr>
              <w:t>Templates are versioned/localized; delivery is asynchronous, retryable and never controls authoritative application state.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API contract</w:t>
            </w:r>
          </w:p>
        </w:tc>
        <w:tc>
          <w:tcPr>
            <w:tcW w:type="dxa" w:w="7776"/>
            <w:vAlign w:val="center"/>
            <w:tcMar>
              <w:top w:w="90" w:type="dxa"/>
              <w:start w:w="100" w:type="dxa"/>
              <w:bottom w:w="90" w:type="dxa"/>
              <w:end w:w="100" w:type="dxa"/>
            </w:tcMar>
          </w:tcPr>
          <w:p>
            <w:pPr>
              <w:spacing w:after="40" w:before="40"/>
            </w:pPr>
            <w:r>
              <w:rPr>
                <w:sz w:val="17"/>
              </w:rPr>
              <w:t>Contract-first OpenAPI, stable error codes, correlation IDs, idempotency keys, pagination, versioning and explicit auth context.</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Event contract</w:t>
            </w:r>
          </w:p>
        </w:tc>
        <w:tc>
          <w:tcPr>
            <w:tcW w:type="dxa" w:w="7776"/>
            <w:vAlign w:val="center"/>
            <w:tcMar>
              <w:top w:w="90" w:type="dxa"/>
              <w:start w:w="100" w:type="dxa"/>
              <w:bottom w:w="90" w:type="dxa"/>
              <w:end w:w="100" w:type="dxa"/>
            </w:tcMar>
          </w:tcPr>
          <w:p>
            <w:pPr>
              <w:spacing w:after="40" w:before="40"/>
            </w:pPr>
            <w:r>
              <w:rPr>
                <w:sz w:val="17"/>
              </w:rPr>
              <w:t>Versioned AsyncAPI/event envelope with event_id, tenant_id, aggregate_id, aggregate_version, occurred_at, correlation_id and schema_version.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Database</w:t>
            </w:r>
          </w:p>
        </w:tc>
        <w:tc>
          <w:tcPr>
            <w:tcW w:type="dxa" w:w="7776"/>
            <w:vAlign w:val="center"/>
            <w:tcMar>
              <w:top w:w="90" w:type="dxa"/>
              <w:start w:w="100" w:type="dxa"/>
              <w:bottom w:w="90" w:type="dxa"/>
              <w:end w:w="100" w:type="dxa"/>
            </w:tcMar>
          </w:tcPr>
          <w:p>
            <w:pPr>
              <w:spacing w:after="40" w:before="40"/>
            </w:pPr>
            <w:r>
              <w:rPr>
                <w:sz w:val="17"/>
              </w:rPr>
              <w:t>Aurora PostgreSQL authoritative v1 store. UUID/ULID identifiers, explicit transactions, RLS, migrations, constrained JSONB and transactional outbox.</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Documents</w:t>
            </w:r>
          </w:p>
        </w:tc>
        <w:tc>
          <w:tcPr>
            <w:tcW w:type="dxa" w:w="7776"/>
            <w:vAlign w:val="center"/>
            <w:tcMar>
              <w:top w:w="90" w:type="dxa"/>
              <w:start w:w="100" w:type="dxa"/>
              <w:bottom w:w="90" w:type="dxa"/>
              <w:end w:w="100" w:type="dxa"/>
            </w:tcMar>
          </w:tcPr>
          <w:p>
            <w:pPr>
              <w:spacing w:after="40" w:before="40"/>
            </w:pPr>
            <w:r>
              <w:rPr>
                <w:sz w:val="17"/>
              </w:rPr>
              <w:t>Binary data in S3, not PostgreSQL. Metadata, hash, classification, retention policy and ownership stay in the authoritative data model.</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Caching</w:t>
            </w:r>
          </w:p>
        </w:tc>
        <w:tc>
          <w:tcPr>
            <w:tcW w:type="dxa" w:w="7776"/>
            <w:vAlign w:val="center"/>
            <w:tcMar>
              <w:top w:w="90" w:type="dxa"/>
              <w:start w:w="100" w:type="dxa"/>
              <w:bottom w:w="90" w:type="dxa"/>
              <w:end w:w="100" w:type="dxa"/>
            </w:tcMar>
          </w:tcPr>
          <w:p>
            <w:pPr>
              <w:spacing w:after="40" w:before="40"/>
            </w:pPr>
            <w:r>
              <w:rPr>
                <w:sz w:val="17"/>
              </w:rPr>
              <w:t>Valkey is ephemeral acceleration only; tenant-aware keys; no authoritative decisions based solely on cache state.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Search</w:t>
            </w:r>
          </w:p>
        </w:tc>
        <w:tc>
          <w:tcPr>
            <w:tcW w:type="dxa" w:w="7776"/>
            <w:vAlign w:val="center"/>
            <w:tcMar>
              <w:top w:w="90" w:type="dxa"/>
              <w:start w:w="100" w:type="dxa"/>
              <w:bottom w:w="90" w:type="dxa"/>
              <w:end w:w="100" w:type="dxa"/>
            </w:tcMar>
          </w:tcPr>
          <w:p>
            <w:pPr>
              <w:spacing w:after="40" w:before="40"/>
            </w:pPr>
            <w:r>
              <w:rPr>
                <w:sz w:val="17"/>
              </w:rPr>
              <w:t>OpenSearch is a derived index and must be reconstructable. Security filters are server-enforced.</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Audit</w:t>
            </w:r>
          </w:p>
        </w:tc>
        <w:tc>
          <w:tcPr>
            <w:tcW w:type="dxa" w:w="7776"/>
            <w:vAlign w:val="center"/>
            <w:tcMar>
              <w:top w:w="90" w:type="dxa"/>
              <w:start w:w="100" w:type="dxa"/>
              <w:bottom w:w="90" w:type="dxa"/>
              <w:end w:w="100" w:type="dxa"/>
            </w:tcMar>
          </w:tcPr>
          <w:p>
            <w:pPr>
              <w:spacing w:after="40" w:before="40"/>
            </w:pPr>
            <w:r>
              <w:rPr>
                <w:sz w:val="17"/>
              </w:rPr>
              <w:t>Who/what/when/tenant/jurisdiction/resource/action/result/reason/correlation must be reconstructable for material actions.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Privacy</w:t>
            </w:r>
          </w:p>
        </w:tc>
        <w:tc>
          <w:tcPr>
            <w:tcW w:type="dxa" w:w="7776"/>
            <w:vAlign w:val="center"/>
            <w:tcMar>
              <w:top w:w="90" w:type="dxa"/>
              <w:start w:w="100" w:type="dxa"/>
              <w:bottom w:w="90" w:type="dxa"/>
              <w:end w:w="100" w:type="dxa"/>
            </w:tcMar>
          </w:tcPr>
          <w:p>
            <w:pPr>
              <w:spacing w:after="40" w:before="40"/>
            </w:pPr>
            <w:r>
              <w:rPr>
                <w:sz w:val="17"/>
              </w:rPr>
              <w:t>Purpose limitation, minimization, consent where applicable, masking, retention, erasure/anonymization workflow and no PII in ordinary logs.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AI governance</w:t>
            </w:r>
          </w:p>
        </w:tc>
        <w:tc>
          <w:tcPr>
            <w:tcW w:type="dxa" w:w="7776"/>
            <w:vAlign w:val="center"/>
            <w:tcMar>
              <w:top w:w="90" w:type="dxa"/>
              <w:start w:w="100" w:type="dxa"/>
              <w:bottom w:w="90" w:type="dxa"/>
              <w:end w:w="100" w:type="dxa"/>
            </w:tcMar>
          </w:tcPr>
          <w:p>
            <w:pPr>
              <w:spacing w:after="40" w:before="40"/>
            </w:pPr>
            <w:r>
              <w:rPr>
                <w:sz w:val="17"/>
              </w:rPr>
              <w:t>AI can assist, explain, extract, draft, test and summarize. Statutory eligibility/approval/rejection remains deterministic and/or authorized-human controlled.</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Performance</w:t>
            </w:r>
          </w:p>
        </w:tc>
        <w:tc>
          <w:tcPr>
            <w:tcW w:type="dxa" w:w="7776"/>
            <w:vAlign w:val="center"/>
            <w:tcMar>
              <w:top w:w="90" w:type="dxa"/>
              <w:start w:w="100" w:type="dxa"/>
              <w:bottom w:w="90" w:type="dxa"/>
              <w:end w:w="100" w:type="dxa"/>
            </w:tcMar>
          </w:tcPr>
          <w:p>
            <w:pPr>
              <w:spacing w:after="40" w:before="40"/>
            </w:pPr>
            <w:r>
              <w:rPr>
                <w:sz w:val="17"/>
              </w:rPr>
              <w:t>Design for 10K sustained external RPS, 20K burst, asynchronous backpressure and component-specific performance tests.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Resilience</w:t>
            </w:r>
          </w:p>
        </w:tc>
        <w:tc>
          <w:tcPr>
            <w:tcW w:type="dxa" w:w="7776"/>
            <w:vAlign w:val="center"/>
            <w:tcMar>
              <w:top w:w="90" w:type="dxa"/>
              <w:start w:w="100" w:type="dxa"/>
              <w:bottom w:w="90" w:type="dxa"/>
              <w:end w:w="100" w:type="dxa"/>
            </w:tcMar>
          </w:tcPr>
          <w:p>
            <w:pPr>
              <w:spacing w:after="40" w:before="40"/>
            </w:pPr>
            <w:r>
              <w:rPr>
                <w:sz w:val="17"/>
              </w:rPr>
              <w:t>Multi-AZ, idempotent retries, timeouts, circuit breakers, queues, DLQ, backup/PITR and tested failure recovery.</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Observability</w:t>
            </w:r>
          </w:p>
        </w:tc>
        <w:tc>
          <w:tcPr>
            <w:tcW w:type="dxa" w:w="7776"/>
            <w:vAlign w:val="center"/>
            <w:tcMar>
              <w:top w:w="90" w:type="dxa"/>
              <w:start w:w="100" w:type="dxa"/>
              <w:bottom w:w="90" w:type="dxa"/>
              <w:end w:w="100" w:type="dxa"/>
            </w:tcMar>
          </w:tcPr>
          <w:p>
            <w:pPr>
              <w:spacing w:after="40" w:before="40"/>
            </w:pPr>
            <w:r>
              <w:rPr>
                <w:sz w:val="17"/>
              </w:rPr>
              <w:t>Metrics 100%; error logs 100%; traces sampled intelligently; no sensitive payload logging; tenant/cell/correlation metadata available.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Accessibility</w:t>
            </w:r>
          </w:p>
        </w:tc>
        <w:tc>
          <w:tcPr>
            <w:tcW w:type="dxa" w:w="7776"/>
            <w:vAlign w:val="center"/>
            <w:tcMar>
              <w:top w:w="90" w:type="dxa"/>
              <w:start w:w="100" w:type="dxa"/>
              <w:bottom w:w="90" w:type="dxa"/>
              <w:end w:w="100" w:type="dxa"/>
            </w:tcMar>
          </w:tcPr>
          <w:p>
            <w:pPr>
              <w:spacing w:after="40" w:before="40"/>
            </w:pPr>
            <w:r>
              <w:rPr>
                <w:sz w:val="17"/>
              </w:rPr>
              <w:t>GIGW/WCAG-aligned UI, keyboard support, screen-reader semantics, mobile-first layout and low-bandwidth operation.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Localization</w:t>
            </w:r>
          </w:p>
        </w:tc>
        <w:tc>
          <w:tcPr>
            <w:tcW w:type="dxa" w:w="7776"/>
            <w:vAlign w:val="center"/>
            <w:tcMar>
              <w:top w:w="90" w:type="dxa"/>
              <w:start w:w="100" w:type="dxa"/>
              <w:bottom w:w="90" w:type="dxa"/>
              <w:end w:w="100" w:type="dxa"/>
            </w:tcMar>
          </w:tcPr>
          <w:p>
            <w:pPr>
              <w:spacing w:after="40" w:before="40"/>
            </w:pPr>
            <w:r>
              <w:rPr>
                <w:sz w:val="17"/>
              </w:rPr>
              <w:t>Translation keys, Unicode, locale-aware dates/numbers/addresses and no hard-coded citizen-facing strings.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Testing</w:t>
            </w:r>
          </w:p>
        </w:tc>
        <w:tc>
          <w:tcPr>
            <w:tcW w:type="dxa" w:w="7776"/>
            <w:vAlign w:val="center"/>
            <w:tcMar>
              <w:top w:w="90" w:type="dxa"/>
              <w:start w:w="100" w:type="dxa"/>
              <w:bottom w:w="90" w:type="dxa"/>
              <w:end w:w="100" w:type="dxa"/>
            </w:tcMar>
          </w:tcPr>
          <w:p>
            <w:pPr>
              <w:spacing w:after="40" w:before="40"/>
            </w:pPr>
            <w:r>
              <w:rPr>
                <w:sz w:val="17"/>
              </w:rPr>
              <w:t>Unit, integration, contract, state-machine, tenant isolation, security, accessibility, performance, chaos and migration tests.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Dependency governance</w:t>
            </w:r>
          </w:p>
        </w:tc>
        <w:tc>
          <w:tcPr>
            <w:tcW w:type="dxa" w:w="7776"/>
            <w:vAlign w:val="center"/>
            <w:tcMar>
              <w:top w:w="90" w:type="dxa"/>
              <w:start w:w="100" w:type="dxa"/>
              <w:bottom w:w="90" w:type="dxa"/>
              <w:end w:w="100" w:type="dxa"/>
            </w:tcMar>
          </w:tcPr>
          <w:p>
            <w:pPr>
              <w:spacing w:after="40" w:before="40"/>
            </w:pPr>
            <w:r>
              <w:rPr>
                <w:sz w:val="17"/>
              </w:rPr>
              <w:t>New runtime libraries/services require license, security, maintenance and architecture review. No agent may add infrastructure because it is convenient.</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ADR process</w:t>
            </w:r>
          </w:p>
        </w:tc>
        <w:tc>
          <w:tcPr>
            <w:tcW w:type="dxa" w:w="7776"/>
            <w:vAlign w:val="center"/>
            <w:tcMar>
              <w:top w:w="90" w:type="dxa"/>
              <w:start w:w="100" w:type="dxa"/>
              <w:bottom w:w="90" w:type="dxa"/>
              <w:end w:w="100" w:type="dxa"/>
            </w:tcMar>
          </w:tcPr>
          <w:p>
            <w:pPr>
              <w:spacing w:after="40" w:before="40"/>
            </w:pPr>
            <w:r>
              <w:rPr>
                <w:sz w:val="17"/>
              </w:rPr>
              <w:t>Material architectural ambiguity or change requires an ADR proposal instead of silent implementation.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Feature flags</w:t>
            </w:r>
          </w:p>
        </w:tc>
        <w:tc>
          <w:tcPr>
            <w:tcW w:type="dxa" w:w="7776"/>
            <w:vAlign w:val="center"/>
            <w:tcMar>
              <w:top w:w="90" w:type="dxa"/>
              <w:start w:w="100" w:type="dxa"/>
              <w:bottom w:w="90" w:type="dxa"/>
              <w:end w:w="100" w:type="dxa"/>
            </w:tcMar>
          </w:tcPr>
          <w:p>
            <w:pPr>
              <w:spacing w:after="40" w:before="40"/>
            </w:pPr>
            <w:r>
              <w:rPr>
                <w:sz w:val="17"/>
              </w:rPr>
              <w:t>Incomplete or staged capabilities must be gated by environment/tenant/service-aware feature flags, not hidden code branches.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Publishing</w:t>
            </w:r>
          </w:p>
        </w:tc>
        <w:tc>
          <w:tcPr>
            <w:tcW w:type="dxa" w:w="7776"/>
            <w:vAlign w:val="center"/>
            <w:tcMar>
              <w:top w:w="90" w:type="dxa"/>
              <w:start w:w="100" w:type="dxa"/>
              <w:bottom w:w="90" w:type="dxa"/>
              <w:end w:w="100" w:type="dxa"/>
            </w:tcMar>
          </w:tcPr>
          <w:p>
            <w:pPr>
              <w:spacing w:after="40" w:before="40"/>
            </w:pPr>
            <w:r>
              <w:rPr>
                <w:sz w:val="17"/>
              </w:rPr>
              <w:t>Service/config changes follow draft -&gt; validate -&gt; simulate/test -&gt; maker-checker -&gt; publish -&gt; immutable version.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Reference/master data</w:t>
            </w:r>
          </w:p>
        </w:tc>
        <w:tc>
          <w:tcPr>
            <w:tcW w:type="dxa" w:w="7776"/>
            <w:vAlign w:val="center"/>
            <w:tcMar>
              <w:top w:w="90" w:type="dxa"/>
              <w:start w:w="100" w:type="dxa"/>
              <w:bottom w:w="90" w:type="dxa"/>
              <w:end w:w="100" w:type="dxa"/>
            </w:tcMar>
          </w:tcPr>
          <w:p>
            <w:pPr>
              <w:spacing w:after="40" w:before="40"/>
            </w:pPr>
            <w:r>
              <w:rPr>
                <w:sz w:val="17"/>
              </w:rPr>
              <w:t>States, districts, organisation/jurisdiction types, languages and code lists are governed data, not enums scattered through code.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FinOps</w:t>
            </w:r>
          </w:p>
        </w:tc>
        <w:tc>
          <w:tcPr>
            <w:tcW w:type="dxa" w:w="7776"/>
            <w:vAlign w:val="center"/>
            <w:tcMar>
              <w:top w:w="90" w:type="dxa"/>
              <w:start w:w="100" w:type="dxa"/>
              <w:bottom w:w="90" w:type="dxa"/>
              <w:end w:w="100" w:type="dxa"/>
            </w:tcMar>
          </w:tcPr>
          <w:p>
            <w:pPr>
              <w:spacing w:after="40" w:before="40"/>
            </w:pPr>
            <w:r>
              <w:rPr>
                <w:sz w:val="17"/>
              </w:rPr>
              <w:t>Every resource tagged; track cost per application, 1,000 API calls, GB evidence, workflow, OTP, AI call and tenant/cell where practical.</w:t>
            </w:r>
          </w:p>
        </w:tc>
      </w:tr>
    </w:tbl>
    <w:p>
      <w:pPr>
        <w:pStyle w:val="Heading2"/>
      </w:pPr>
      <w:r>
        <w:t>11.2 Core domain glossary</w:t>
      </w:r>
    </w:p>
    <w:tbl>
      <w:tblPr>
        <w:tblW w:type="auto" w:w="0"/>
        <w:tblLayout w:type="autofit"/>
        <w:tblLook w:firstColumn="1" w:firstRow="1" w:lastColumn="0" w:lastRow="0" w:noHBand="0" w:noVBand="1" w:val="04A0"/>
      </w:tblPr>
      <w:tblGrid>
        <w:gridCol w:w="5083"/>
        <w:gridCol w:w="5083"/>
      </w:tblGrid>
      <w:tr>
        <w:trPr>
          <w:cantSplit/>
        </w:trPr>
        <w:tc>
          <w:tcPr>
            <w:tcW w:type="dxa" w:w="2448"/>
            <w:vAlign w:val="center"/>
            <w:tcMar>
              <w:top w:w="90" w:type="dxa"/>
              <w:start w:w="100" w:type="dxa"/>
              <w:bottom w:w="90" w:type="dxa"/>
              <w:end w:w="100" w:type="dxa"/>
            </w:tcMar>
            <w:shd w:fill="1F4E78"/>
          </w:tcPr>
          <w:p>
            <w:pPr>
              <w:spacing w:after="40" w:before="40"/>
            </w:pPr>
            <w:r>
              <w:rPr>
                <w:b/>
                <w:color w:val="FFFFFF"/>
                <w:sz w:val="17"/>
              </w:rPr>
              <w:t>Term</w:t>
            </w:r>
          </w:p>
        </w:tc>
        <w:tc>
          <w:tcPr>
            <w:tcW w:type="dxa" w:w="7776"/>
            <w:vAlign w:val="center"/>
            <w:tcMar>
              <w:top w:w="90" w:type="dxa"/>
              <w:start w:w="100" w:type="dxa"/>
              <w:bottom w:w="90" w:type="dxa"/>
              <w:end w:w="100" w:type="dxa"/>
            </w:tcMar>
            <w:shd w:fill="1F4E78"/>
          </w:tcPr>
          <w:p>
            <w:pPr>
              <w:spacing w:after="40" w:before="40"/>
            </w:pPr>
            <w:r>
              <w:rPr>
                <w:b/>
                <w:color w:val="FFFFFF"/>
                <w:sz w:val="17"/>
              </w:rPr>
              <w:t>Normative meaning</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Tenant</w:t>
            </w:r>
          </w:p>
        </w:tc>
        <w:tc>
          <w:tcPr>
            <w:tcW w:type="dxa" w:w="7776"/>
            <w:vAlign w:val="center"/>
            <w:tcMar>
              <w:top w:w="90" w:type="dxa"/>
              <w:start w:w="100" w:type="dxa"/>
              <w:bottom w:w="90" w:type="dxa"/>
              <w:end w:w="100" w:type="dxa"/>
            </w:tcMar>
          </w:tcPr>
          <w:p>
            <w:pPr>
              <w:spacing w:after="40" w:before="40"/>
            </w:pPr>
            <w:r>
              <w:rPr>
                <w:sz w:val="17"/>
              </w:rPr>
              <w:t>Commercial/security isolation boundary for a government customer/programme deployment context; not automatically equal to a department.</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Organisation</w:t>
            </w:r>
          </w:p>
        </w:tc>
        <w:tc>
          <w:tcPr>
            <w:tcW w:type="dxa" w:w="7776"/>
            <w:vAlign w:val="center"/>
            <w:tcMar>
              <w:top w:w="90" w:type="dxa"/>
              <w:start w:w="100" w:type="dxa"/>
              <w:bottom w:w="90" w:type="dxa"/>
              <w:end w:w="100" w:type="dxa"/>
            </w:tcMar>
          </w:tcPr>
          <w:p>
            <w:pPr>
              <w:spacing w:after="40" w:before="40"/>
            </w:pPr>
            <w:r>
              <w:rPr>
                <w:sz w:val="17"/>
              </w:rPr>
              <w:t>Government entity within a tenant: department, directorate, corporation, board, municipality, panchayat body, agency, etc.</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Office</w:t>
            </w:r>
          </w:p>
        </w:tc>
        <w:tc>
          <w:tcPr>
            <w:tcW w:type="dxa" w:w="7776"/>
            <w:vAlign w:val="center"/>
            <w:tcMar>
              <w:top w:w="90" w:type="dxa"/>
              <w:start w:w="100" w:type="dxa"/>
              <w:bottom w:w="90" w:type="dxa"/>
              <w:end w:w="100" w:type="dxa"/>
            </w:tcMar>
          </w:tcPr>
          <w:p>
            <w:pPr>
              <w:spacing w:after="40" w:before="40"/>
            </w:pPr>
            <w:r>
              <w:rPr>
                <w:sz w:val="17"/>
              </w:rPr>
              <w:t>Operational unit where officials are posted and work is received/performed.</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Jurisdiction</w:t>
            </w:r>
          </w:p>
        </w:tc>
        <w:tc>
          <w:tcPr>
            <w:tcW w:type="dxa" w:w="7776"/>
            <w:vAlign w:val="center"/>
            <w:tcMar>
              <w:top w:w="90" w:type="dxa"/>
              <w:start w:w="100" w:type="dxa"/>
              <w:bottom w:w="90" w:type="dxa"/>
              <w:end w:w="100" w:type="dxa"/>
            </w:tcMar>
          </w:tcPr>
          <w:p>
            <w:pPr>
              <w:spacing w:after="40" w:before="40"/>
            </w:pPr>
            <w:r>
              <w:rPr>
                <w:sz w:val="17"/>
              </w:rPr>
              <w:t>Geographical or legal area over which an organisation/office has authority.</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Canonical Service</w:t>
            </w:r>
          </w:p>
        </w:tc>
        <w:tc>
          <w:tcPr>
            <w:tcW w:type="dxa" w:w="7776"/>
            <w:vAlign w:val="center"/>
            <w:tcMar>
              <w:top w:w="90" w:type="dxa"/>
              <w:start w:w="100" w:type="dxa"/>
              <w:bottom w:w="90" w:type="dxa"/>
              <w:end w:w="100" w:type="dxa"/>
            </w:tcMar>
          </w:tcPr>
          <w:p>
            <w:pPr>
              <w:spacing w:after="40" w:before="40"/>
            </w:pPr>
            <w:r>
              <w:rPr>
                <w:sz w:val="17"/>
              </w:rPr>
              <w:t>Normalized national concept used for discovery, analytics and interoperability.</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Local Service Offering</w:t>
            </w:r>
          </w:p>
        </w:tc>
        <w:tc>
          <w:tcPr>
            <w:tcW w:type="dxa" w:w="7776"/>
            <w:vAlign w:val="center"/>
            <w:tcMar>
              <w:top w:w="90" w:type="dxa"/>
              <w:start w:w="100" w:type="dxa"/>
              <w:bottom w:w="90" w:type="dxa"/>
              <w:end w:w="100" w:type="dxa"/>
            </w:tcMar>
          </w:tcPr>
          <w:p>
            <w:pPr>
              <w:spacing w:after="40" w:before="40"/>
            </w:pPr>
            <w:r>
              <w:rPr>
                <w:sz w:val="17"/>
              </w:rPr>
              <w:t>Legally/administratively configured implementation of a canonical service for a provider and jurisdiction.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Service Version</w:t>
            </w:r>
          </w:p>
        </w:tc>
        <w:tc>
          <w:tcPr>
            <w:tcW w:type="dxa" w:w="7776"/>
            <w:vAlign w:val="center"/>
            <w:tcMar>
              <w:top w:w="90" w:type="dxa"/>
              <w:start w:w="100" w:type="dxa"/>
              <w:bottom w:w="90" w:type="dxa"/>
              <w:end w:w="100" w:type="dxa"/>
            </w:tcMar>
          </w:tcPr>
          <w:p>
            <w:pPr>
              <w:spacing w:after="40" w:before="40"/>
            </w:pPr>
            <w:r>
              <w:rPr>
                <w:sz w:val="17"/>
              </w:rPr>
              <w:t>Immutable published snapshot of service configuration dependencies.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Application</w:t>
            </w:r>
          </w:p>
        </w:tc>
        <w:tc>
          <w:tcPr>
            <w:tcW w:type="dxa" w:w="7776"/>
            <w:vAlign w:val="center"/>
            <w:tcMar>
              <w:top w:w="90" w:type="dxa"/>
              <w:start w:w="100" w:type="dxa"/>
              <w:bottom w:w="90" w:type="dxa"/>
              <w:end w:w="100" w:type="dxa"/>
            </w:tcMar>
          </w:tcPr>
          <w:p>
            <w:pPr>
              <w:spacing w:after="40" w:before="40"/>
            </w:pPr>
            <w:r>
              <w:rPr>
                <w:sz w:val="17"/>
              </w:rPr>
              <w:t>Citizen/entity request submitted against a specific service version.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Case</w:t>
            </w:r>
          </w:p>
        </w:tc>
        <w:tc>
          <w:tcPr>
            <w:tcW w:type="dxa" w:w="7776"/>
            <w:vAlign w:val="center"/>
            <w:tcMar>
              <w:top w:w="90" w:type="dxa"/>
              <w:start w:w="100" w:type="dxa"/>
              <w:bottom w:w="90" w:type="dxa"/>
              <w:end w:w="100" w:type="dxa"/>
            </w:tcMar>
          </w:tcPr>
          <w:p>
            <w:pPr>
              <w:spacing w:after="40" w:before="40"/>
            </w:pPr>
            <w:r>
              <w:rPr>
                <w:sz w:val="17"/>
              </w:rPr>
              <w:t>Administrative processing context associated with an application, including tasks, verification and decisions.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Task</w:t>
            </w:r>
          </w:p>
        </w:tc>
        <w:tc>
          <w:tcPr>
            <w:tcW w:type="dxa" w:w="7776"/>
            <w:vAlign w:val="center"/>
            <w:tcMar>
              <w:top w:w="90" w:type="dxa"/>
              <w:start w:w="100" w:type="dxa"/>
              <w:bottom w:w="90" w:type="dxa"/>
              <w:end w:w="100" w:type="dxa"/>
            </w:tcMar>
          </w:tcPr>
          <w:p>
            <w:pPr>
              <w:spacing w:after="40" w:before="40"/>
            </w:pPr>
            <w:r>
              <w:rPr>
                <w:sz w:val="17"/>
              </w:rPr>
              <w:t>Work item requiring action by a role/office/jurisdiction; never permanently bound to a named individual in design-time configuration.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Evidence</w:t>
            </w:r>
          </w:p>
        </w:tc>
        <w:tc>
          <w:tcPr>
            <w:tcW w:type="dxa" w:w="7776"/>
            <w:vAlign w:val="center"/>
            <w:tcMar>
              <w:top w:w="90" w:type="dxa"/>
              <w:start w:w="100" w:type="dxa"/>
              <w:bottom w:w="90" w:type="dxa"/>
              <w:end w:w="100" w:type="dxa"/>
            </w:tcMar>
          </w:tcPr>
          <w:p>
            <w:pPr>
              <w:spacing w:after="40" w:before="40"/>
            </w:pPr>
            <w:r>
              <w:rPr>
                <w:sz w:val="17"/>
              </w:rPr>
              <w:t>Document, credential, registry response, declaration or verified claim used to support an application.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Verified Claim</w:t>
            </w:r>
          </w:p>
        </w:tc>
        <w:tc>
          <w:tcPr>
            <w:tcW w:type="dxa" w:w="7776"/>
            <w:vAlign w:val="center"/>
            <w:tcMar>
              <w:top w:w="90" w:type="dxa"/>
              <w:start w:w="100" w:type="dxa"/>
              <w:bottom w:w="90" w:type="dxa"/>
              <w:end w:w="100" w:type="dxa"/>
            </w:tcMar>
          </w:tcPr>
          <w:p>
            <w:pPr>
              <w:spacing w:after="40" w:before="40"/>
            </w:pPr>
            <w:r>
              <w:rPr>
                <w:sz w:val="17"/>
              </w:rPr>
              <w:t>Structured fact with source, provenance, verification status and validity/reuse policy.</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Deficiency</w:t>
            </w:r>
          </w:p>
        </w:tc>
        <w:tc>
          <w:tcPr>
            <w:tcW w:type="dxa" w:w="7776"/>
            <w:vAlign w:val="center"/>
            <w:tcMar>
              <w:top w:w="90" w:type="dxa"/>
              <w:start w:w="100" w:type="dxa"/>
              <w:bottom w:w="90" w:type="dxa"/>
              <w:end w:w="100" w:type="dxa"/>
            </w:tcMar>
          </w:tcPr>
          <w:p>
            <w:pPr>
              <w:spacing w:after="40" w:before="40"/>
            </w:pPr>
            <w:r>
              <w:rPr>
                <w:sz w:val="17"/>
              </w:rPr>
              <w:t>Formal request for missing/corrected information or evidence.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Decision</w:t>
            </w:r>
          </w:p>
        </w:tc>
        <w:tc>
          <w:tcPr>
            <w:tcW w:type="dxa" w:w="7776"/>
            <w:vAlign w:val="center"/>
            <w:tcMar>
              <w:top w:w="90" w:type="dxa"/>
              <w:start w:w="100" w:type="dxa"/>
              <w:bottom w:w="90" w:type="dxa"/>
              <w:end w:w="100" w:type="dxa"/>
            </w:tcMar>
          </w:tcPr>
          <w:p>
            <w:pPr>
              <w:spacing w:after="40" w:before="40"/>
            </w:pPr>
            <w:r>
              <w:rPr>
                <w:sz w:val="17"/>
              </w:rPr>
              <w:t>Deterministic/system-supported or authorized-officer outcome with reason/provenance.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Credential</w:t>
            </w:r>
          </w:p>
        </w:tc>
        <w:tc>
          <w:tcPr>
            <w:tcW w:type="dxa" w:w="7776"/>
            <w:vAlign w:val="center"/>
            <w:tcMar>
              <w:top w:w="90" w:type="dxa"/>
              <w:start w:w="100" w:type="dxa"/>
              <w:bottom w:w="90" w:type="dxa"/>
              <w:end w:w="100" w:type="dxa"/>
            </w:tcMar>
          </w:tcPr>
          <w:p>
            <w:pPr>
              <w:spacing w:after="40" w:before="40"/>
            </w:pPr>
            <w:r>
              <w:rPr>
                <w:sz w:val="17"/>
              </w:rPr>
              <w:t>Issued certificate/licence/permit/approval/entitlement artifact and its status record.</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Configuration Artifact</w:t>
            </w:r>
          </w:p>
        </w:tc>
        <w:tc>
          <w:tcPr>
            <w:tcW w:type="dxa" w:w="7776"/>
            <w:vAlign w:val="center"/>
            <w:tcMar>
              <w:top w:w="90" w:type="dxa"/>
              <w:start w:w="100" w:type="dxa"/>
              <w:bottom w:w="90" w:type="dxa"/>
              <w:end w:w="100" w:type="dxa"/>
            </w:tcMar>
          </w:tcPr>
          <w:p>
            <w:pPr>
              <w:spacing w:after="40" w:before="40"/>
            </w:pPr>
            <w:r>
              <w:rPr>
                <w:sz w:val="17"/>
              </w:rPr>
              <w:t>Versioned form, rule, workflow, evidence, fee, SLA, notification or credential template.</w:t>
            </w:r>
          </w:p>
        </w:tc>
      </w:tr>
    </w:tbl>
    <w:p>
      <w:pPr>
        <w:pStyle w:val="Heading2"/>
      </w:pPr>
      <w:r>
        <w:t>11.3 ServiceForm AI domain invariants</w:t>
      </w:r>
    </w:p>
    <w:tbl>
      <w:tblPr>
        <w:tblW w:type="auto" w:w="0"/>
        <w:tblLayout w:type="autofit"/>
        <w:tblLook w:firstColumn="1" w:firstRow="1" w:lastColumn="0" w:lastRow="0" w:noHBand="0" w:noVBand="1" w:val="04A0"/>
      </w:tblPr>
      <w:tblGrid>
        <w:gridCol w:w="5083"/>
        <w:gridCol w:w="5083"/>
      </w:tblGrid>
      <w:tr>
        <w:trPr>
          <w:cantSplit/>
        </w:trPr>
        <w:tc>
          <w:tcPr>
            <w:tcW w:type="dxa" w:w="1440"/>
            <w:vAlign w:val="center"/>
            <w:tcMar>
              <w:top w:w="90" w:type="dxa"/>
              <w:start w:w="100" w:type="dxa"/>
              <w:bottom w:w="90" w:type="dxa"/>
              <w:end w:w="100" w:type="dxa"/>
            </w:tcMar>
            <w:shd w:fill="1F4E78"/>
          </w:tcPr>
          <w:p>
            <w:pPr>
              <w:spacing w:after="40" w:before="40"/>
            </w:pPr>
            <w:r>
              <w:rPr>
                <w:b/>
                <w:color w:val="FFFFFF"/>
                <w:sz w:val="17"/>
              </w:rPr>
              <w:t>Rule</w:t>
            </w:r>
          </w:p>
        </w:tc>
        <w:tc>
          <w:tcPr>
            <w:tcW w:type="dxa" w:w="8784"/>
            <w:vAlign w:val="center"/>
            <w:tcMar>
              <w:top w:w="90" w:type="dxa"/>
              <w:start w:w="100" w:type="dxa"/>
              <w:bottom w:w="90" w:type="dxa"/>
              <w:end w:w="100" w:type="dxa"/>
            </w:tcMar>
            <w:shd w:fill="1F4E78"/>
          </w:tcPr>
          <w:p>
            <w:pPr>
              <w:spacing w:after="40" w:before="40"/>
            </w:pPr>
            <w:r>
              <w:rPr>
                <w:b/>
                <w:color w:val="FFFFFF"/>
                <w:sz w:val="17"/>
              </w:rPr>
              <w:t>Invariant</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SF-001</w:t>
            </w:r>
          </w:p>
        </w:tc>
        <w:tc>
          <w:tcPr>
            <w:tcW w:type="dxa" w:w="8784"/>
            <w:vAlign w:val="center"/>
            <w:tcMar>
              <w:top w:w="90" w:type="dxa"/>
              <w:start w:w="100" w:type="dxa"/>
              <w:bottom w:w="90" w:type="dxa"/>
              <w:end w:w="100" w:type="dxa"/>
            </w:tcMar>
          </w:tcPr>
          <w:p>
            <w:pPr>
              <w:spacing w:after="40" w:before="40"/>
            </w:pPr>
            <w:r>
              <w:rPr>
                <w:sz w:val="17"/>
              </w:rPr>
              <w:t>The platform is metadata-driven; government services are configurations executed by generic engines.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SF-002</w:t>
            </w:r>
          </w:p>
        </w:tc>
        <w:tc>
          <w:tcPr>
            <w:tcW w:type="dxa" w:w="8784"/>
            <w:vAlign w:val="center"/>
            <w:tcMar>
              <w:top w:w="90" w:type="dxa"/>
              <w:start w:w="100" w:type="dxa"/>
              <w:bottom w:w="90" w:type="dxa"/>
              <w:end w:w="100" w:type="dxa"/>
            </w:tcMar>
          </w:tcPr>
          <w:p>
            <w:pPr>
              <w:spacing w:after="40" w:before="40"/>
            </w:pPr>
            <w:r>
              <w:rPr>
                <w:sz w:val="17"/>
              </w:rPr>
              <w:t>No State, district, municipality, panchayat, department or named officer may be encoded as permanent business logic.</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SF-003</w:t>
            </w:r>
          </w:p>
        </w:tc>
        <w:tc>
          <w:tcPr>
            <w:tcW w:type="dxa" w:w="8784"/>
            <w:vAlign w:val="center"/>
            <w:tcMar>
              <w:top w:w="90" w:type="dxa"/>
              <w:start w:w="100" w:type="dxa"/>
              <w:bottom w:w="90" w:type="dxa"/>
              <w:end w:w="100" w:type="dxa"/>
            </w:tcMar>
          </w:tcPr>
          <w:p>
            <w:pPr>
              <w:spacing w:after="40" w:before="40"/>
            </w:pPr>
            <w:r>
              <w:rPr>
                <w:sz w:val="17"/>
              </w:rPr>
              <w:t>Aurora PostgreSQL is the authoritative ServiceForm AI v1 datastore. DynamoDB is not part of the v1 runtime.</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SF-004</w:t>
            </w:r>
          </w:p>
        </w:tc>
        <w:tc>
          <w:tcPr>
            <w:tcW w:type="dxa" w:w="8784"/>
            <w:vAlign w:val="center"/>
            <w:tcMar>
              <w:top w:w="90" w:type="dxa"/>
              <w:start w:w="100" w:type="dxa"/>
              <w:bottom w:w="90" w:type="dxa"/>
              <w:end w:w="100" w:type="dxa"/>
            </w:tcMar>
          </w:tcPr>
          <w:p>
            <w:pPr>
              <w:spacing w:after="40" w:before="40"/>
            </w:pPr>
            <w:r>
              <w:rPr>
                <w:sz w:val="17"/>
              </w:rPr>
              <w:t>Binary documents/evidence are stored in S3; PostgreSQL stores metadata, provenance, ownership and hashes.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SF-005</w:t>
            </w:r>
          </w:p>
        </w:tc>
        <w:tc>
          <w:tcPr>
            <w:tcW w:type="dxa" w:w="8784"/>
            <w:vAlign w:val="center"/>
            <w:tcMar>
              <w:top w:w="90" w:type="dxa"/>
              <w:start w:w="100" w:type="dxa"/>
              <w:bottom w:w="90" w:type="dxa"/>
              <w:end w:w="100" w:type="dxa"/>
            </w:tcMar>
          </w:tcPr>
          <w:p>
            <w:pPr>
              <w:spacing w:after="40" w:before="40"/>
            </w:pPr>
            <w:r>
              <w:rPr>
                <w:sz w:val="17"/>
              </w:rPr>
              <w:t>Every tenant-owned persistent row contains tenant_id and pooled tenant tables enforce FORCE RLS.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SF-006</w:t>
            </w:r>
          </w:p>
        </w:tc>
        <w:tc>
          <w:tcPr>
            <w:tcW w:type="dxa" w:w="8784"/>
            <w:vAlign w:val="center"/>
            <w:tcMar>
              <w:top w:w="90" w:type="dxa"/>
              <w:start w:w="100" w:type="dxa"/>
              <w:bottom w:w="90" w:type="dxa"/>
              <w:end w:w="100" w:type="dxa"/>
            </w:tcMar>
          </w:tcPr>
          <w:p>
            <w:pPr>
              <w:spacing w:after="40" w:before="40"/>
            </w:pPr>
            <w:r>
              <w:rPr>
                <w:sz w:val="17"/>
              </w:rPr>
              <w:t>Tenant context is derived server-side from authenticated/authorized context; client-supplied tenant headers are not authoritative.</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SF-007</w:t>
            </w:r>
          </w:p>
        </w:tc>
        <w:tc>
          <w:tcPr>
            <w:tcW w:type="dxa" w:w="8784"/>
            <w:vAlign w:val="center"/>
            <w:tcMar>
              <w:top w:w="90" w:type="dxa"/>
              <w:start w:w="100" w:type="dxa"/>
              <w:bottom w:w="90" w:type="dxa"/>
              <w:end w:w="100" w:type="dxa"/>
            </w:tcMar>
          </w:tcPr>
          <w:p>
            <w:pPr>
              <w:spacing w:after="40" w:before="40"/>
            </w:pPr>
            <w:r>
              <w:rPr>
                <w:sz w:val="17"/>
              </w:rPr>
              <w:t>Published configuration artifacts are immutable. Changes create new versions.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SF-008</w:t>
            </w:r>
          </w:p>
        </w:tc>
        <w:tc>
          <w:tcPr>
            <w:tcW w:type="dxa" w:w="8784"/>
            <w:vAlign w:val="center"/>
            <w:tcMar>
              <w:top w:w="90" w:type="dxa"/>
              <w:start w:w="100" w:type="dxa"/>
              <w:bottom w:w="90" w:type="dxa"/>
              <w:end w:w="100" w:type="dxa"/>
            </w:tcMar>
          </w:tcPr>
          <w:p>
            <w:pPr>
              <w:spacing w:after="40" w:before="40"/>
            </w:pPr>
            <w:r>
              <w:rPr>
                <w:sz w:val="17"/>
              </w:rPr>
              <w:t>Every application pins exact service, form, rules, workflow, evidence, fee/SLA and credential-template versions required to reproduce the decision path.</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SF-009</w:t>
            </w:r>
          </w:p>
        </w:tc>
        <w:tc>
          <w:tcPr>
            <w:tcW w:type="dxa" w:w="8784"/>
            <w:vAlign w:val="center"/>
            <w:tcMar>
              <w:top w:w="90" w:type="dxa"/>
              <w:start w:w="100" w:type="dxa"/>
              <w:bottom w:w="90" w:type="dxa"/>
              <w:end w:w="100" w:type="dxa"/>
            </w:tcMar>
          </w:tcPr>
          <w:p>
            <w:pPr>
              <w:spacing w:after="40" w:before="40"/>
            </w:pPr>
            <w:r>
              <w:rPr>
                <w:sz w:val="17"/>
              </w:rPr>
              <w:t>Every material authoritative state change is transactional, audited and emits a versioned event through the transactional outbox.</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SF-010</w:t>
            </w:r>
          </w:p>
        </w:tc>
        <w:tc>
          <w:tcPr>
            <w:tcW w:type="dxa" w:w="8784"/>
            <w:vAlign w:val="center"/>
            <w:tcMar>
              <w:top w:w="90" w:type="dxa"/>
              <w:start w:w="100" w:type="dxa"/>
              <w:bottom w:w="90" w:type="dxa"/>
              <w:end w:w="100" w:type="dxa"/>
            </w:tcMar>
          </w:tcPr>
          <w:p>
            <w:pPr>
              <w:spacing w:after="40" w:before="40"/>
            </w:pPr>
            <w:r>
              <w:rPr>
                <w:sz w:val="17"/>
              </w:rPr>
              <w:t>External side effects are idempotent and retry-safe.</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SF-011</w:t>
            </w:r>
          </w:p>
        </w:tc>
        <w:tc>
          <w:tcPr>
            <w:tcW w:type="dxa" w:w="8784"/>
            <w:vAlign w:val="center"/>
            <w:tcMar>
              <w:top w:w="90" w:type="dxa"/>
              <w:start w:w="100" w:type="dxa"/>
              <w:bottom w:w="90" w:type="dxa"/>
              <w:end w:w="100" w:type="dxa"/>
            </w:tcMar>
          </w:tcPr>
          <w:p>
            <w:pPr>
              <w:spacing w:after="40" w:before="40"/>
            </w:pPr>
            <w:r>
              <w:rPr>
                <w:sz w:val="17"/>
              </w:rPr>
              <w:t>Rules/eligibility decisions are deterministic and explainable; LLM output alone cannot establish statutory eligibility.</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SF-012</w:t>
            </w:r>
          </w:p>
        </w:tc>
        <w:tc>
          <w:tcPr>
            <w:tcW w:type="dxa" w:w="8784"/>
            <w:vAlign w:val="center"/>
            <w:tcMar>
              <w:top w:w="90" w:type="dxa"/>
              <w:start w:w="100" w:type="dxa"/>
              <w:bottom w:w="90" w:type="dxa"/>
              <w:end w:w="100" w:type="dxa"/>
            </w:tcMar>
          </w:tcPr>
          <w:p>
            <w:pPr>
              <w:spacing w:after="40" w:before="40"/>
            </w:pPr>
            <w:r>
              <w:rPr>
                <w:sz w:val="17"/>
              </w:rPr>
              <w:t>AI cannot independently approve or reject a statutory application.</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SF-013</w:t>
            </w:r>
          </w:p>
        </w:tc>
        <w:tc>
          <w:tcPr>
            <w:tcW w:type="dxa" w:w="8784"/>
            <w:vAlign w:val="center"/>
            <w:tcMar>
              <w:top w:w="90" w:type="dxa"/>
              <w:start w:w="100" w:type="dxa"/>
              <w:bottom w:w="90" w:type="dxa"/>
              <w:end w:w="100" w:type="dxa"/>
            </w:tcMar>
          </w:tcPr>
          <w:p>
            <w:pPr>
              <w:spacing w:after="40" w:before="40"/>
            </w:pPr>
            <w:r>
              <w:rPr>
                <w:sz w:val="17"/>
              </w:rPr>
              <w:t>Workflow design resolves tasks by role + organisation/office + jurisdiction + service scope, not named officials.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SF-014</w:t>
            </w:r>
          </w:p>
        </w:tc>
        <w:tc>
          <w:tcPr>
            <w:tcW w:type="dxa" w:w="8784"/>
            <w:vAlign w:val="center"/>
            <w:tcMar>
              <w:top w:w="90" w:type="dxa"/>
              <w:start w:w="100" w:type="dxa"/>
              <w:bottom w:w="90" w:type="dxa"/>
              <w:end w:w="100" w:type="dxa"/>
            </w:tcMar>
          </w:tcPr>
          <w:p>
            <w:pPr>
              <w:spacing w:after="40" w:before="40"/>
            </w:pPr>
            <w:r>
              <w:rPr>
                <w:sz w:val="17"/>
              </w:rPr>
              <w:t>Search, cache and analytics stores are derived and are never systems of record.</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SF-015</w:t>
            </w:r>
          </w:p>
        </w:tc>
        <w:tc>
          <w:tcPr>
            <w:tcW w:type="dxa" w:w="8784"/>
            <w:vAlign w:val="center"/>
            <w:tcMar>
              <w:top w:w="90" w:type="dxa"/>
              <w:start w:w="100" w:type="dxa"/>
              <w:bottom w:w="90" w:type="dxa"/>
              <w:end w:w="100" w:type="dxa"/>
            </w:tcMar>
          </w:tcPr>
          <w:p>
            <w:pPr>
              <w:spacing w:after="40" w:before="40"/>
            </w:pPr>
            <w:r>
              <w:rPr>
                <w:sz w:val="17"/>
              </w:rPr>
              <w:t>No PII, evidence content, secrets or access tokens may appear in ordinary application logs.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SF-016</w:t>
            </w:r>
          </w:p>
        </w:tc>
        <w:tc>
          <w:tcPr>
            <w:tcW w:type="dxa" w:w="8784"/>
            <w:vAlign w:val="center"/>
            <w:tcMar>
              <w:top w:w="90" w:type="dxa"/>
              <w:start w:w="100" w:type="dxa"/>
              <w:bottom w:w="90" w:type="dxa"/>
              <w:end w:w="100" w:type="dxa"/>
            </w:tcMar>
          </w:tcPr>
          <w:p>
            <w:pPr>
              <w:spacing w:after="40" w:before="40"/>
            </w:pPr>
            <w:r>
              <w:rPr>
                <w:sz w:val="17"/>
              </w:rPr>
              <w:t>Every public/internal API follows the approved versioning, error, idempotency and correlation standards.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SF-017</w:t>
            </w:r>
          </w:p>
        </w:tc>
        <w:tc>
          <w:tcPr>
            <w:tcW w:type="dxa" w:w="8784"/>
            <w:vAlign w:val="center"/>
            <w:tcMar>
              <w:top w:w="90" w:type="dxa"/>
              <w:start w:w="100" w:type="dxa"/>
              <w:bottom w:w="90" w:type="dxa"/>
              <w:end w:w="100" w:type="dxa"/>
            </w:tcMar>
          </w:tcPr>
          <w:p>
            <w:pPr>
              <w:spacing w:after="40" w:before="40"/>
            </w:pPr>
            <w:r>
              <w:rPr>
                <w:sz w:val="17"/>
              </w:rPr>
              <w:t>Every new persistent entity declares data classification and isolation class before implementation.</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SF-018</w:t>
            </w:r>
          </w:p>
        </w:tc>
        <w:tc>
          <w:tcPr>
            <w:tcW w:type="dxa" w:w="8784"/>
            <w:vAlign w:val="center"/>
            <w:tcMar>
              <w:top w:w="90" w:type="dxa"/>
              <w:start w:w="100" w:type="dxa"/>
              <w:bottom w:w="90" w:type="dxa"/>
              <w:end w:w="100" w:type="dxa"/>
            </w:tcMar>
          </w:tcPr>
          <w:p>
            <w:pPr>
              <w:spacing w:after="40" w:before="40"/>
            </w:pPr>
            <w:r>
              <w:rPr>
                <w:sz w:val="17"/>
              </w:rPr>
              <w:t>Every sensitive field declares purpose, access policy, masking and retention behavior.</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SF-019</w:t>
            </w:r>
          </w:p>
        </w:tc>
        <w:tc>
          <w:tcPr>
            <w:tcW w:type="dxa" w:w="8784"/>
            <w:vAlign w:val="center"/>
            <w:tcMar>
              <w:top w:w="90" w:type="dxa"/>
              <w:start w:w="100" w:type="dxa"/>
              <w:bottom w:w="90" w:type="dxa"/>
              <w:end w:w="100" w:type="dxa"/>
            </w:tcMar>
          </w:tcPr>
          <w:p>
            <w:pPr>
              <w:spacing w:after="40" w:before="40"/>
            </w:pPr>
            <w:r>
              <w:rPr>
                <w:sz w:val="17"/>
              </w:rPr>
              <w:t>Every feature has observable success/failure/latency metrics and correlation IDs.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SF-020</w:t>
            </w:r>
          </w:p>
        </w:tc>
        <w:tc>
          <w:tcPr>
            <w:tcW w:type="dxa" w:w="8784"/>
            <w:vAlign w:val="center"/>
            <w:tcMar>
              <w:top w:w="90" w:type="dxa"/>
              <w:start w:w="100" w:type="dxa"/>
              <w:bottom w:w="90" w:type="dxa"/>
              <w:end w:w="100" w:type="dxa"/>
            </w:tcMar>
          </w:tcPr>
          <w:p>
            <w:pPr>
              <w:spacing w:after="40" w:before="40"/>
            </w:pPr>
            <w:r>
              <w:rPr>
                <w:sz w:val="17"/>
              </w:rPr>
              <w:t>Every requirement has traceability to code/tests; merged code must identify applicable requirement IDs.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SF-021</w:t>
            </w:r>
          </w:p>
        </w:tc>
        <w:tc>
          <w:tcPr>
            <w:tcW w:type="dxa" w:w="8784"/>
            <w:vAlign w:val="center"/>
            <w:tcMar>
              <w:top w:w="90" w:type="dxa"/>
              <w:start w:w="100" w:type="dxa"/>
              <w:bottom w:w="90" w:type="dxa"/>
              <w:end w:w="100" w:type="dxa"/>
            </w:tcMar>
          </w:tcPr>
          <w:p>
            <w:pPr>
              <w:spacing w:after="40" w:before="40"/>
            </w:pPr>
            <w:r>
              <w:rPr>
                <w:sz w:val="17"/>
              </w:rPr>
              <w:t>Negative cross-tenant tests are mandatory for every tenant-owned domain and repository.</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SF-022</w:t>
            </w:r>
          </w:p>
        </w:tc>
        <w:tc>
          <w:tcPr>
            <w:tcW w:type="dxa" w:w="8784"/>
            <w:vAlign w:val="center"/>
            <w:tcMar>
              <w:top w:w="90" w:type="dxa"/>
              <w:start w:w="100" w:type="dxa"/>
              <w:bottom w:w="90" w:type="dxa"/>
              <w:end w:w="100" w:type="dxa"/>
            </w:tcMar>
          </w:tcPr>
          <w:p>
            <w:pPr>
              <w:spacing w:after="40" w:before="40"/>
            </w:pPr>
            <w:r>
              <w:rPr>
                <w:sz w:val="17"/>
              </w:rPr>
              <w:t>Material architectural changes require an accepted ADR.</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SF-023</w:t>
            </w:r>
          </w:p>
        </w:tc>
        <w:tc>
          <w:tcPr>
            <w:tcW w:type="dxa" w:w="8784"/>
            <w:vAlign w:val="center"/>
            <w:tcMar>
              <w:top w:w="90" w:type="dxa"/>
              <w:start w:w="100" w:type="dxa"/>
              <w:bottom w:w="90" w:type="dxa"/>
              <w:end w:w="100" w:type="dxa"/>
            </w:tcMar>
          </w:tcPr>
          <w:p>
            <w:pPr>
              <w:spacing w:after="40" w:before="40"/>
            </w:pPr>
            <w:r>
              <w:rPr>
                <w:sz w:val="17"/>
              </w:rPr>
              <w:t>AI agents may not add a database, message broker, search engine, identity provider or infrastructure service without approved ADR.</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SF-024</w:t>
            </w:r>
          </w:p>
        </w:tc>
        <w:tc>
          <w:tcPr>
            <w:tcW w:type="dxa" w:w="8784"/>
            <w:vAlign w:val="center"/>
            <w:tcMar>
              <w:top w:w="90" w:type="dxa"/>
              <w:start w:w="100" w:type="dxa"/>
              <w:bottom w:w="90" w:type="dxa"/>
              <w:end w:w="100" w:type="dxa"/>
            </w:tcMar>
          </w:tcPr>
          <w:p>
            <w:pPr>
              <w:spacing w:after="40" w:before="40"/>
            </w:pPr>
            <w:r>
              <w:rPr>
                <w:sz w:val="17"/>
              </w:rPr>
              <w:t>Database/domain identifiers are stable UUID/ULID-style identifiers and are not implementation-specific sequence numbers in external contracts.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SF-025</w:t>
            </w:r>
          </w:p>
        </w:tc>
        <w:tc>
          <w:tcPr>
            <w:tcW w:type="dxa" w:w="8784"/>
            <w:vAlign w:val="center"/>
            <w:tcMar>
              <w:top w:w="90" w:type="dxa"/>
              <w:start w:w="100" w:type="dxa"/>
              <w:bottom w:w="90" w:type="dxa"/>
              <w:end w:w="100" w:type="dxa"/>
            </w:tcMar>
          </w:tcPr>
          <w:p>
            <w:pPr>
              <w:spacing w:after="40" w:before="40"/>
            </w:pPr>
            <w:r>
              <w:rPr>
                <w:sz w:val="17"/>
              </w:rPr>
              <w:t>Temporal persistence is isolated from ServiceForm authoritative business persistence.</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SF-026</w:t>
            </w:r>
          </w:p>
        </w:tc>
        <w:tc>
          <w:tcPr>
            <w:tcW w:type="dxa" w:w="8784"/>
            <w:vAlign w:val="center"/>
            <w:tcMar>
              <w:top w:w="90" w:type="dxa"/>
              <w:start w:w="100" w:type="dxa"/>
              <w:bottom w:w="90" w:type="dxa"/>
              <w:end w:w="100" w:type="dxa"/>
            </w:tcMar>
          </w:tcPr>
          <w:p>
            <w:pPr>
              <w:spacing w:after="40" w:before="40"/>
            </w:pPr>
            <w:r>
              <w:rPr>
                <w:sz w:val="17"/>
              </w:rPr>
              <w:t>Feature flags control staged rollout; unfinished behavior must not be hidden behind tenant-name conditionals.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SF-027</w:t>
            </w:r>
          </w:p>
        </w:tc>
        <w:tc>
          <w:tcPr>
            <w:tcW w:type="dxa" w:w="8784"/>
            <w:vAlign w:val="center"/>
            <w:tcMar>
              <w:top w:w="90" w:type="dxa"/>
              <w:start w:w="100" w:type="dxa"/>
              <w:bottom w:w="90" w:type="dxa"/>
              <w:end w:w="100" w:type="dxa"/>
            </w:tcMar>
          </w:tcPr>
          <w:p>
            <w:pPr>
              <w:spacing w:after="40" w:before="40"/>
            </w:pPr>
            <w:r>
              <w:rPr>
                <w:sz w:val="17"/>
              </w:rPr>
              <w:t>Configuration publishing is maker-checker controlled and produces immutable versioned artifacts.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SF-028</w:t>
            </w:r>
          </w:p>
        </w:tc>
        <w:tc>
          <w:tcPr>
            <w:tcW w:type="dxa" w:w="8784"/>
            <w:vAlign w:val="center"/>
            <w:tcMar>
              <w:top w:w="90" w:type="dxa"/>
              <w:start w:w="100" w:type="dxa"/>
              <w:bottom w:w="90" w:type="dxa"/>
              <w:end w:w="100" w:type="dxa"/>
            </w:tcMar>
          </w:tcPr>
          <w:p>
            <w:pPr>
              <w:spacing w:after="40" w:before="40"/>
            </w:pPr>
            <w:r>
              <w:rPr>
                <w:sz w:val="17"/>
              </w:rPr>
              <w:t>Every breaking API/event/schema change requires explicit versioning and migration compatibility plan.</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SF-029</w:t>
            </w:r>
          </w:p>
        </w:tc>
        <w:tc>
          <w:tcPr>
            <w:tcW w:type="dxa" w:w="8784"/>
            <w:vAlign w:val="center"/>
            <w:tcMar>
              <w:top w:w="90" w:type="dxa"/>
              <w:start w:w="100" w:type="dxa"/>
              <w:bottom w:w="90" w:type="dxa"/>
              <w:end w:w="100" w:type="dxa"/>
            </w:tcMar>
          </w:tcPr>
          <w:p>
            <w:pPr>
              <w:spacing w:after="40" w:before="40"/>
            </w:pPr>
            <w:r>
              <w:rPr>
                <w:sz w:val="17"/>
              </w:rPr>
              <w:t>Reference/master data is governed centrally and is not duplicated as divergent source-code enums.</w:t>
            </w:r>
          </w:p>
        </w:tc>
      </w:tr>
      <w:tr>
        <w:trPr>
          <w:cantSplit/>
        </w:trPr>
        <w:tc>
          <w:tcPr>
            <w:tcW w:type="dxa" w:w="1440"/>
            <w:vAlign w:val="center"/>
            <w:tcMar>
              <w:top w:w="90" w:type="dxa"/>
              <w:start w:w="100" w:type="dxa"/>
              <w:bottom w:w="90" w:type="dxa"/>
              <w:end w:w="100" w:type="dxa"/>
            </w:tcMar>
            <w:shd w:fill="EAF2F8"/>
          </w:tcPr>
          <w:p>
            <w:pPr>
              <w:spacing w:after="40" w:before="40"/>
            </w:pPr>
            <w:r>
              <w:rPr>
                <w:b/>
                <w:sz w:val="17"/>
              </w:rPr>
              <w:t>SF-030</w:t>
            </w:r>
          </w:p>
        </w:tc>
        <w:tc>
          <w:tcPr>
            <w:tcW w:type="dxa" w:w="8784"/>
            <w:vAlign w:val="center"/>
            <w:tcMar>
              <w:top w:w="90" w:type="dxa"/>
              <w:start w:w="100" w:type="dxa"/>
              <w:bottom w:w="90" w:type="dxa"/>
              <w:end w:w="100" w:type="dxa"/>
            </w:tcMar>
          </w:tcPr>
          <w:p>
            <w:pPr>
              <w:spacing w:after="40" w:before="40"/>
            </w:pPr>
            <w:r>
              <w:rPr>
                <w:sz w:val="17"/>
              </w:rPr>
              <w:t>A second service should normally be onboarded by configuration. Service-specific backend code is an architecture exception requiring review.</w:t>
            </w:r>
          </w:p>
        </w:tc>
      </w:tr>
    </w:tbl>
    <w:p>
      <w:pPr>
        <w:pStyle w:val="Heading2"/>
      </w:pPr>
      <w:r>
        <w:t>11.4 Code and repository standards for AI agents</w:t>
      </w:r>
    </w:p>
    <w:p>
      <w:pPr>
        <w:pStyle w:val="ListBullet"/>
        <w:ind w:left="360"/>
      </w:pPr>
      <w:r>
        <w:t>Use domain repositories/query interfaces; do not scatter raw SQL or ORM queries through controllers and UI code.</w:t>
      </w:r>
    </w:p>
    <w:p>
      <w:pPr>
        <w:pStyle w:val="ListBullet"/>
        <w:ind w:left="360"/>
      </w:pPr>
      <w:r>
        <w:t>Validate external input at service boundaries using versioned schemas. Internal domain objects are constructed only after validation.</w:t>
      </w:r>
    </w:p>
    <w:p>
      <w:pPr>
        <w:pStyle w:val="ListBullet"/>
        <w:ind w:left="360"/>
      </w:pPr>
      <w:r>
        <w:t>Keep controllers thin: authentication/context resolution -&gt; validation -&gt; application service -&gt; response mapping.</w:t>
      </w:r>
    </w:p>
    <w:p>
      <w:pPr>
        <w:pStyle w:val="ListBullet"/>
        <w:ind w:left="360"/>
      </w:pPr>
      <w:r>
        <w:t>Business invariants live in domain/application services, not React components, controllers, SQL triggers or workflow glue code.</w:t>
      </w:r>
    </w:p>
    <w:p>
      <w:pPr>
        <w:pStyle w:val="ListBullet"/>
        <w:ind w:left="360"/>
      </w:pPr>
      <w:r>
        <w:t>Database migrations are forward-controlled, reviewable and reversible where practical. Production schema drift is forbidden.</w:t>
      </w:r>
    </w:p>
    <w:p>
      <w:pPr>
        <w:pStyle w:val="ListBullet"/>
        <w:ind w:left="360"/>
      </w:pPr>
      <w:r>
        <w:t>No direct cross-service table access. Shared physical PostgreSQL does not mean shared ownership of tables.</w:t>
      </w:r>
    </w:p>
    <w:p>
      <w:pPr>
        <w:pStyle w:val="ListBullet"/>
        <w:ind w:left="360"/>
      </w:pPr>
      <w:r>
        <w:t>Use structured errors and stable codes; never leak stack traces/database errors to citizen clients.</w:t>
      </w:r>
    </w:p>
    <w:p>
      <w:pPr>
        <w:pStyle w:val="ListBullet"/>
        <w:ind w:left="360"/>
      </w:pPr>
      <w:r>
        <w:t>All network calls define timeout, retry policy, circuit-breaker behavior and idempotency expectations.</w:t>
      </w:r>
    </w:p>
    <w:p>
      <w:pPr>
        <w:pStyle w:val="ListBullet"/>
        <w:ind w:left="360"/>
      </w:pPr>
      <w:r>
        <w:t>New dependencies require license/security/maintenance review; prefer the approved stack before adding alternatives.</w:t>
      </w:r>
    </w:p>
    <w:p>
      <w:r>
        <w:br w:type="page"/>
      </w:r>
    </w:p>
    <w:p>
      <w:pPr>
        <w:pStyle w:val="Heading1"/>
      </w:pPr>
      <w:r>
        <w:t>12. Application &amp; Case Lifecycle State Machine</w:t>
      </w:r>
    </w:p>
    <w:tbl>
      <w:tblPr>
        <w:tblW w:type="auto" w:w="0"/>
        <w:tblLook w:firstColumn="1" w:firstRow="1" w:lastColumn="0" w:lastRow="0" w:noHBand="0" w:noVBand="1" w:val="04A0"/>
      </w:tblPr>
      <w:tblGrid>
        <w:gridCol w:w="10166"/>
      </w:tblGrid>
      <w:tr>
        <w:trPr>
          <w:cantSplit/>
        </w:trPr>
        <w:tc>
          <w:tcPr>
            <w:tcW w:type="dxa" w:w="10166"/>
            <w:shd w:fill="FFF2CC"/>
            <w:tcMar>
              <w:top w:w="120" w:type="dxa"/>
              <w:start w:w="130" w:type="dxa"/>
              <w:bottom w:w="120" w:type="dxa"/>
              <w:end w:w="130" w:type="dxa"/>
            </w:tcMar>
          </w:tcPr>
          <w:p>
            <w:r>
              <w:rPr>
                <w:sz w:val="19"/>
              </w:rPr>
            </w:r>
            <w:r>
              <w:rPr>
                <w:b/>
                <w:sz w:val="19"/>
              </w:rPr>
              <w:t>The application state machine is authoritative. Workflow engine history and task status support processing but cannot invent application states outside this contract.</w:t>
            </w:r>
          </w:p>
        </w:tc>
      </w:tr>
    </w:tbl>
    <w:p>
      <w:pPr>
        <w:pStyle w:val="Heading2"/>
      </w:pPr>
      <w:r>
        <w:t>12.1 Canonical application lifecycle</w:t>
      </w:r>
    </w:p>
    <w:p>
      <w:pPr>
        <w:spacing w:before="80" w:after="120"/>
        <w:ind w:left="360" w:right="144"/>
        <w:shd w:fill="F4F6F7"/>
      </w:pPr>
      <w:r>
        <w:rPr>
          <w:rFonts w:ascii="Courier New" w:hAnsi="Courier New"/>
          <w:sz w:val="16"/>
        </w:rPr>
        <w:t>DRAFT</w:t>
        <w:br/>
        <w:t xml:space="preserve">  -&gt; READY_TO_SUBMIT</w:t>
        <w:br/>
        <w:t xml:space="preserve">  -&gt; SUBMITTED</w:t>
        <w:br/>
        <w:t xml:space="preserve">  -&gt; PAYMENT_PENDING (optional)</w:t>
        <w:br/>
        <w:t xml:space="preserve">  -&gt; RECEIVED</w:t>
        <w:br/>
        <w:t xml:space="preserve">  -&gt; UNDER_SCRUTINY</w:t>
        <w:br/>
        <w:t xml:space="preserve">       -&gt; DEFICIENCY_RAISED -&gt; CITIZEN_RESPONSE -&gt; UNDER_SCRUTINY</w:t>
        <w:br/>
        <w:t xml:space="preserve">       -&gt; VERIFICATION (optional)</w:t>
        <w:br/>
        <w:t xml:space="preserve">       -&gt; DECISION_PENDING</w:t>
        <w:br/>
        <w:t xml:space="preserve">             -&gt; REJECTED</w:t>
        <w:br/>
        <w:t xml:space="preserve">             -&gt; APPROVED -&gt; SIGNING_PENDING -&gt; ISSUED -&gt; CLOSED</w:t>
        <w:br/>
        <w:t xml:space="preserve">  -&gt; WITHDRAWN (where policy permits)</w:t>
        <w:br/>
        <w:t xml:space="preserve">  -&gt; CANCELLED (administrative exceptional path)</w:t>
      </w:r>
    </w:p>
    <w:tbl>
      <w:tblPr>
        <w:tblW w:type="auto" w:w="0"/>
        <w:tblLayout w:type="autofit"/>
        <w:tblLook w:firstColumn="1" w:firstRow="1" w:lastColumn="0" w:lastRow="0" w:noHBand="0" w:noVBand="1" w:val="04A0"/>
      </w:tblPr>
      <w:tblGrid>
        <w:gridCol w:w="2541"/>
        <w:gridCol w:w="2541"/>
        <w:gridCol w:w="2541"/>
        <w:gridCol w:w="2541"/>
      </w:tblGrid>
      <w:tr>
        <w:trPr>
          <w:cantSplit/>
        </w:trPr>
        <w:tc>
          <w:tcPr>
            <w:tcW w:type="dxa" w:w="1800"/>
            <w:vAlign w:val="center"/>
            <w:tcMar>
              <w:top w:w="90" w:type="dxa"/>
              <w:start w:w="100" w:type="dxa"/>
              <w:bottom w:w="90" w:type="dxa"/>
              <w:end w:w="100" w:type="dxa"/>
            </w:tcMar>
            <w:shd w:fill="1F4E78"/>
          </w:tcPr>
          <w:p>
            <w:pPr>
              <w:spacing w:after="40" w:before="40"/>
            </w:pPr>
            <w:r>
              <w:rPr>
                <w:b/>
                <w:color w:val="FFFFFF"/>
                <w:sz w:val="17"/>
              </w:rPr>
              <w:t>State</w:t>
            </w:r>
          </w:p>
        </w:tc>
        <w:tc>
          <w:tcPr>
            <w:tcW w:type="dxa" w:w="1728"/>
            <w:vAlign w:val="center"/>
            <w:tcMar>
              <w:top w:w="90" w:type="dxa"/>
              <w:start w:w="100" w:type="dxa"/>
              <w:bottom w:w="90" w:type="dxa"/>
              <w:end w:w="100" w:type="dxa"/>
            </w:tcMar>
            <w:shd w:fill="1F4E78"/>
          </w:tcPr>
          <w:p>
            <w:pPr>
              <w:spacing w:after="40" w:before="40"/>
            </w:pPr>
            <w:r>
              <w:rPr>
                <w:b/>
                <w:color w:val="FFFFFF"/>
                <w:sz w:val="17"/>
              </w:rPr>
              <w:t>Primary actor</w:t>
            </w:r>
          </w:p>
        </w:tc>
        <w:tc>
          <w:tcPr>
            <w:tcW w:type="dxa" w:w="4608"/>
            <w:vAlign w:val="center"/>
            <w:tcMar>
              <w:top w:w="90" w:type="dxa"/>
              <w:start w:w="100" w:type="dxa"/>
              <w:bottom w:w="90" w:type="dxa"/>
              <w:end w:w="100" w:type="dxa"/>
            </w:tcMar>
            <w:shd w:fill="1F4E78"/>
          </w:tcPr>
          <w:p>
            <w:pPr>
              <w:spacing w:after="40" w:before="40"/>
            </w:pPr>
            <w:r>
              <w:rPr>
                <w:b/>
                <w:color w:val="FFFFFF"/>
                <w:sz w:val="17"/>
              </w:rPr>
              <w:t>Meaning</w:t>
            </w:r>
          </w:p>
        </w:tc>
        <w:tc>
          <w:tcPr>
            <w:tcW w:type="dxa" w:w="2448"/>
            <w:vAlign w:val="center"/>
            <w:tcMar>
              <w:top w:w="90" w:type="dxa"/>
              <w:start w:w="100" w:type="dxa"/>
              <w:bottom w:w="90" w:type="dxa"/>
              <w:end w:w="100" w:type="dxa"/>
            </w:tcMar>
            <w:shd w:fill="1F4E78"/>
          </w:tcPr>
          <w:p>
            <w:pPr>
              <w:spacing w:after="40" w:before="40"/>
            </w:pPr>
            <w:r>
              <w:rPr>
                <w:b/>
                <w:color w:val="FFFFFF"/>
                <w:sz w:val="17"/>
              </w:rPr>
              <w:t>Allowed next states</w:t>
            </w:r>
          </w:p>
        </w:tc>
      </w:tr>
      <w:tr>
        <w:trPr>
          <w:cantSplit/>
        </w:trPr>
        <w:tc>
          <w:tcPr>
            <w:tcW w:type="dxa" w:w="1800"/>
            <w:vAlign w:val="center"/>
            <w:tcMar>
              <w:top w:w="90" w:type="dxa"/>
              <w:start w:w="100" w:type="dxa"/>
              <w:bottom w:w="90" w:type="dxa"/>
              <w:end w:w="100" w:type="dxa"/>
            </w:tcMar>
          </w:tcPr>
          <w:p>
            <w:pPr>
              <w:spacing w:after="40" w:before="40"/>
            </w:pPr>
            <w:r>
              <w:rPr>
                <w:sz w:val="17"/>
              </w:rPr>
              <w:t>DRAFT</w:t>
            </w:r>
          </w:p>
        </w:tc>
        <w:tc>
          <w:tcPr>
            <w:tcW w:type="dxa" w:w="1728"/>
            <w:vAlign w:val="center"/>
            <w:tcMar>
              <w:top w:w="90" w:type="dxa"/>
              <w:start w:w="100" w:type="dxa"/>
              <w:bottom w:w="90" w:type="dxa"/>
              <w:end w:w="100" w:type="dxa"/>
            </w:tcMar>
          </w:tcPr>
          <w:p>
            <w:pPr>
              <w:spacing w:after="40" w:before="40"/>
            </w:pPr>
            <w:r>
              <w:rPr>
                <w:sz w:val="17"/>
              </w:rPr>
              <w:t>Citizen/assistant</w:t>
            </w:r>
          </w:p>
        </w:tc>
        <w:tc>
          <w:tcPr>
            <w:tcW w:type="dxa" w:w="4608"/>
            <w:vAlign w:val="center"/>
            <w:tcMar>
              <w:top w:w="90" w:type="dxa"/>
              <w:start w:w="100" w:type="dxa"/>
              <w:bottom w:w="90" w:type="dxa"/>
              <w:end w:w="100" w:type="dxa"/>
            </w:tcMar>
          </w:tcPr>
          <w:p>
            <w:pPr>
              <w:spacing w:after="40" w:before="40"/>
            </w:pPr>
            <w:r>
              <w:rPr>
                <w:sz w:val="17"/>
              </w:rPr>
              <w:t>Application exists but is not submitted. Editable according to draft policy.</w:t>
            </w:r>
          </w:p>
        </w:tc>
        <w:tc>
          <w:tcPr>
            <w:tcW w:type="dxa" w:w="2448"/>
            <w:vAlign w:val="center"/>
            <w:tcMar>
              <w:top w:w="90" w:type="dxa"/>
              <w:start w:w="100" w:type="dxa"/>
              <w:bottom w:w="90" w:type="dxa"/>
              <w:end w:w="100" w:type="dxa"/>
            </w:tcMar>
          </w:tcPr>
          <w:p>
            <w:pPr>
              <w:spacing w:after="40" w:before="40"/>
            </w:pPr>
            <w:r>
              <w:rPr>
                <w:sz w:val="17"/>
              </w:rPr>
              <w:t>READY_TO_SUBMIT, WITHDRAWN</w:t>
            </w:r>
          </w:p>
        </w:tc>
      </w:tr>
      <w:tr>
        <w:trPr>
          <w:cantSplit/>
        </w:trPr>
        <w:tc>
          <w:tcPr>
            <w:tcW w:type="dxa" w:w="1800"/>
            <w:vAlign w:val="center"/>
            <w:tcMar>
              <w:top w:w="90" w:type="dxa"/>
              <w:start w:w="100" w:type="dxa"/>
              <w:bottom w:w="90" w:type="dxa"/>
              <w:end w:w="100" w:type="dxa"/>
            </w:tcMar>
          </w:tcPr>
          <w:p>
            <w:pPr>
              <w:spacing w:after="40" w:before="40"/>
            </w:pPr>
            <w:r>
              <w:rPr>
                <w:sz w:val="17"/>
              </w:rPr>
              <w:t>READY_TO_SUBMIT</w:t>
            </w:r>
          </w:p>
        </w:tc>
        <w:tc>
          <w:tcPr>
            <w:tcW w:type="dxa" w:w="1728"/>
            <w:vAlign w:val="center"/>
            <w:tcMar>
              <w:top w:w="90" w:type="dxa"/>
              <w:start w:w="100" w:type="dxa"/>
              <w:bottom w:w="90" w:type="dxa"/>
              <w:end w:w="100" w:type="dxa"/>
            </w:tcMar>
          </w:tcPr>
          <w:p>
            <w:pPr>
              <w:spacing w:after="40" w:before="40"/>
            </w:pPr>
            <w:r>
              <w:rPr>
                <w:sz w:val="17"/>
              </w:rPr>
              <w:t>Citizen</w:t>
            </w:r>
          </w:p>
        </w:tc>
        <w:tc>
          <w:tcPr>
            <w:tcW w:type="dxa" w:w="4608"/>
            <w:vAlign w:val="center"/>
            <w:tcMar>
              <w:top w:w="90" w:type="dxa"/>
              <w:start w:w="100" w:type="dxa"/>
              <w:bottom w:w="90" w:type="dxa"/>
              <w:end w:w="100" w:type="dxa"/>
            </w:tcMar>
          </w:tcPr>
          <w:p>
            <w:pPr>
              <w:spacing w:after="40" w:before="40"/>
            </w:pPr>
            <w:r>
              <w:rPr>
                <w:sz w:val="17"/>
              </w:rPr>
              <w:t>Schema/evidence prechecks complete; citizen may submit.</w:t>
            </w:r>
          </w:p>
        </w:tc>
        <w:tc>
          <w:tcPr>
            <w:tcW w:type="dxa" w:w="2448"/>
            <w:vAlign w:val="center"/>
            <w:tcMar>
              <w:top w:w="90" w:type="dxa"/>
              <w:start w:w="100" w:type="dxa"/>
              <w:bottom w:w="90" w:type="dxa"/>
              <w:end w:w="100" w:type="dxa"/>
            </w:tcMar>
          </w:tcPr>
          <w:p>
            <w:pPr>
              <w:spacing w:after="40" w:before="40"/>
            </w:pPr>
            <w:r>
              <w:rPr>
                <w:sz w:val="17"/>
              </w:rPr>
              <w:t>SUBMITTED, DRAFT, WITHDRAWN</w:t>
            </w:r>
          </w:p>
        </w:tc>
      </w:tr>
      <w:tr>
        <w:trPr>
          <w:cantSplit/>
        </w:trPr>
        <w:tc>
          <w:tcPr>
            <w:tcW w:type="dxa" w:w="1800"/>
            <w:vAlign w:val="center"/>
            <w:tcMar>
              <w:top w:w="90" w:type="dxa"/>
              <w:start w:w="100" w:type="dxa"/>
              <w:bottom w:w="90" w:type="dxa"/>
              <w:end w:w="100" w:type="dxa"/>
            </w:tcMar>
          </w:tcPr>
          <w:p>
            <w:pPr>
              <w:spacing w:after="40" w:before="40"/>
            </w:pPr>
            <w:r>
              <w:rPr>
                <w:sz w:val="17"/>
              </w:rPr>
              <w:t>SUBMITTED</w:t>
            </w:r>
          </w:p>
        </w:tc>
        <w:tc>
          <w:tcPr>
            <w:tcW w:type="dxa" w:w="1728"/>
            <w:vAlign w:val="center"/>
            <w:tcMar>
              <w:top w:w="90" w:type="dxa"/>
              <w:start w:w="100" w:type="dxa"/>
              <w:bottom w:w="90" w:type="dxa"/>
              <w:end w:w="100" w:type="dxa"/>
            </w:tcMar>
          </w:tcPr>
          <w:p>
            <w:pPr>
              <w:spacing w:after="40" w:before="40"/>
            </w:pPr>
            <w:r>
              <w:rPr>
                <w:sz w:val="17"/>
              </w:rPr>
              <w:t>System</w:t>
            </w:r>
          </w:p>
        </w:tc>
        <w:tc>
          <w:tcPr>
            <w:tcW w:type="dxa" w:w="4608"/>
            <w:vAlign w:val="center"/>
            <w:tcMar>
              <w:top w:w="90" w:type="dxa"/>
              <w:start w:w="100" w:type="dxa"/>
              <w:bottom w:w="90" w:type="dxa"/>
              <w:end w:w="100" w:type="dxa"/>
            </w:tcMar>
          </w:tcPr>
          <w:p>
            <w:pPr>
              <w:spacing w:after="40" w:before="40"/>
            </w:pPr>
            <w:r>
              <w:rPr>
                <w:sz w:val="17"/>
              </w:rPr>
              <w:t>Submission accepted transactionally; application becomes immutable except controlled amendment/deficiency paths.</w:t>
            </w:r>
          </w:p>
        </w:tc>
        <w:tc>
          <w:tcPr>
            <w:tcW w:type="dxa" w:w="2448"/>
            <w:vAlign w:val="center"/>
            <w:tcMar>
              <w:top w:w="90" w:type="dxa"/>
              <w:start w:w="100" w:type="dxa"/>
              <w:bottom w:w="90" w:type="dxa"/>
              <w:end w:w="100" w:type="dxa"/>
            </w:tcMar>
          </w:tcPr>
          <w:p>
            <w:pPr>
              <w:spacing w:after="40" w:before="40"/>
            </w:pPr>
            <w:r>
              <w:rPr>
                <w:sz w:val="17"/>
              </w:rPr>
              <w:t>PAYMENT_PENDING, RECEIVED</w:t>
            </w:r>
          </w:p>
        </w:tc>
      </w:tr>
      <w:tr>
        <w:trPr>
          <w:cantSplit/>
        </w:trPr>
        <w:tc>
          <w:tcPr>
            <w:tcW w:type="dxa" w:w="1800"/>
            <w:vAlign w:val="center"/>
            <w:tcMar>
              <w:top w:w="90" w:type="dxa"/>
              <w:start w:w="100" w:type="dxa"/>
              <w:bottom w:w="90" w:type="dxa"/>
              <w:end w:w="100" w:type="dxa"/>
            </w:tcMar>
          </w:tcPr>
          <w:p>
            <w:pPr>
              <w:spacing w:after="40" w:before="40"/>
            </w:pPr>
            <w:r>
              <w:rPr>
                <w:sz w:val="17"/>
              </w:rPr>
              <w:t>PAYMENT_PENDING</w:t>
            </w:r>
          </w:p>
        </w:tc>
        <w:tc>
          <w:tcPr>
            <w:tcW w:type="dxa" w:w="1728"/>
            <w:vAlign w:val="center"/>
            <w:tcMar>
              <w:top w:w="90" w:type="dxa"/>
              <w:start w:w="100" w:type="dxa"/>
              <w:bottom w:w="90" w:type="dxa"/>
              <w:end w:w="100" w:type="dxa"/>
            </w:tcMar>
          </w:tcPr>
          <w:p>
            <w:pPr>
              <w:spacing w:after="40" w:before="40"/>
            </w:pPr>
            <w:r>
              <w:rPr>
                <w:sz w:val="17"/>
              </w:rPr>
              <w:t>Citizen/System</w:t>
            </w:r>
          </w:p>
        </w:tc>
        <w:tc>
          <w:tcPr>
            <w:tcW w:type="dxa" w:w="4608"/>
            <w:vAlign w:val="center"/>
            <w:tcMar>
              <w:top w:w="90" w:type="dxa"/>
              <w:start w:w="100" w:type="dxa"/>
              <w:bottom w:w="90" w:type="dxa"/>
              <w:end w:w="100" w:type="dxa"/>
            </w:tcMar>
          </w:tcPr>
          <w:p>
            <w:pPr>
              <w:spacing w:after="40" w:before="40"/>
            </w:pPr>
            <w:r>
              <w:rPr>
                <w:sz w:val="17"/>
              </w:rPr>
              <w:t>Required payment not yet confirmed.</w:t>
            </w:r>
          </w:p>
        </w:tc>
        <w:tc>
          <w:tcPr>
            <w:tcW w:type="dxa" w:w="2448"/>
            <w:vAlign w:val="center"/>
            <w:tcMar>
              <w:top w:w="90" w:type="dxa"/>
              <w:start w:w="100" w:type="dxa"/>
              <w:bottom w:w="90" w:type="dxa"/>
              <w:end w:w="100" w:type="dxa"/>
            </w:tcMar>
          </w:tcPr>
          <w:p>
            <w:pPr>
              <w:spacing w:after="40" w:before="40"/>
            </w:pPr>
            <w:r>
              <w:rPr>
                <w:sz w:val="17"/>
              </w:rPr>
              <w:t>RECEIVED, CANCELLED</w:t>
            </w:r>
          </w:p>
        </w:tc>
      </w:tr>
      <w:tr>
        <w:trPr>
          <w:cantSplit/>
        </w:trPr>
        <w:tc>
          <w:tcPr>
            <w:tcW w:type="dxa" w:w="1800"/>
            <w:vAlign w:val="center"/>
            <w:tcMar>
              <w:top w:w="90" w:type="dxa"/>
              <w:start w:w="100" w:type="dxa"/>
              <w:bottom w:w="90" w:type="dxa"/>
              <w:end w:w="100" w:type="dxa"/>
            </w:tcMar>
          </w:tcPr>
          <w:p>
            <w:pPr>
              <w:spacing w:after="40" w:before="40"/>
            </w:pPr>
            <w:r>
              <w:rPr>
                <w:sz w:val="17"/>
              </w:rPr>
              <w:t>RECEIVED</w:t>
            </w:r>
          </w:p>
        </w:tc>
        <w:tc>
          <w:tcPr>
            <w:tcW w:type="dxa" w:w="1728"/>
            <w:vAlign w:val="center"/>
            <w:tcMar>
              <w:top w:w="90" w:type="dxa"/>
              <w:start w:w="100" w:type="dxa"/>
              <w:bottom w:w="90" w:type="dxa"/>
              <w:end w:w="100" w:type="dxa"/>
            </w:tcMar>
          </w:tcPr>
          <w:p>
            <w:pPr>
              <w:spacing w:after="40" w:before="40"/>
            </w:pPr>
            <w:r>
              <w:rPr>
                <w:sz w:val="17"/>
              </w:rPr>
              <w:t>System/Office</w:t>
            </w:r>
          </w:p>
        </w:tc>
        <w:tc>
          <w:tcPr>
            <w:tcW w:type="dxa" w:w="4608"/>
            <w:vAlign w:val="center"/>
            <w:tcMar>
              <w:top w:w="90" w:type="dxa"/>
              <w:start w:w="100" w:type="dxa"/>
              <w:bottom w:w="90" w:type="dxa"/>
              <w:end w:w="100" w:type="dxa"/>
            </w:tcMar>
          </w:tcPr>
          <w:p>
            <w:pPr>
              <w:spacing w:after="40" w:before="40"/>
            </w:pPr>
            <w:r>
              <w:rPr>
                <w:sz w:val="17"/>
              </w:rPr>
              <w:t>Application has entered the administrative processing boundary.</w:t>
            </w:r>
          </w:p>
        </w:tc>
        <w:tc>
          <w:tcPr>
            <w:tcW w:type="dxa" w:w="2448"/>
            <w:vAlign w:val="center"/>
            <w:tcMar>
              <w:top w:w="90" w:type="dxa"/>
              <w:start w:w="100" w:type="dxa"/>
              <w:bottom w:w="90" w:type="dxa"/>
              <w:end w:w="100" w:type="dxa"/>
            </w:tcMar>
          </w:tcPr>
          <w:p>
            <w:pPr>
              <w:spacing w:after="40" w:before="40"/>
            </w:pPr>
            <w:r>
              <w:rPr>
                <w:sz w:val="17"/>
              </w:rPr>
              <w:t>UNDER_SCRUTINY</w:t>
            </w:r>
          </w:p>
        </w:tc>
      </w:tr>
      <w:tr>
        <w:trPr>
          <w:cantSplit/>
        </w:trPr>
        <w:tc>
          <w:tcPr>
            <w:tcW w:type="dxa" w:w="1800"/>
            <w:vAlign w:val="center"/>
            <w:tcMar>
              <w:top w:w="90" w:type="dxa"/>
              <w:start w:w="100" w:type="dxa"/>
              <w:bottom w:w="90" w:type="dxa"/>
              <w:end w:w="100" w:type="dxa"/>
            </w:tcMar>
          </w:tcPr>
          <w:p>
            <w:pPr>
              <w:spacing w:after="40" w:before="40"/>
            </w:pPr>
            <w:r>
              <w:rPr>
                <w:sz w:val="17"/>
              </w:rPr>
              <w:t>UNDER_SCRUTINY</w:t>
            </w:r>
          </w:p>
        </w:tc>
        <w:tc>
          <w:tcPr>
            <w:tcW w:type="dxa" w:w="1728"/>
            <w:vAlign w:val="center"/>
            <w:tcMar>
              <w:top w:w="90" w:type="dxa"/>
              <w:start w:w="100" w:type="dxa"/>
              <w:bottom w:w="90" w:type="dxa"/>
              <w:end w:w="100" w:type="dxa"/>
            </w:tcMar>
          </w:tcPr>
          <w:p>
            <w:pPr>
              <w:spacing w:after="40" w:before="40"/>
            </w:pPr>
            <w:r>
              <w:rPr>
                <w:sz w:val="17"/>
              </w:rPr>
              <w:t>Authorized officer</w:t>
            </w:r>
          </w:p>
        </w:tc>
        <w:tc>
          <w:tcPr>
            <w:tcW w:type="dxa" w:w="4608"/>
            <w:vAlign w:val="center"/>
            <w:tcMar>
              <w:top w:w="90" w:type="dxa"/>
              <w:start w:w="100" w:type="dxa"/>
              <w:bottom w:w="90" w:type="dxa"/>
              <w:end w:w="100" w:type="dxa"/>
            </w:tcMar>
          </w:tcPr>
          <w:p>
            <w:pPr>
              <w:spacing w:after="40" w:before="40"/>
            </w:pPr>
            <w:r>
              <w:rPr>
                <w:sz w:val="17"/>
              </w:rPr>
              <w:t>Completeness/substantive scrutiny.</w:t>
            </w:r>
          </w:p>
        </w:tc>
        <w:tc>
          <w:tcPr>
            <w:tcW w:type="dxa" w:w="2448"/>
            <w:vAlign w:val="center"/>
            <w:tcMar>
              <w:top w:w="90" w:type="dxa"/>
              <w:start w:w="100" w:type="dxa"/>
              <w:bottom w:w="90" w:type="dxa"/>
              <w:end w:w="100" w:type="dxa"/>
            </w:tcMar>
          </w:tcPr>
          <w:p>
            <w:pPr>
              <w:spacing w:after="40" w:before="40"/>
            </w:pPr>
            <w:r>
              <w:rPr>
                <w:sz w:val="17"/>
              </w:rPr>
              <w:t>DEFICIENCY_RAISED, VERIFICATION, DECISION_PENDING</w:t>
            </w:r>
          </w:p>
        </w:tc>
      </w:tr>
      <w:tr>
        <w:trPr>
          <w:cantSplit/>
        </w:trPr>
        <w:tc>
          <w:tcPr>
            <w:tcW w:type="dxa" w:w="1800"/>
            <w:vAlign w:val="center"/>
            <w:tcMar>
              <w:top w:w="90" w:type="dxa"/>
              <w:start w:w="100" w:type="dxa"/>
              <w:bottom w:w="90" w:type="dxa"/>
              <w:end w:w="100" w:type="dxa"/>
            </w:tcMar>
          </w:tcPr>
          <w:p>
            <w:pPr>
              <w:spacing w:after="40" w:before="40"/>
            </w:pPr>
            <w:r>
              <w:rPr>
                <w:sz w:val="17"/>
              </w:rPr>
              <w:t>DEFICIENCY_RAISED</w:t>
            </w:r>
          </w:p>
        </w:tc>
        <w:tc>
          <w:tcPr>
            <w:tcW w:type="dxa" w:w="1728"/>
            <w:vAlign w:val="center"/>
            <w:tcMar>
              <w:top w:w="90" w:type="dxa"/>
              <w:start w:w="100" w:type="dxa"/>
              <w:bottom w:w="90" w:type="dxa"/>
              <w:end w:w="100" w:type="dxa"/>
            </w:tcMar>
          </w:tcPr>
          <w:p>
            <w:pPr>
              <w:spacing w:after="40" w:before="40"/>
            </w:pPr>
            <w:r>
              <w:rPr>
                <w:sz w:val="17"/>
              </w:rPr>
              <w:t>Authorized officer</w:t>
            </w:r>
          </w:p>
        </w:tc>
        <w:tc>
          <w:tcPr>
            <w:tcW w:type="dxa" w:w="4608"/>
            <w:vAlign w:val="center"/>
            <w:tcMar>
              <w:top w:w="90" w:type="dxa"/>
              <w:start w:w="100" w:type="dxa"/>
              <w:bottom w:w="90" w:type="dxa"/>
              <w:end w:w="100" w:type="dxa"/>
            </w:tcMar>
          </w:tcPr>
          <w:p>
            <w:pPr>
              <w:spacing w:after="40" w:before="40"/>
            </w:pPr>
            <w:r>
              <w:rPr>
                <w:sz w:val="17"/>
              </w:rPr>
              <w:t>Formal missing/correction request issued to citizen.</w:t>
            </w:r>
          </w:p>
        </w:tc>
        <w:tc>
          <w:tcPr>
            <w:tcW w:type="dxa" w:w="2448"/>
            <w:vAlign w:val="center"/>
            <w:tcMar>
              <w:top w:w="90" w:type="dxa"/>
              <w:start w:w="100" w:type="dxa"/>
              <w:bottom w:w="90" w:type="dxa"/>
              <w:end w:w="100" w:type="dxa"/>
            </w:tcMar>
          </w:tcPr>
          <w:p>
            <w:pPr>
              <w:spacing w:after="40" w:before="40"/>
            </w:pPr>
            <w:r>
              <w:rPr>
                <w:sz w:val="17"/>
              </w:rPr>
              <w:t>CITIZEN_RESPONSE, CANCELLED where legal/SLA policy allows</w:t>
            </w:r>
          </w:p>
        </w:tc>
      </w:tr>
      <w:tr>
        <w:trPr>
          <w:cantSplit/>
        </w:trPr>
        <w:tc>
          <w:tcPr>
            <w:tcW w:type="dxa" w:w="1800"/>
            <w:vAlign w:val="center"/>
            <w:tcMar>
              <w:top w:w="90" w:type="dxa"/>
              <w:start w:w="100" w:type="dxa"/>
              <w:bottom w:w="90" w:type="dxa"/>
              <w:end w:w="100" w:type="dxa"/>
            </w:tcMar>
          </w:tcPr>
          <w:p>
            <w:pPr>
              <w:spacing w:after="40" w:before="40"/>
            </w:pPr>
            <w:r>
              <w:rPr>
                <w:sz w:val="17"/>
              </w:rPr>
              <w:t>CITIZEN_RESPONSE</w:t>
            </w:r>
          </w:p>
        </w:tc>
        <w:tc>
          <w:tcPr>
            <w:tcW w:type="dxa" w:w="1728"/>
            <w:vAlign w:val="center"/>
            <w:tcMar>
              <w:top w:w="90" w:type="dxa"/>
              <w:start w:w="100" w:type="dxa"/>
              <w:bottom w:w="90" w:type="dxa"/>
              <w:end w:w="100" w:type="dxa"/>
            </w:tcMar>
          </w:tcPr>
          <w:p>
            <w:pPr>
              <w:spacing w:after="40" w:before="40"/>
            </w:pPr>
            <w:r>
              <w:rPr>
                <w:sz w:val="17"/>
              </w:rPr>
              <w:t>Citizen</w:t>
            </w:r>
          </w:p>
        </w:tc>
        <w:tc>
          <w:tcPr>
            <w:tcW w:type="dxa" w:w="4608"/>
            <w:vAlign w:val="center"/>
            <w:tcMar>
              <w:top w:w="90" w:type="dxa"/>
              <w:start w:w="100" w:type="dxa"/>
              <w:bottom w:w="90" w:type="dxa"/>
              <w:end w:w="100" w:type="dxa"/>
            </w:tcMar>
          </w:tcPr>
          <w:p>
            <w:pPr>
              <w:spacing w:after="40" w:before="40"/>
            </w:pPr>
            <w:r>
              <w:rPr>
                <w:sz w:val="17"/>
              </w:rPr>
              <w:t>Response/evidence submitted against deficiency.</w:t>
            </w:r>
          </w:p>
        </w:tc>
        <w:tc>
          <w:tcPr>
            <w:tcW w:type="dxa" w:w="2448"/>
            <w:vAlign w:val="center"/>
            <w:tcMar>
              <w:top w:w="90" w:type="dxa"/>
              <w:start w:w="100" w:type="dxa"/>
              <w:bottom w:w="90" w:type="dxa"/>
              <w:end w:w="100" w:type="dxa"/>
            </w:tcMar>
          </w:tcPr>
          <w:p>
            <w:pPr>
              <w:spacing w:after="40" w:before="40"/>
            </w:pPr>
            <w:r>
              <w:rPr>
                <w:sz w:val="17"/>
              </w:rPr>
              <w:t>UNDER_SCRUTINY</w:t>
            </w:r>
          </w:p>
        </w:tc>
      </w:tr>
      <w:tr>
        <w:trPr>
          <w:cantSplit/>
        </w:trPr>
        <w:tc>
          <w:tcPr>
            <w:tcW w:type="dxa" w:w="1800"/>
            <w:vAlign w:val="center"/>
            <w:tcMar>
              <w:top w:w="90" w:type="dxa"/>
              <w:start w:w="100" w:type="dxa"/>
              <w:bottom w:w="90" w:type="dxa"/>
              <w:end w:w="100" w:type="dxa"/>
            </w:tcMar>
          </w:tcPr>
          <w:p>
            <w:pPr>
              <w:spacing w:after="40" w:before="40"/>
            </w:pPr>
            <w:r>
              <w:rPr>
                <w:sz w:val="17"/>
              </w:rPr>
              <w:t>VERIFICATION</w:t>
            </w:r>
          </w:p>
        </w:tc>
        <w:tc>
          <w:tcPr>
            <w:tcW w:type="dxa" w:w="1728"/>
            <w:vAlign w:val="center"/>
            <w:tcMar>
              <w:top w:w="90" w:type="dxa"/>
              <w:start w:w="100" w:type="dxa"/>
              <w:bottom w:w="90" w:type="dxa"/>
              <w:end w:w="100" w:type="dxa"/>
            </w:tcMar>
          </w:tcPr>
          <w:p>
            <w:pPr>
              <w:spacing w:after="40" w:before="40"/>
            </w:pPr>
            <w:r>
              <w:rPr>
                <w:sz w:val="17"/>
              </w:rPr>
              <w:t>Authorized verifier/system connector</w:t>
            </w:r>
          </w:p>
        </w:tc>
        <w:tc>
          <w:tcPr>
            <w:tcW w:type="dxa" w:w="4608"/>
            <w:vAlign w:val="center"/>
            <w:tcMar>
              <w:top w:w="90" w:type="dxa"/>
              <w:start w:w="100" w:type="dxa"/>
              <w:bottom w:w="90" w:type="dxa"/>
              <w:end w:w="100" w:type="dxa"/>
            </w:tcMar>
          </w:tcPr>
          <w:p>
            <w:pPr>
              <w:spacing w:after="40" w:before="40"/>
            </w:pPr>
            <w:r>
              <w:rPr>
                <w:sz w:val="17"/>
              </w:rPr>
              <w:t>Field/registry/document verification in progress.</w:t>
            </w:r>
          </w:p>
        </w:tc>
        <w:tc>
          <w:tcPr>
            <w:tcW w:type="dxa" w:w="2448"/>
            <w:vAlign w:val="center"/>
            <w:tcMar>
              <w:top w:w="90" w:type="dxa"/>
              <w:start w:w="100" w:type="dxa"/>
              <w:bottom w:w="90" w:type="dxa"/>
              <w:end w:w="100" w:type="dxa"/>
            </w:tcMar>
          </w:tcPr>
          <w:p>
            <w:pPr>
              <w:spacing w:after="40" w:before="40"/>
            </w:pPr>
            <w:r>
              <w:rPr>
                <w:sz w:val="17"/>
              </w:rPr>
              <w:t>UNDER_SCRUTINY, DECISION_PENDING</w:t>
            </w:r>
          </w:p>
        </w:tc>
      </w:tr>
      <w:tr>
        <w:trPr>
          <w:cantSplit/>
        </w:trPr>
        <w:tc>
          <w:tcPr>
            <w:tcW w:type="dxa" w:w="1800"/>
            <w:vAlign w:val="center"/>
            <w:tcMar>
              <w:top w:w="90" w:type="dxa"/>
              <w:start w:w="100" w:type="dxa"/>
              <w:bottom w:w="90" w:type="dxa"/>
              <w:end w:w="100" w:type="dxa"/>
            </w:tcMar>
          </w:tcPr>
          <w:p>
            <w:pPr>
              <w:spacing w:after="40" w:before="40"/>
            </w:pPr>
            <w:r>
              <w:rPr>
                <w:sz w:val="17"/>
              </w:rPr>
              <w:t>DECISION_PENDING</w:t>
            </w:r>
          </w:p>
        </w:tc>
        <w:tc>
          <w:tcPr>
            <w:tcW w:type="dxa" w:w="1728"/>
            <w:vAlign w:val="center"/>
            <w:tcMar>
              <w:top w:w="90" w:type="dxa"/>
              <w:start w:w="100" w:type="dxa"/>
              <w:bottom w:w="90" w:type="dxa"/>
              <w:end w:w="100" w:type="dxa"/>
            </w:tcMar>
          </w:tcPr>
          <w:p>
            <w:pPr>
              <w:spacing w:after="40" w:before="40"/>
            </w:pPr>
            <w:r>
              <w:rPr>
                <w:sz w:val="17"/>
              </w:rPr>
              <w:t>Authorized decision role</w:t>
            </w:r>
          </w:p>
        </w:tc>
        <w:tc>
          <w:tcPr>
            <w:tcW w:type="dxa" w:w="4608"/>
            <w:vAlign w:val="center"/>
            <w:tcMar>
              <w:top w:w="90" w:type="dxa"/>
              <w:start w:w="100" w:type="dxa"/>
              <w:bottom w:w="90" w:type="dxa"/>
              <w:end w:w="100" w:type="dxa"/>
            </w:tcMar>
          </w:tcPr>
          <w:p>
            <w:pPr>
              <w:spacing w:after="40" w:before="40"/>
            </w:pPr>
            <w:r>
              <w:rPr>
                <w:sz w:val="17"/>
              </w:rPr>
              <w:t>All required processing complete and ready for statutory/administrative outcome.</w:t>
            </w:r>
          </w:p>
        </w:tc>
        <w:tc>
          <w:tcPr>
            <w:tcW w:type="dxa" w:w="2448"/>
            <w:vAlign w:val="center"/>
            <w:tcMar>
              <w:top w:w="90" w:type="dxa"/>
              <w:start w:w="100" w:type="dxa"/>
              <w:bottom w:w="90" w:type="dxa"/>
              <w:end w:w="100" w:type="dxa"/>
            </w:tcMar>
          </w:tcPr>
          <w:p>
            <w:pPr>
              <w:spacing w:after="40" w:before="40"/>
            </w:pPr>
            <w:r>
              <w:rPr>
                <w:sz w:val="17"/>
              </w:rPr>
              <w:t>APPROVED, REJECTED</w:t>
            </w:r>
          </w:p>
        </w:tc>
      </w:tr>
      <w:tr>
        <w:trPr>
          <w:cantSplit/>
        </w:trPr>
        <w:tc>
          <w:tcPr>
            <w:tcW w:type="dxa" w:w="1800"/>
            <w:vAlign w:val="center"/>
            <w:tcMar>
              <w:top w:w="90" w:type="dxa"/>
              <w:start w:w="100" w:type="dxa"/>
              <w:bottom w:w="90" w:type="dxa"/>
              <w:end w:w="100" w:type="dxa"/>
            </w:tcMar>
          </w:tcPr>
          <w:p>
            <w:pPr>
              <w:spacing w:after="40" w:before="40"/>
            </w:pPr>
            <w:r>
              <w:rPr>
                <w:sz w:val="17"/>
              </w:rPr>
              <w:t>APPROVED</w:t>
            </w:r>
          </w:p>
        </w:tc>
        <w:tc>
          <w:tcPr>
            <w:tcW w:type="dxa" w:w="1728"/>
            <w:vAlign w:val="center"/>
            <w:tcMar>
              <w:top w:w="90" w:type="dxa"/>
              <w:start w:w="100" w:type="dxa"/>
              <w:bottom w:w="90" w:type="dxa"/>
              <w:end w:w="100" w:type="dxa"/>
            </w:tcMar>
          </w:tcPr>
          <w:p>
            <w:pPr>
              <w:spacing w:after="40" w:before="40"/>
            </w:pPr>
            <w:r>
              <w:rPr>
                <w:sz w:val="17"/>
              </w:rPr>
              <w:t>Authorized decision authority</w:t>
            </w:r>
          </w:p>
        </w:tc>
        <w:tc>
          <w:tcPr>
            <w:tcW w:type="dxa" w:w="4608"/>
            <w:vAlign w:val="center"/>
            <w:tcMar>
              <w:top w:w="90" w:type="dxa"/>
              <w:start w:w="100" w:type="dxa"/>
              <w:bottom w:w="90" w:type="dxa"/>
              <w:end w:w="100" w:type="dxa"/>
            </w:tcMar>
          </w:tcPr>
          <w:p>
            <w:pPr>
              <w:spacing w:after="40" w:before="40"/>
            </w:pPr>
            <w:r>
              <w:rPr>
                <w:sz w:val="17"/>
              </w:rPr>
              <w:t>Decision approved with reasons/provenance.</w:t>
            </w:r>
          </w:p>
        </w:tc>
        <w:tc>
          <w:tcPr>
            <w:tcW w:type="dxa" w:w="2448"/>
            <w:vAlign w:val="center"/>
            <w:tcMar>
              <w:top w:w="90" w:type="dxa"/>
              <w:start w:w="100" w:type="dxa"/>
              <w:bottom w:w="90" w:type="dxa"/>
              <w:end w:w="100" w:type="dxa"/>
            </w:tcMar>
          </w:tcPr>
          <w:p>
            <w:pPr>
              <w:spacing w:after="40" w:before="40"/>
            </w:pPr>
            <w:r>
              <w:rPr>
                <w:sz w:val="17"/>
              </w:rPr>
              <w:t>SIGNING_PENDING, ISSUED where no signature required</w:t>
            </w:r>
          </w:p>
        </w:tc>
      </w:tr>
      <w:tr>
        <w:trPr>
          <w:cantSplit/>
        </w:trPr>
        <w:tc>
          <w:tcPr>
            <w:tcW w:type="dxa" w:w="1800"/>
            <w:vAlign w:val="center"/>
            <w:tcMar>
              <w:top w:w="90" w:type="dxa"/>
              <w:start w:w="100" w:type="dxa"/>
              <w:bottom w:w="90" w:type="dxa"/>
              <w:end w:w="100" w:type="dxa"/>
            </w:tcMar>
          </w:tcPr>
          <w:p>
            <w:pPr>
              <w:spacing w:after="40" w:before="40"/>
            </w:pPr>
            <w:r>
              <w:rPr>
                <w:sz w:val="17"/>
              </w:rPr>
              <w:t>REJECTED</w:t>
            </w:r>
          </w:p>
        </w:tc>
        <w:tc>
          <w:tcPr>
            <w:tcW w:type="dxa" w:w="1728"/>
            <w:vAlign w:val="center"/>
            <w:tcMar>
              <w:top w:w="90" w:type="dxa"/>
              <w:start w:w="100" w:type="dxa"/>
              <w:bottom w:w="90" w:type="dxa"/>
              <w:end w:w="100" w:type="dxa"/>
            </w:tcMar>
          </w:tcPr>
          <w:p>
            <w:pPr>
              <w:spacing w:after="40" w:before="40"/>
            </w:pPr>
            <w:r>
              <w:rPr>
                <w:sz w:val="17"/>
              </w:rPr>
              <w:t>Authorized decision authority</w:t>
            </w:r>
          </w:p>
        </w:tc>
        <w:tc>
          <w:tcPr>
            <w:tcW w:type="dxa" w:w="4608"/>
            <w:vAlign w:val="center"/>
            <w:tcMar>
              <w:top w:w="90" w:type="dxa"/>
              <w:start w:w="100" w:type="dxa"/>
              <w:bottom w:w="90" w:type="dxa"/>
              <w:end w:w="100" w:type="dxa"/>
            </w:tcMar>
          </w:tcPr>
          <w:p>
            <w:pPr>
              <w:spacing w:after="40" w:before="40"/>
            </w:pPr>
            <w:r>
              <w:rPr>
                <w:sz w:val="17"/>
              </w:rPr>
              <w:t>Decision rejected with recorded reasons and appeal information where applicable.</w:t>
            </w:r>
          </w:p>
        </w:tc>
        <w:tc>
          <w:tcPr>
            <w:tcW w:type="dxa" w:w="2448"/>
            <w:vAlign w:val="center"/>
            <w:tcMar>
              <w:top w:w="90" w:type="dxa"/>
              <w:start w:w="100" w:type="dxa"/>
              <w:bottom w:w="90" w:type="dxa"/>
              <w:end w:w="100" w:type="dxa"/>
            </w:tcMar>
          </w:tcPr>
          <w:p>
            <w:pPr>
              <w:spacing w:after="40" w:before="40"/>
            </w:pPr>
            <w:r>
              <w:rPr>
                <w:sz w:val="17"/>
              </w:rPr>
              <w:t>CLOSED, APPEAL workflow outside base state</w:t>
            </w:r>
          </w:p>
        </w:tc>
      </w:tr>
      <w:tr>
        <w:trPr>
          <w:cantSplit/>
        </w:trPr>
        <w:tc>
          <w:tcPr>
            <w:tcW w:type="dxa" w:w="1800"/>
            <w:vAlign w:val="center"/>
            <w:tcMar>
              <w:top w:w="90" w:type="dxa"/>
              <w:start w:w="100" w:type="dxa"/>
              <w:bottom w:w="90" w:type="dxa"/>
              <w:end w:w="100" w:type="dxa"/>
            </w:tcMar>
          </w:tcPr>
          <w:p>
            <w:pPr>
              <w:spacing w:after="40" w:before="40"/>
            </w:pPr>
            <w:r>
              <w:rPr>
                <w:sz w:val="17"/>
              </w:rPr>
              <w:t>SIGNING_PENDING</w:t>
            </w:r>
          </w:p>
        </w:tc>
        <w:tc>
          <w:tcPr>
            <w:tcW w:type="dxa" w:w="1728"/>
            <w:vAlign w:val="center"/>
            <w:tcMar>
              <w:top w:w="90" w:type="dxa"/>
              <w:start w:w="100" w:type="dxa"/>
              <w:bottom w:w="90" w:type="dxa"/>
              <w:end w:w="100" w:type="dxa"/>
            </w:tcMar>
          </w:tcPr>
          <w:p>
            <w:pPr>
              <w:spacing w:after="40" w:before="40"/>
            </w:pPr>
            <w:r>
              <w:rPr>
                <w:sz w:val="17"/>
              </w:rPr>
              <w:t>System/signatory</w:t>
            </w:r>
          </w:p>
        </w:tc>
        <w:tc>
          <w:tcPr>
            <w:tcW w:type="dxa" w:w="4608"/>
            <w:vAlign w:val="center"/>
            <w:tcMar>
              <w:top w:w="90" w:type="dxa"/>
              <w:start w:w="100" w:type="dxa"/>
              <w:bottom w:w="90" w:type="dxa"/>
              <w:end w:w="100" w:type="dxa"/>
            </w:tcMar>
          </w:tcPr>
          <w:p>
            <w:pPr>
              <w:spacing w:after="40" w:before="40"/>
            </w:pPr>
            <w:r>
              <w:rPr>
                <w:sz w:val="17"/>
              </w:rPr>
              <w:t>Credential/document generation and approved digital signing pending.</w:t>
            </w:r>
          </w:p>
        </w:tc>
        <w:tc>
          <w:tcPr>
            <w:tcW w:type="dxa" w:w="2448"/>
            <w:vAlign w:val="center"/>
            <w:tcMar>
              <w:top w:w="90" w:type="dxa"/>
              <w:start w:w="100" w:type="dxa"/>
              <w:bottom w:w="90" w:type="dxa"/>
              <w:end w:w="100" w:type="dxa"/>
            </w:tcMar>
          </w:tcPr>
          <w:p>
            <w:pPr>
              <w:spacing w:after="40" w:before="40"/>
            </w:pPr>
            <w:r>
              <w:rPr>
                <w:sz w:val="17"/>
              </w:rPr>
              <w:t>ISSUED</w:t>
            </w:r>
          </w:p>
        </w:tc>
      </w:tr>
      <w:tr>
        <w:trPr>
          <w:cantSplit/>
        </w:trPr>
        <w:tc>
          <w:tcPr>
            <w:tcW w:type="dxa" w:w="1800"/>
            <w:vAlign w:val="center"/>
            <w:tcMar>
              <w:top w:w="90" w:type="dxa"/>
              <w:start w:w="100" w:type="dxa"/>
              <w:bottom w:w="90" w:type="dxa"/>
              <w:end w:w="100" w:type="dxa"/>
            </w:tcMar>
          </w:tcPr>
          <w:p>
            <w:pPr>
              <w:spacing w:after="40" w:before="40"/>
            </w:pPr>
            <w:r>
              <w:rPr>
                <w:sz w:val="17"/>
              </w:rPr>
              <w:t>ISSUED</w:t>
            </w:r>
          </w:p>
        </w:tc>
        <w:tc>
          <w:tcPr>
            <w:tcW w:type="dxa" w:w="1728"/>
            <w:vAlign w:val="center"/>
            <w:tcMar>
              <w:top w:w="90" w:type="dxa"/>
              <w:start w:w="100" w:type="dxa"/>
              <w:bottom w:w="90" w:type="dxa"/>
              <w:end w:w="100" w:type="dxa"/>
            </w:tcMar>
          </w:tcPr>
          <w:p>
            <w:pPr>
              <w:spacing w:after="40" w:before="40"/>
            </w:pPr>
            <w:r>
              <w:rPr>
                <w:sz w:val="17"/>
              </w:rPr>
              <w:t>System/issuer</w:t>
            </w:r>
          </w:p>
        </w:tc>
        <w:tc>
          <w:tcPr>
            <w:tcW w:type="dxa" w:w="4608"/>
            <w:vAlign w:val="center"/>
            <w:tcMar>
              <w:top w:w="90" w:type="dxa"/>
              <w:start w:w="100" w:type="dxa"/>
              <w:bottom w:w="90" w:type="dxa"/>
              <w:end w:w="100" w:type="dxa"/>
            </w:tcMar>
          </w:tcPr>
          <w:p>
            <w:pPr>
              <w:spacing w:after="40" w:before="40"/>
            </w:pPr>
            <w:r>
              <w:rPr>
                <w:sz w:val="17"/>
              </w:rPr>
              <w:t>Credential/certificate/licence issued and verification endpoint/status created.</w:t>
            </w:r>
          </w:p>
        </w:tc>
        <w:tc>
          <w:tcPr>
            <w:tcW w:type="dxa" w:w="2448"/>
            <w:vAlign w:val="center"/>
            <w:tcMar>
              <w:top w:w="90" w:type="dxa"/>
              <w:start w:w="100" w:type="dxa"/>
              <w:bottom w:w="90" w:type="dxa"/>
              <w:end w:w="100" w:type="dxa"/>
            </w:tcMar>
          </w:tcPr>
          <w:p>
            <w:pPr>
              <w:spacing w:after="40" w:before="40"/>
            </w:pPr>
            <w:r>
              <w:rPr>
                <w:sz w:val="17"/>
              </w:rPr>
              <w:t>CLOSED</w:t>
            </w:r>
          </w:p>
        </w:tc>
      </w:tr>
      <w:tr>
        <w:trPr>
          <w:cantSplit/>
        </w:trPr>
        <w:tc>
          <w:tcPr>
            <w:tcW w:type="dxa" w:w="1800"/>
            <w:vAlign w:val="center"/>
            <w:tcMar>
              <w:top w:w="90" w:type="dxa"/>
              <w:start w:w="100" w:type="dxa"/>
              <w:bottom w:w="90" w:type="dxa"/>
              <w:end w:w="100" w:type="dxa"/>
            </w:tcMar>
          </w:tcPr>
          <w:p>
            <w:pPr>
              <w:spacing w:after="40" w:before="40"/>
            </w:pPr>
            <w:r>
              <w:rPr>
                <w:sz w:val="17"/>
              </w:rPr>
              <w:t>CLOSED</w:t>
            </w:r>
          </w:p>
        </w:tc>
        <w:tc>
          <w:tcPr>
            <w:tcW w:type="dxa" w:w="1728"/>
            <w:vAlign w:val="center"/>
            <w:tcMar>
              <w:top w:w="90" w:type="dxa"/>
              <w:start w:w="100" w:type="dxa"/>
              <w:bottom w:w="90" w:type="dxa"/>
              <w:end w:w="100" w:type="dxa"/>
            </w:tcMar>
          </w:tcPr>
          <w:p>
            <w:pPr>
              <w:spacing w:after="40" w:before="40"/>
            </w:pPr>
            <w:r>
              <w:rPr>
                <w:sz w:val="17"/>
              </w:rPr>
              <w:t>System</w:t>
            </w:r>
          </w:p>
        </w:tc>
        <w:tc>
          <w:tcPr>
            <w:tcW w:type="dxa" w:w="4608"/>
            <w:vAlign w:val="center"/>
            <w:tcMar>
              <w:top w:w="90" w:type="dxa"/>
              <w:start w:w="100" w:type="dxa"/>
              <w:bottom w:w="90" w:type="dxa"/>
              <w:end w:w="100" w:type="dxa"/>
            </w:tcMar>
          </w:tcPr>
          <w:p>
            <w:pPr>
              <w:spacing w:after="40" w:before="40"/>
            </w:pPr>
            <w:r>
              <w:rPr>
                <w:sz w:val="17"/>
              </w:rPr>
              <w:t>Normal terminal application lifecycle state.</w:t>
            </w:r>
          </w:p>
        </w:tc>
        <w:tc>
          <w:tcPr>
            <w:tcW w:type="dxa" w:w="2448"/>
            <w:vAlign w:val="center"/>
            <w:tcMar>
              <w:top w:w="90" w:type="dxa"/>
              <w:start w:w="100" w:type="dxa"/>
              <w:bottom w:w="90" w:type="dxa"/>
              <w:end w:w="100" w:type="dxa"/>
            </w:tcMar>
          </w:tcPr>
          <w:p>
            <w:pPr>
              <w:spacing w:after="40" w:before="40"/>
            </w:pPr>
            <w:r>
              <w:rPr>
                <w:sz w:val="17"/>
              </w:rPr>
              <w:t>None; follow-on renewal/appeal is a new linked process</w:t>
            </w:r>
          </w:p>
        </w:tc>
      </w:tr>
      <w:tr>
        <w:trPr>
          <w:cantSplit/>
        </w:trPr>
        <w:tc>
          <w:tcPr>
            <w:tcW w:type="dxa" w:w="1800"/>
            <w:vAlign w:val="center"/>
            <w:tcMar>
              <w:top w:w="90" w:type="dxa"/>
              <w:start w:w="100" w:type="dxa"/>
              <w:bottom w:w="90" w:type="dxa"/>
              <w:end w:w="100" w:type="dxa"/>
            </w:tcMar>
          </w:tcPr>
          <w:p>
            <w:pPr>
              <w:spacing w:after="40" w:before="40"/>
            </w:pPr>
            <w:r>
              <w:rPr>
                <w:sz w:val="17"/>
              </w:rPr>
              <w:t>WITHDRAWN</w:t>
            </w:r>
          </w:p>
        </w:tc>
        <w:tc>
          <w:tcPr>
            <w:tcW w:type="dxa" w:w="1728"/>
            <w:vAlign w:val="center"/>
            <w:tcMar>
              <w:top w:w="90" w:type="dxa"/>
              <w:start w:w="100" w:type="dxa"/>
              <w:bottom w:w="90" w:type="dxa"/>
              <w:end w:w="100" w:type="dxa"/>
            </w:tcMar>
          </w:tcPr>
          <w:p>
            <w:pPr>
              <w:spacing w:after="40" w:before="40"/>
            </w:pPr>
            <w:r>
              <w:rPr>
                <w:sz w:val="17"/>
              </w:rPr>
              <w:t>Citizen where allowed</w:t>
            </w:r>
          </w:p>
        </w:tc>
        <w:tc>
          <w:tcPr>
            <w:tcW w:type="dxa" w:w="4608"/>
            <w:vAlign w:val="center"/>
            <w:tcMar>
              <w:top w:w="90" w:type="dxa"/>
              <w:start w:w="100" w:type="dxa"/>
              <w:bottom w:w="90" w:type="dxa"/>
              <w:end w:w="100" w:type="dxa"/>
            </w:tcMar>
          </w:tcPr>
          <w:p>
            <w:pPr>
              <w:spacing w:after="40" w:before="40"/>
            </w:pPr>
            <w:r>
              <w:rPr>
                <w:sz w:val="17"/>
              </w:rPr>
              <w:t>Citizen withdraws before prohibited cutoff.</w:t>
            </w:r>
          </w:p>
        </w:tc>
        <w:tc>
          <w:tcPr>
            <w:tcW w:type="dxa" w:w="2448"/>
            <w:vAlign w:val="center"/>
            <w:tcMar>
              <w:top w:w="90" w:type="dxa"/>
              <w:start w:w="100" w:type="dxa"/>
              <w:bottom w:w="90" w:type="dxa"/>
              <w:end w:w="100" w:type="dxa"/>
            </w:tcMar>
          </w:tcPr>
          <w:p>
            <w:pPr>
              <w:spacing w:after="40" w:before="40"/>
            </w:pPr>
            <w:r>
              <w:rPr>
                <w:sz w:val="17"/>
              </w:rPr>
              <w:t>Terminal</w:t>
            </w:r>
          </w:p>
        </w:tc>
      </w:tr>
      <w:tr>
        <w:trPr>
          <w:cantSplit/>
        </w:trPr>
        <w:tc>
          <w:tcPr>
            <w:tcW w:type="dxa" w:w="1800"/>
            <w:vAlign w:val="center"/>
            <w:tcMar>
              <w:top w:w="90" w:type="dxa"/>
              <w:start w:w="100" w:type="dxa"/>
              <w:bottom w:w="90" w:type="dxa"/>
              <w:end w:w="100" w:type="dxa"/>
            </w:tcMar>
          </w:tcPr>
          <w:p>
            <w:pPr>
              <w:spacing w:after="40" w:before="40"/>
            </w:pPr>
            <w:r>
              <w:rPr>
                <w:sz w:val="17"/>
              </w:rPr>
              <w:t>CANCELLED</w:t>
            </w:r>
          </w:p>
        </w:tc>
        <w:tc>
          <w:tcPr>
            <w:tcW w:type="dxa" w:w="1728"/>
            <w:vAlign w:val="center"/>
            <w:tcMar>
              <w:top w:w="90" w:type="dxa"/>
              <w:start w:w="100" w:type="dxa"/>
              <w:bottom w:w="90" w:type="dxa"/>
              <w:end w:w="100" w:type="dxa"/>
            </w:tcMar>
          </w:tcPr>
          <w:p>
            <w:pPr>
              <w:spacing w:after="40" w:before="40"/>
            </w:pPr>
            <w:r>
              <w:rPr>
                <w:sz w:val="17"/>
              </w:rPr>
              <w:t>Authorized system/official</w:t>
            </w:r>
          </w:p>
        </w:tc>
        <w:tc>
          <w:tcPr>
            <w:tcW w:type="dxa" w:w="4608"/>
            <w:vAlign w:val="center"/>
            <w:tcMar>
              <w:top w:w="90" w:type="dxa"/>
              <w:start w:w="100" w:type="dxa"/>
              <w:bottom w:w="90" w:type="dxa"/>
              <w:end w:w="100" w:type="dxa"/>
            </w:tcMar>
          </w:tcPr>
          <w:p>
            <w:pPr>
              <w:spacing w:after="40" w:before="40"/>
            </w:pPr>
            <w:r>
              <w:rPr>
                <w:sz w:val="17"/>
              </w:rPr>
              <w:t>Exceptional administrative cancellation with reason/audit.</w:t>
            </w:r>
          </w:p>
        </w:tc>
        <w:tc>
          <w:tcPr>
            <w:tcW w:type="dxa" w:w="2448"/>
            <w:vAlign w:val="center"/>
            <w:tcMar>
              <w:top w:w="90" w:type="dxa"/>
              <w:start w:w="100" w:type="dxa"/>
              <w:bottom w:w="90" w:type="dxa"/>
              <w:end w:w="100" w:type="dxa"/>
            </w:tcMar>
          </w:tcPr>
          <w:p>
            <w:pPr>
              <w:spacing w:after="40" w:before="40"/>
            </w:pPr>
            <w:r>
              <w:rPr>
                <w:sz w:val="17"/>
              </w:rPr>
              <w:t>Terminal or restart only via explicit policy</w:t>
            </w:r>
          </w:p>
        </w:tc>
      </w:tr>
    </w:tbl>
    <w:p>
      <w:pPr>
        <w:pStyle w:val="Heading2"/>
      </w:pPr>
      <w:r>
        <w:t>12.2 State-transition rules</w:t>
      </w:r>
    </w:p>
    <w:p>
      <w:pPr>
        <w:pStyle w:val="ListBullet"/>
        <w:ind w:left="360"/>
      </w:pPr>
      <w:r>
        <w:t>All transitions must be validated by one state-machine component/library shared across API, workflow workers and tests.</w:t>
      </w:r>
    </w:p>
    <w:p>
      <w:pPr>
        <w:pStyle w:val="ListBullet"/>
        <w:ind w:left="360"/>
      </w:pPr>
      <w:r>
        <w:t>Every transition records actor type/id, tenant, jurisdiction, reason code where relevant, previous state, new state, occurred_at and correlation_id.</w:t>
      </w:r>
    </w:p>
    <w:p>
      <w:pPr>
        <w:pStyle w:val="ListBullet"/>
        <w:ind w:left="360"/>
      </w:pPr>
      <w:r>
        <w:t>Workflow activities may retry without repeating an authoritative state transition; transition commands must be idempotent.</w:t>
      </w:r>
    </w:p>
    <w:p>
      <w:pPr>
        <w:pStyle w:val="ListBullet"/>
        <w:ind w:left="360"/>
      </w:pPr>
      <w:r>
        <w:t>Changing a state by direct SQL update is prohibited. State changes occur through an application service/domain command.</w:t>
      </w:r>
    </w:p>
    <w:p>
      <w:pPr>
        <w:pStyle w:val="ListBullet"/>
        <w:ind w:left="360"/>
      </w:pPr>
      <w:r>
        <w:t>Rejection, cancellation, deficiency, withdrawal and approval require reason/provenance fields defined by the service policy.</w:t>
      </w:r>
    </w:p>
    <w:p>
      <w:pPr>
        <w:pStyle w:val="ListBullet"/>
        <w:ind w:left="360"/>
      </w:pPr>
      <w:r>
        <w:t>Appeals/reviews are linked processes with their own workflow/state, not an uncontrolled reversal of the original case history.</w:t>
      </w:r>
    </w:p>
    <w:p>
      <w:r>
        <w:br w:type="page"/>
      </w:r>
    </w:p>
    <w:p>
      <w:pPr>
        <w:pStyle w:val="Heading1"/>
      </w:pPr>
      <w:r>
        <w:t>13. API, Event, Error &amp; Idempotency Contracts</w:t>
      </w:r>
    </w:p>
    <w:p>
      <w:pPr>
        <w:pStyle w:val="Heading2"/>
      </w:pPr>
      <w:r>
        <w:t>13.1 API contract rules</w:t>
      </w:r>
    </w:p>
    <w:tbl>
      <w:tblPr>
        <w:tblW w:type="auto" w:w="0"/>
        <w:tblLayout w:type="autofit"/>
        <w:tblLook w:firstColumn="1" w:firstRow="1" w:lastColumn="0" w:lastRow="0" w:noHBand="0" w:noVBand="1" w:val="04A0"/>
      </w:tblPr>
      <w:tblGrid>
        <w:gridCol w:w="5083"/>
        <w:gridCol w:w="5083"/>
      </w:tblGrid>
      <w:tr>
        <w:trPr>
          <w:cantSplit/>
        </w:trPr>
        <w:tc>
          <w:tcPr>
            <w:tcW w:type="dxa" w:w="2016"/>
            <w:vAlign w:val="center"/>
            <w:tcMar>
              <w:top w:w="90" w:type="dxa"/>
              <w:start w:w="100" w:type="dxa"/>
              <w:bottom w:w="90" w:type="dxa"/>
              <w:end w:w="100" w:type="dxa"/>
            </w:tcMar>
            <w:shd w:fill="1F4E78"/>
          </w:tcPr>
          <w:p>
            <w:pPr>
              <w:spacing w:after="40" w:before="40"/>
            </w:pPr>
            <w:r>
              <w:rPr>
                <w:b/>
                <w:color w:val="FFFFFF"/>
                <w:sz w:val="17"/>
              </w:rPr>
              <w:t>Concern</w:t>
            </w:r>
          </w:p>
        </w:tc>
        <w:tc>
          <w:tcPr>
            <w:tcW w:type="dxa" w:w="8208"/>
            <w:vAlign w:val="center"/>
            <w:tcMar>
              <w:top w:w="90" w:type="dxa"/>
              <w:start w:w="100" w:type="dxa"/>
              <w:bottom w:w="90" w:type="dxa"/>
              <w:end w:w="100" w:type="dxa"/>
            </w:tcMar>
            <w:shd w:fill="1F4E78"/>
          </w:tcPr>
          <w:p>
            <w:pPr>
              <w:spacing w:after="40" w:before="40"/>
            </w:pPr>
            <w:r>
              <w:rPr>
                <w:b/>
                <w:color w:val="FFFFFF"/>
                <w:sz w:val="17"/>
              </w:rPr>
              <w:t>Normative rule</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Contract</w:t>
            </w:r>
          </w:p>
        </w:tc>
        <w:tc>
          <w:tcPr>
            <w:tcW w:type="dxa" w:w="8208"/>
            <w:vAlign w:val="center"/>
            <w:tcMar>
              <w:top w:w="90" w:type="dxa"/>
              <w:start w:w="100" w:type="dxa"/>
              <w:bottom w:w="90" w:type="dxa"/>
              <w:end w:w="100" w:type="dxa"/>
            </w:tcMar>
          </w:tcPr>
          <w:p>
            <w:pPr>
              <w:spacing w:after="40" w:before="40"/>
            </w:pPr>
            <w:r>
              <w:rPr>
                <w:sz w:val="17"/>
              </w:rPr>
              <w:t>OpenAPI 3.1 is authoritative for HTTP interfaces; generated docs/clients must derive from it.</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Versioning</w:t>
            </w:r>
          </w:p>
        </w:tc>
        <w:tc>
          <w:tcPr>
            <w:tcW w:type="dxa" w:w="8208"/>
            <w:vAlign w:val="center"/>
            <w:tcMar>
              <w:top w:w="90" w:type="dxa"/>
              <w:start w:w="100" w:type="dxa"/>
              <w:bottom w:w="90" w:type="dxa"/>
              <w:end w:w="100" w:type="dxa"/>
            </w:tcMar>
          </w:tcPr>
          <w:p>
            <w:pPr>
              <w:spacing w:after="40" w:before="40"/>
            </w:pPr>
            <w:r>
              <w:rPr>
                <w:sz w:val="17"/>
              </w:rPr>
              <w:t>Major breaking changes use explicit API versioning. Backward-compatible additions remain within version.</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Authentication</w:t>
            </w:r>
          </w:p>
        </w:tc>
        <w:tc>
          <w:tcPr>
            <w:tcW w:type="dxa" w:w="8208"/>
            <w:vAlign w:val="center"/>
            <w:tcMar>
              <w:top w:w="90" w:type="dxa"/>
              <w:start w:w="100" w:type="dxa"/>
              <w:bottom w:w="90" w:type="dxa"/>
              <w:end w:w="100" w:type="dxa"/>
            </w:tcMar>
          </w:tcPr>
          <w:p>
            <w:pPr>
              <w:spacing w:after="40" w:before="40"/>
            </w:pPr>
            <w:r>
              <w:rPr>
                <w:sz w:val="17"/>
              </w:rPr>
              <w:t>Citizen and officer authentication methods differ, but APIs consume a normalized authenticated principal/context.</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Tenant context</w:t>
            </w:r>
          </w:p>
        </w:tc>
        <w:tc>
          <w:tcPr>
            <w:tcW w:type="dxa" w:w="8208"/>
            <w:vAlign w:val="center"/>
            <w:tcMar>
              <w:top w:w="90" w:type="dxa"/>
              <w:start w:w="100" w:type="dxa"/>
              <w:bottom w:w="90" w:type="dxa"/>
              <w:end w:w="100" w:type="dxa"/>
            </w:tcMar>
          </w:tcPr>
          <w:p>
            <w:pPr>
              <w:spacing w:after="40" w:before="40"/>
            </w:pPr>
            <w:r>
              <w:rPr>
                <w:sz w:val="17"/>
              </w:rPr>
              <w:t>Server-derived only. Client tenant headers may be hints only when independently authorized.</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Correlation</w:t>
            </w:r>
          </w:p>
        </w:tc>
        <w:tc>
          <w:tcPr>
            <w:tcW w:type="dxa" w:w="8208"/>
            <w:vAlign w:val="center"/>
            <w:tcMar>
              <w:top w:w="90" w:type="dxa"/>
              <w:start w:w="100" w:type="dxa"/>
              <w:bottom w:w="90" w:type="dxa"/>
              <w:end w:w="100" w:type="dxa"/>
            </w:tcMar>
          </w:tcPr>
          <w:p>
            <w:pPr>
              <w:spacing w:after="40" w:before="40"/>
            </w:pPr>
            <w:r>
              <w:rPr>
                <w:sz w:val="17"/>
              </w:rPr>
              <w:t>Every request receives/propagates correlation_id and trace_id.</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Idempotency</w:t>
            </w:r>
          </w:p>
        </w:tc>
        <w:tc>
          <w:tcPr>
            <w:tcW w:type="dxa" w:w="8208"/>
            <w:vAlign w:val="center"/>
            <w:tcMar>
              <w:top w:w="90" w:type="dxa"/>
              <w:start w:w="100" w:type="dxa"/>
              <w:bottom w:w="90" w:type="dxa"/>
              <w:end w:w="100" w:type="dxa"/>
            </w:tcMar>
          </w:tcPr>
          <w:p>
            <w:pPr>
              <w:spacing w:after="40" w:before="40"/>
            </w:pPr>
            <w:r>
              <w:rPr>
                <w:sz w:val="17"/>
              </w:rPr>
              <w:t>Create/payment/submission/external side-effect endpoints support idempotency keys where duplicate execution is harmful.</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Pagination</w:t>
            </w:r>
          </w:p>
        </w:tc>
        <w:tc>
          <w:tcPr>
            <w:tcW w:type="dxa" w:w="8208"/>
            <w:vAlign w:val="center"/>
            <w:tcMar>
              <w:top w:w="90" w:type="dxa"/>
              <w:start w:w="100" w:type="dxa"/>
              <w:bottom w:w="90" w:type="dxa"/>
              <w:end w:w="100" w:type="dxa"/>
            </w:tcMar>
          </w:tcPr>
          <w:p>
            <w:pPr>
              <w:spacing w:after="40" w:before="40"/>
            </w:pPr>
            <w:r>
              <w:rPr>
                <w:sz w:val="17"/>
              </w:rPr>
              <w:t>Cursor-based pagination preferred for large mutable datasets; page/size allowed only where bounded/stable.</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Filtering</w:t>
            </w:r>
          </w:p>
        </w:tc>
        <w:tc>
          <w:tcPr>
            <w:tcW w:type="dxa" w:w="8208"/>
            <w:vAlign w:val="center"/>
            <w:tcMar>
              <w:top w:w="90" w:type="dxa"/>
              <w:start w:w="100" w:type="dxa"/>
              <w:bottom w:w="90" w:type="dxa"/>
              <w:end w:w="100" w:type="dxa"/>
            </w:tcMar>
          </w:tcPr>
          <w:p>
            <w:pPr>
              <w:spacing w:after="40" w:before="40"/>
            </w:pPr>
            <w:r>
              <w:rPr>
                <w:sz w:val="17"/>
              </w:rPr>
              <w:t>Allowlisted filters only. Authorization filters are injected server-side and cannot be removed by caller.</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Validation</w:t>
            </w:r>
          </w:p>
        </w:tc>
        <w:tc>
          <w:tcPr>
            <w:tcW w:type="dxa" w:w="8208"/>
            <w:vAlign w:val="center"/>
            <w:tcMar>
              <w:top w:w="90" w:type="dxa"/>
              <w:start w:w="100" w:type="dxa"/>
              <w:bottom w:w="90" w:type="dxa"/>
              <w:end w:w="100" w:type="dxa"/>
            </w:tcMar>
          </w:tcPr>
          <w:p>
            <w:pPr>
              <w:spacing w:after="40" w:before="40"/>
            </w:pPr>
            <w:r>
              <w:rPr>
                <w:sz w:val="17"/>
              </w:rPr>
              <w:t>All request bodies/params validated against versioned schemas before domain execution.</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Errors</w:t>
            </w:r>
          </w:p>
        </w:tc>
        <w:tc>
          <w:tcPr>
            <w:tcW w:type="dxa" w:w="8208"/>
            <w:vAlign w:val="center"/>
            <w:tcMar>
              <w:top w:w="90" w:type="dxa"/>
              <w:start w:w="100" w:type="dxa"/>
              <w:bottom w:w="90" w:type="dxa"/>
              <w:end w:w="100" w:type="dxa"/>
            </w:tcMar>
          </w:tcPr>
          <w:p>
            <w:pPr>
              <w:spacing w:after="40" w:before="40"/>
            </w:pPr>
            <w:r>
              <w:rPr>
                <w:sz w:val="17"/>
              </w:rPr>
              <w:t>Stable machine-readable code + safe human message + correlation ID; no raw exception/SQL/stack trace.</w:t>
            </w:r>
          </w:p>
        </w:tc>
      </w:tr>
    </w:tbl>
    <w:p>
      <w:pPr>
        <w:pStyle w:val="Heading2"/>
      </w:pPr>
      <w:r>
        <w:t>13.2 Standard event envelope</w:t>
      </w:r>
    </w:p>
    <w:p>
      <w:pPr>
        <w:spacing w:before="80" w:after="120"/>
        <w:ind w:left="360" w:right="144"/>
        <w:shd w:fill="F4F6F7"/>
      </w:pPr>
      <w:r>
        <w:rPr>
          <w:rFonts w:ascii="Courier New" w:hAnsi="Courier New"/>
          <w:sz w:val="16"/>
        </w:rPr>
        <w:t>{</w:t>
        <w:br/>
        <w:t xml:space="preserve">  "event_id": "uuid",</w:t>
        <w:br/>
        <w:t xml:space="preserve">  "event_type": "ApplicationSubmitted",</w:t>
        <w:br/>
        <w:t xml:space="preserve">  "schema_version": 1,</w:t>
        <w:br/>
        <w:t xml:space="preserve">  "tenant_id": "uuid",</w:t>
        <w:br/>
        <w:t xml:space="preserve">  "cell_id": "cell-01",</w:t>
        <w:br/>
        <w:t xml:space="preserve">  "aggregate_type": "Application",</w:t>
        <w:br/>
        <w:t xml:space="preserve">  "aggregate_id": "uuid",</w:t>
        <w:br/>
        <w:t xml:space="preserve">  "aggregate_version": 7,</w:t>
        <w:br/>
        <w:t xml:space="preserve">  "occurred_at": "2026-10-02T12:00:00Z",</w:t>
        <w:br/>
        <w:t xml:space="preserve">  "correlation_id": "uuid",</w:t>
        <w:br/>
        <w:t xml:space="preserve">  "causation_id": "uuid",</w:t>
        <w:br/>
        <w:t xml:space="preserve">  "actor": {"type":"CITIZEN","id":"uuid"},</w:t>
        <w:br/>
        <w:t xml:space="preserve">  "data": { ... }</w:t>
        <w:br/>
        <w:t>}</w:t>
      </w:r>
    </w:p>
    <w:p>
      <w:pPr>
        <w:pStyle w:val="ListBullet"/>
        <w:ind w:left="360"/>
      </w:pPr>
      <w:r>
        <w:t>Events are immutable facts. Consumers must not reinterpret old events using new field semantics without schema versioning.</w:t>
      </w:r>
    </w:p>
    <w:p>
      <w:pPr>
        <w:pStyle w:val="ListBullet"/>
        <w:ind w:left="360"/>
      </w:pPr>
      <w:r>
        <w:t>Consumers are idempotent using event_id and reject/ignore stale aggregate versions where ordering matters.</w:t>
      </w:r>
    </w:p>
    <w:p>
      <w:pPr>
        <w:pStyle w:val="ListBullet"/>
        <w:ind w:left="360"/>
      </w:pPr>
      <w:r>
        <w:t>Large binary payloads or evidence are referenced by secure identifiers/S3 object metadata, never embedded in Kafka events.</w:t>
      </w:r>
    </w:p>
    <w:p>
      <w:pPr>
        <w:pStyle w:val="ListBullet"/>
        <w:ind w:left="360"/>
      </w:pPr>
      <w:r>
        <w:t>Outbox publication retries until acknowledged; event publication failure never causes an already committed application transaction to disappear.</w:t>
      </w:r>
    </w:p>
    <w:p>
      <w:pPr>
        <w:pStyle w:val="Heading2"/>
      </w:pPr>
      <w:r>
        <w:t>13.3 Standard error catalogue</w:t>
      </w:r>
    </w:p>
    <w:tbl>
      <w:tblPr>
        <w:tblW w:type="auto" w:w="0"/>
        <w:tblLayout w:type="autofit"/>
        <w:tblLook w:firstColumn="1" w:firstRow="1" w:lastColumn="0" w:lastRow="0" w:noHBand="0" w:noVBand="1" w:val="04A0"/>
      </w:tblPr>
      <w:tblGrid>
        <w:gridCol w:w="3389"/>
        <w:gridCol w:w="3389"/>
        <w:gridCol w:w="3389"/>
      </w:tblGrid>
      <w:tr>
        <w:trPr>
          <w:cantSplit/>
        </w:trPr>
        <w:tc>
          <w:tcPr>
            <w:tcW w:type="dxa" w:w="2016"/>
            <w:vAlign w:val="center"/>
            <w:tcMar>
              <w:top w:w="90" w:type="dxa"/>
              <w:start w:w="100" w:type="dxa"/>
              <w:bottom w:w="90" w:type="dxa"/>
              <w:end w:w="100" w:type="dxa"/>
            </w:tcMar>
            <w:shd w:fill="1F4E78"/>
          </w:tcPr>
          <w:p>
            <w:pPr>
              <w:spacing w:after="40" w:before="40"/>
            </w:pPr>
            <w:r>
              <w:rPr>
                <w:b/>
                <w:color w:val="FFFFFF"/>
                <w:sz w:val="17"/>
              </w:rPr>
              <w:t>Code</w:t>
            </w:r>
          </w:p>
        </w:tc>
        <w:tc>
          <w:tcPr>
            <w:tcW w:type="dxa" w:w="6912"/>
            <w:vAlign w:val="center"/>
            <w:tcMar>
              <w:top w:w="90" w:type="dxa"/>
              <w:start w:w="100" w:type="dxa"/>
              <w:bottom w:w="90" w:type="dxa"/>
              <w:end w:w="100" w:type="dxa"/>
            </w:tcMar>
            <w:shd w:fill="1F4E78"/>
          </w:tcPr>
          <w:p>
            <w:pPr>
              <w:spacing w:after="40" w:before="40"/>
            </w:pPr>
            <w:r>
              <w:rPr>
                <w:b/>
                <w:color w:val="FFFFFF"/>
                <w:sz w:val="17"/>
              </w:rPr>
              <w:t>Meaning</w:t>
            </w:r>
          </w:p>
        </w:tc>
        <w:tc>
          <w:tcPr>
            <w:tcW w:type="dxa" w:w="1440"/>
            <w:vAlign w:val="center"/>
            <w:tcMar>
              <w:top w:w="90" w:type="dxa"/>
              <w:start w:w="100" w:type="dxa"/>
              <w:bottom w:w="90" w:type="dxa"/>
              <w:end w:w="100" w:type="dxa"/>
            </w:tcMar>
            <w:shd w:fill="1F4E78"/>
          </w:tcPr>
          <w:p>
            <w:pPr>
              <w:spacing w:after="40" w:before="40"/>
            </w:pPr>
            <w:r>
              <w:rPr>
                <w:b/>
                <w:color w:val="FFFFFF"/>
                <w:sz w:val="17"/>
              </w:rPr>
              <w:t>HTTP mapping</w:t>
            </w:r>
          </w:p>
        </w:tc>
      </w:tr>
      <w:tr>
        <w:trPr>
          <w:cantSplit/>
        </w:trPr>
        <w:tc>
          <w:tcPr>
            <w:tcW w:type="dxa" w:w="2016"/>
            <w:vAlign w:val="center"/>
            <w:tcMar>
              <w:top w:w="90" w:type="dxa"/>
              <w:start w:w="100" w:type="dxa"/>
              <w:bottom w:w="90" w:type="dxa"/>
              <w:end w:w="100" w:type="dxa"/>
            </w:tcMar>
          </w:tcPr>
          <w:p>
            <w:pPr>
              <w:spacing w:after="40" w:before="40"/>
            </w:pPr>
            <w:r>
              <w:rPr>
                <w:sz w:val="17"/>
              </w:rPr>
              <w:t>SF-AUTH-001</w:t>
            </w:r>
          </w:p>
        </w:tc>
        <w:tc>
          <w:tcPr>
            <w:tcW w:type="dxa" w:w="6912"/>
            <w:vAlign w:val="center"/>
            <w:tcMar>
              <w:top w:w="90" w:type="dxa"/>
              <w:start w:w="100" w:type="dxa"/>
              <w:bottom w:w="90" w:type="dxa"/>
              <w:end w:w="100" w:type="dxa"/>
            </w:tcMar>
          </w:tcPr>
          <w:p>
            <w:pPr>
              <w:spacing w:after="40" w:before="40"/>
            </w:pPr>
            <w:r>
              <w:rPr>
                <w:sz w:val="17"/>
              </w:rPr>
              <w:t>Authentication required</w:t>
            </w:r>
          </w:p>
        </w:tc>
        <w:tc>
          <w:tcPr>
            <w:tcW w:type="dxa" w:w="1440"/>
            <w:vAlign w:val="center"/>
            <w:tcMar>
              <w:top w:w="90" w:type="dxa"/>
              <w:start w:w="100" w:type="dxa"/>
              <w:bottom w:w="90" w:type="dxa"/>
              <w:end w:w="100" w:type="dxa"/>
            </w:tcMar>
          </w:tcPr>
          <w:p>
            <w:pPr>
              <w:spacing w:after="40" w:before="40"/>
            </w:pPr>
            <w:r>
              <w:rPr>
                <w:sz w:val="17"/>
              </w:rPr>
              <w:t>401</w:t>
            </w:r>
          </w:p>
        </w:tc>
      </w:tr>
      <w:tr>
        <w:trPr>
          <w:cantSplit/>
        </w:trPr>
        <w:tc>
          <w:tcPr>
            <w:tcW w:type="dxa" w:w="2016"/>
            <w:vAlign w:val="center"/>
            <w:tcMar>
              <w:top w:w="90" w:type="dxa"/>
              <w:start w:w="100" w:type="dxa"/>
              <w:bottom w:w="90" w:type="dxa"/>
              <w:end w:w="100" w:type="dxa"/>
            </w:tcMar>
          </w:tcPr>
          <w:p>
            <w:pPr>
              <w:spacing w:after="40" w:before="40"/>
            </w:pPr>
            <w:r>
              <w:rPr>
                <w:sz w:val="17"/>
              </w:rPr>
              <w:t>SF-AUTH-002</w:t>
            </w:r>
          </w:p>
        </w:tc>
        <w:tc>
          <w:tcPr>
            <w:tcW w:type="dxa" w:w="6912"/>
            <w:vAlign w:val="center"/>
            <w:tcMar>
              <w:top w:w="90" w:type="dxa"/>
              <w:start w:w="100" w:type="dxa"/>
              <w:bottom w:w="90" w:type="dxa"/>
              <w:end w:w="100" w:type="dxa"/>
            </w:tcMar>
          </w:tcPr>
          <w:p>
            <w:pPr>
              <w:spacing w:after="40" w:before="40"/>
            </w:pPr>
            <w:r>
              <w:rPr>
                <w:sz w:val="17"/>
              </w:rPr>
              <w:t>Insufficient authorization</w:t>
            </w:r>
          </w:p>
        </w:tc>
        <w:tc>
          <w:tcPr>
            <w:tcW w:type="dxa" w:w="1440"/>
            <w:vAlign w:val="center"/>
            <w:tcMar>
              <w:top w:w="90" w:type="dxa"/>
              <w:start w:w="100" w:type="dxa"/>
              <w:bottom w:w="90" w:type="dxa"/>
              <w:end w:w="100" w:type="dxa"/>
            </w:tcMar>
          </w:tcPr>
          <w:p>
            <w:pPr>
              <w:spacing w:after="40" w:before="40"/>
            </w:pPr>
            <w:r>
              <w:rPr>
                <w:sz w:val="17"/>
              </w:rPr>
              <w:t>403</w:t>
            </w:r>
          </w:p>
        </w:tc>
      </w:tr>
      <w:tr>
        <w:trPr>
          <w:cantSplit/>
        </w:trPr>
        <w:tc>
          <w:tcPr>
            <w:tcW w:type="dxa" w:w="2016"/>
            <w:vAlign w:val="center"/>
            <w:tcMar>
              <w:top w:w="90" w:type="dxa"/>
              <w:start w:w="100" w:type="dxa"/>
              <w:bottom w:w="90" w:type="dxa"/>
              <w:end w:w="100" w:type="dxa"/>
            </w:tcMar>
          </w:tcPr>
          <w:p>
            <w:pPr>
              <w:spacing w:after="40" w:before="40"/>
            </w:pPr>
            <w:r>
              <w:rPr>
                <w:sz w:val="17"/>
              </w:rPr>
              <w:t>SF-TEN-001</w:t>
            </w:r>
          </w:p>
        </w:tc>
        <w:tc>
          <w:tcPr>
            <w:tcW w:type="dxa" w:w="6912"/>
            <w:vAlign w:val="center"/>
            <w:tcMar>
              <w:top w:w="90" w:type="dxa"/>
              <w:start w:w="100" w:type="dxa"/>
              <w:bottom w:w="90" w:type="dxa"/>
              <w:end w:w="100" w:type="dxa"/>
            </w:tcMar>
          </w:tcPr>
          <w:p>
            <w:pPr>
              <w:spacing w:after="40" w:before="40"/>
            </w:pPr>
            <w:r>
              <w:rPr>
                <w:sz w:val="17"/>
              </w:rPr>
              <w:t>Tenant context missing</w:t>
            </w:r>
          </w:p>
        </w:tc>
        <w:tc>
          <w:tcPr>
            <w:tcW w:type="dxa" w:w="1440"/>
            <w:vAlign w:val="center"/>
            <w:tcMar>
              <w:top w:w="90" w:type="dxa"/>
              <w:start w:w="100" w:type="dxa"/>
              <w:bottom w:w="90" w:type="dxa"/>
              <w:end w:w="100" w:type="dxa"/>
            </w:tcMar>
          </w:tcPr>
          <w:p>
            <w:pPr>
              <w:spacing w:after="40" w:before="40"/>
            </w:pPr>
            <w:r>
              <w:rPr>
                <w:sz w:val="17"/>
              </w:rPr>
              <w:t>400/401</w:t>
            </w:r>
          </w:p>
        </w:tc>
      </w:tr>
      <w:tr>
        <w:trPr>
          <w:cantSplit/>
        </w:trPr>
        <w:tc>
          <w:tcPr>
            <w:tcW w:type="dxa" w:w="2016"/>
            <w:vAlign w:val="center"/>
            <w:tcMar>
              <w:top w:w="90" w:type="dxa"/>
              <w:start w:w="100" w:type="dxa"/>
              <w:bottom w:w="90" w:type="dxa"/>
              <w:end w:w="100" w:type="dxa"/>
            </w:tcMar>
          </w:tcPr>
          <w:p>
            <w:pPr>
              <w:spacing w:after="40" w:before="40"/>
            </w:pPr>
            <w:r>
              <w:rPr>
                <w:sz w:val="17"/>
              </w:rPr>
              <w:t>SF-TEN-002</w:t>
            </w:r>
          </w:p>
        </w:tc>
        <w:tc>
          <w:tcPr>
            <w:tcW w:type="dxa" w:w="6912"/>
            <w:vAlign w:val="center"/>
            <w:tcMar>
              <w:top w:w="90" w:type="dxa"/>
              <w:start w:w="100" w:type="dxa"/>
              <w:bottom w:w="90" w:type="dxa"/>
              <w:end w:w="100" w:type="dxa"/>
            </w:tcMar>
          </w:tcPr>
          <w:p>
            <w:pPr>
              <w:spacing w:after="40" w:before="40"/>
            </w:pPr>
            <w:r>
              <w:rPr>
                <w:sz w:val="17"/>
              </w:rPr>
              <w:t>Cross-tenant operation denied</w:t>
            </w:r>
          </w:p>
        </w:tc>
        <w:tc>
          <w:tcPr>
            <w:tcW w:type="dxa" w:w="1440"/>
            <w:vAlign w:val="center"/>
            <w:tcMar>
              <w:top w:w="90" w:type="dxa"/>
              <w:start w:w="100" w:type="dxa"/>
              <w:bottom w:w="90" w:type="dxa"/>
              <w:end w:w="100" w:type="dxa"/>
            </w:tcMar>
          </w:tcPr>
          <w:p>
            <w:pPr>
              <w:spacing w:after="40" w:before="40"/>
            </w:pPr>
            <w:r>
              <w:rPr>
                <w:sz w:val="17"/>
              </w:rPr>
              <w:t>403</w:t>
            </w:r>
          </w:p>
        </w:tc>
      </w:tr>
      <w:tr>
        <w:trPr>
          <w:cantSplit/>
        </w:trPr>
        <w:tc>
          <w:tcPr>
            <w:tcW w:type="dxa" w:w="2016"/>
            <w:vAlign w:val="center"/>
            <w:tcMar>
              <w:top w:w="90" w:type="dxa"/>
              <w:start w:w="100" w:type="dxa"/>
              <w:bottom w:w="90" w:type="dxa"/>
              <w:end w:w="100" w:type="dxa"/>
            </w:tcMar>
          </w:tcPr>
          <w:p>
            <w:pPr>
              <w:spacing w:after="40" w:before="40"/>
            </w:pPr>
            <w:r>
              <w:rPr>
                <w:sz w:val="17"/>
              </w:rPr>
              <w:t>SF-FORM-001</w:t>
            </w:r>
          </w:p>
        </w:tc>
        <w:tc>
          <w:tcPr>
            <w:tcW w:type="dxa" w:w="6912"/>
            <w:vAlign w:val="center"/>
            <w:tcMar>
              <w:top w:w="90" w:type="dxa"/>
              <w:start w:w="100" w:type="dxa"/>
              <w:bottom w:w="90" w:type="dxa"/>
              <w:end w:w="100" w:type="dxa"/>
            </w:tcMar>
          </w:tcPr>
          <w:p>
            <w:pPr>
              <w:spacing w:after="40" w:before="40"/>
            </w:pPr>
            <w:r>
              <w:rPr>
                <w:sz w:val="17"/>
              </w:rPr>
              <w:t>Form/schema version unavailable</w:t>
            </w:r>
          </w:p>
        </w:tc>
        <w:tc>
          <w:tcPr>
            <w:tcW w:type="dxa" w:w="1440"/>
            <w:vAlign w:val="center"/>
            <w:tcMar>
              <w:top w:w="90" w:type="dxa"/>
              <w:start w:w="100" w:type="dxa"/>
              <w:bottom w:w="90" w:type="dxa"/>
              <w:end w:w="100" w:type="dxa"/>
            </w:tcMar>
          </w:tcPr>
          <w:p>
            <w:pPr>
              <w:spacing w:after="40" w:before="40"/>
            </w:pPr>
            <w:r>
              <w:rPr>
                <w:sz w:val="17"/>
              </w:rPr>
              <w:t>409/422</w:t>
            </w:r>
          </w:p>
        </w:tc>
      </w:tr>
      <w:tr>
        <w:trPr>
          <w:cantSplit/>
        </w:trPr>
        <w:tc>
          <w:tcPr>
            <w:tcW w:type="dxa" w:w="2016"/>
            <w:vAlign w:val="center"/>
            <w:tcMar>
              <w:top w:w="90" w:type="dxa"/>
              <w:start w:w="100" w:type="dxa"/>
              <w:bottom w:w="90" w:type="dxa"/>
              <w:end w:w="100" w:type="dxa"/>
            </w:tcMar>
          </w:tcPr>
          <w:p>
            <w:pPr>
              <w:spacing w:after="40" w:before="40"/>
            </w:pPr>
            <w:r>
              <w:rPr>
                <w:sz w:val="17"/>
              </w:rPr>
              <w:t>SF-FORM-002</w:t>
            </w:r>
          </w:p>
        </w:tc>
        <w:tc>
          <w:tcPr>
            <w:tcW w:type="dxa" w:w="6912"/>
            <w:vAlign w:val="center"/>
            <w:tcMar>
              <w:top w:w="90" w:type="dxa"/>
              <w:start w:w="100" w:type="dxa"/>
              <w:bottom w:w="90" w:type="dxa"/>
              <w:end w:w="100" w:type="dxa"/>
            </w:tcMar>
          </w:tcPr>
          <w:p>
            <w:pPr>
              <w:spacing w:after="40" w:before="40"/>
            </w:pPr>
            <w:r>
              <w:rPr>
                <w:sz w:val="17"/>
              </w:rPr>
              <w:t>Form schema validation failed</w:t>
            </w:r>
          </w:p>
        </w:tc>
        <w:tc>
          <w:tcPr>
            <w:tcW w:type="dxa" w:w="1440"/>
            <w:vAlign w:val="center"/>
            <w:tcMar>
              <w:top w:w="90" w:type="dxa"/>
              <w:start w:w="100" w:type="dxa"/>
              <w:bottom w:w="90" w:type="dxa"/>
              <w:end w:w="100" w:type="dxa"/>
            </w:tcMar>
          </w:tcPr>
          <w:p>
            <w:pPr>
              <w:spacing w:after="40" w:before="40"/>
            </w:pPr>
            <w:r>
              <w:rPr>
                <w:sz w:val="17"/>
              </w:rPr>
              <w:t>422</w:t>
            </w:r>
          </w:p>
        </w:tc>
      </w:tr>
      <w:tr>
        <w:trPr>
          <w:cantSplit/>
        </w:trPr>
        <w:tc>
          <w:tcPr>
            <w:tcW w:type="dxa" w:w="2016"/>
            <w:vAlign w:val="center"/>
            <w:tcMar>
              <w:top w:w="90" w:type="dxa"/>
              <w:start w:w="100" w:type="dxa"/>
              <w:bottom w:w="90" w:type="dxa"/>
              <w:end w:w="100" w:type="dxa"/>
            </w:tcMar>
          </w:tcPr>
          <w:p>
            <w:pPr>
              <w:spacing w:after="40" w:before="40"/>
            </w:pPr>
            <w:r>
              <w:rPr>
                <w:sz w:val="17"/>
              </w:rPr>
              <w:t>SF-RULE-001</w:t>
            </w:r>
          </w:p>
        </w:tc>
        <w:tc>
          <w:tcPr>
            <w:tcW w:type="dxa" w:w="6912"/>
            <w:vAlign w:val="center"/>
            <w:tcMar>
              <w:top w:w="90" w:type="dxa"/>
              <w:start w:w="100" w:type="dxa"/>
              <w:bottom w:w="90" w:type="dxa"/>
              <w:end w:w="100" w:type="dxa"/>
            </w:tcMar>
          </w:tcPr>
          <w:p>
            <w:pPr>
              <w:spacing w:after="40" w:before="40"/>
            </w:pPr>
            <w:r>
              <w:rPr>
                <w:sz w:val="17"/>
              </w:rPr>
              <w:t>Rule evaluation failed safely</w:t>
            </w:r>
          </w:p>
        </w:tc>
        <w:tc>
          <w:tcPr>
            <w:tcW w:type="dxa" w:w="1440"/>
            <w:vAlign w:val="center"/>
            <w:tcMar>
              <w:top w:w="90" w:type="dxa"/>
              <w:start w:w="100" w:type="dxa"/>
              <w:bottom w:w="90" w:type="dxa"/>
              <w:end w:w="100" w:type="dxa"/>
            </w:tcMar>
          </w:tcPr>
          <w:p>
            <w:pPr>
              <w:spacing w:after="40" w:before="40"/>
            </w:pPr>
            <w:r>
              <w:rPr>
                <w:sz w:val="17"/>
              </w:rPr>
              <w:t>422/500</w:t>
            </w:r>
          </w:p>
        </w:tc>
      </w:tr>
      <w:tr>
        <w:trPr>
          <w:cantSplit/>
        </w:trPr>
        <w:tc>
          <w:tcPr>
            <w:tcW w:type="dxa" w:w="2016"/>
            <w:vAlign w:val="center"/>
            <w:tcMar>
              <w:top w:w="90" w:type="dxa"/>
              <w:start w:w="100" w:type="dxa"/>
              <w:bottom w:w="90" w:type="dxa"/>
              <w:end w:w="100" w:type="dxa"/>
            </w:tcMar>
          </w:tcPr>
          <w:p>
            <w:pPr>
              <w:spacing w:after="40" w:before="40"/>
            </w:pPr>
            <w:r>
              <w:rPr>
                <w:sz w:val="17"/>
              </w:rPr>
              <w:t>SF-RULE-002</w:t>
            </w:r>
          </w:p>
        </w:tc>
        <w:tc>
          <w:tcPr>
            <w:tcW w:type="dxa" w:w="6912"/>
            <w:vAlign w:val="center"/>
            <w:tcMar>
              <w:top w:w="90" w:type="dxa"/>
              <w:start w:w="100" w:type="dxa"/>
              <w:bottom w:w="90" w:type="dxa"/>
              <w:end w:w="100" w:type="dxa"/>
            </w:tcMar>
          </w:tcPr>
          <w:p>
            <w:pPr>
              <w:spacing w:after="40" w:before="40"/>
            </w:pPr>
            <w:r>
              <w:rPr>
                <w:sz w:val="17"/>
              </w:rPr>
              <w:t>Eligibility conditions not satisfied</w:t>
            </w:r>
          </w:p>
        </w:tc>
        <w:tc>
          <w:tcPr>
            <w:tcW w:type="dxa" w:w="1440"/>
            <w:vAlign w:val="center"/>
            <w:tcMar>
              <w:top w:w="90" w:type="dxa"/>
              <w:start w:w="100" w:type="dxa"/>
              <w:bottom w:w="90" w:type="dxa"/>
              <w:end w:w="100" w:type="dxa"/>
            </w:tcMar>
          </w:tcPr>
          <w:p>
            <w:pPr>
              <w:spacing w:after="40" w:before="40"/>
            </w:pPr>
            <w:r>
              <w:rPr>
                <w:sz w:val="17"/>
              </w:rPr>
              <w:t>422</w:t>
            </w:r>
          </w:p>
        </w:tc>
      </w:tr>
      <w:tr>
        <w:trPr>
          <w:cantSplit/>
        </w:trPr>
        <w:tc>
          <w:tcPr>
            <w:tcW w:type="dxa" w:w="2016"/>
            <w:vAlign w:val="center"/>
            <w:tcMar>
              <w:top w:w="90" w:type="dxa"/>
              <w:start w:w="100" w:type="dxa"/>
              <w:bottom w:w="90" w:type="dxa"/>
              <w:end w:w="100" w:type="dxa"/>
            </w:tcMar>
          </w:tcPr>
          <w:p>
            <w:pPr>
              <w:spacing w:after="40" w:before="40"/>
            </w:pPr>
            <w:r>
              <w:rPr>
                <w:sz w:val="17"/>
              </w:rPr>
              <w:t>SF-APP-001</w:t>
            </w:r>
          </w:p>
        </w:tc>
        <w:tc>
          <w:tcPr>
            <w:tcW w:type="dxa" w:w="6912"/>
            <w:vAlign w:val="center"/>
            <w:tcMar>
              <w:top w:w="90" w:type="dxa"/>
              <w:start w:w="100" w:type="dxa"/>
              <w:bottom w:w="90" w:type="dxa"/>
              <w:end w:w="100" w:type="dxa"/>
            </w:tcMar>
          </w:tcPr>
          <w:p>
            <w:pPr>
              <w:spacing w:after="40" w:before="40"/>
            </w:pPr>
            <w:r>
              <w:rPr>
                <w:sz w:val="17"/>
              </w:rPr>
              <w:t>Invalid application state transition</w:t>
            </w:r>
          </w:p>
        </w:tc>
        <w:tc>
          <w:tcPr>
            <w:tcW w:type="dxa" w:w="1440"/>
            <w:vAlign w:val="center"/>
            <w:tcMar>
              <w:top w:w="90" w:type="dxa"/>
              <w:start w:w="100" w:type="dxa"/>
              <w:bottom w:w="90" w:type="dxa"/>
              <w:end w:w="100" w:type="dxa"/>
            </w:tcMar>
          </w:tcPr>
          <w:p>
            <w:pPr>
              <w:spacing w:after="40" w:before="40"/>
            </w:pPr>
            <w:r>
              <w:rPr>
                <w:sz w:val="17"/>
              </w:rPr>
              <w:t>409</w:t>
            </w:r>
          </w:p>
        </w:tc>
      </w:tr>
      <w:tr>
        <w:trPr>
          <w:cantSplit/>
        </w:trPr>
        <w:tc>
          <w:tcPr>
            <w:tcW w:type="dxa" w:w="2016"/>
            <w:vAlign w:val="center"/>
            <w:tcMar>
              <w:top w:w="90" w:type="dxa"/>
              <w:start w:w="100" w:type="dxa"/>
              <w:bottom w:w="90" w:type="dxa"/>
              <w:end w:w="100" w:type="dxa"/>
            </w:tcMar>
          </w:tcPr>
          <w:p>
            <w:pPr>
              <w:spacing w:after="40" w:before="40"/>
            </w:pPr>
            <w:r>
              <w:rPr>
                <w:sz w:val="17"/>
              </w:rPr>
              <w:t>SF-APP-002</w:t>
            </w:r>
          </w:p>
        </w:tc>
        <w:tc>
          <w:tcPr>
            <w:tcW w:type="dxa" w:w="6912"/>
            <w:vAlign w:val="center"/>
            <w:tcMar>
              <w:top w:w="90" w:type="dxa"/>
              <w:start w:w="100" w:type="dxa"/>
              <w:bottom w:w="90" w:type="dxa"/>
              <w:end w:w="100" w:type="dxa"/>
            </w:tcMar>
          </w:tcPr>
          <w:p>
            <w:pPr>
              <w:spacing w:after="40" w:before="40"/>
            </w:pPr>
            <w:r>
              <w:rPr>
                <w:sz w:val="17"/>
              </w:rPr>
              <w:t>Duplicate submission / idempotency conflict</w:t>
            </w:r>
          </w:p>
        </w:tc>
        <w:tc>
          <w:tcPr>
            <w:tcW w:type="dxa" w:w="1440"/>
            <w:vAlign w:val="center"/>
            <w:tcMar>
              <w:top w:w="90" w:type="dxa"/>
              <w:start w:w="100" w:type="dxa"/>
              <w:bottom w:w="90" w:type="dxa"/>
              <w:end w:w="100" w:type="dxa"/>
            </w:tcMar>
          </w:tcPr>
          <w:p>
            <w:pPr>
              <w:spacing w:after="40" w:before="40"/>
            </w:pPr>
            <w:r>
              <w:rPr>
                <w:sz w:val="17"/>
              </w:rPr>
              <w:t>409</w:t>
            </w:r>
          </w:p>
        </w:tc>
      </w:tr>
      <w:tr>
        <w:trPr>
          <w:cantSplit/>
        </w:trPr>
        <w:tc>
          <w:tcPr>
            <w:tcW w:type="dxa" w:w="2016"/>
            <w:vAlign w:val="center"/>
            <w:tcMar>
              <w:top w:w="90" w:type="dxa"/>
              <w:start w:w="100" w:type="dxa"/>
              <w:bottom w:w="90" w:type="dxa"/>
              <w:end w:w="100" w:type="dxa"/>
            </w:tcMar>
          </w:tcPr>
          <w:p>
            <w:pPr>
              <w:spacing w:after="40" w:before="40"/>
            </w:pPr>
            <w:r>
              <w:rPr>
                <w:sz w:val="17"/>
              </w:rPr>
              <w:t>SF-EVD-001</w:t>
            </w:r>
          </w:p>
        </w:tc>
        <w:tc>
          <w:tcPr>
            <w:tcW w:type="dxa" w:w="6912"/>
            <w:vAlign w:val="center"/>
            <w:tcMar>
              <w:top w:w="90" w:type="dxa"/>
              <w:start w:w="100" w:type="dxa"/>
              <w:bottom w:w="90" w:type="dxa"/>
              <w:end w:w="100" w:type="dxa"/>
            </w:tcMar>
          </w:tcPr>
          <w:p>
            <w:pPr>
              <w:spacing w:after="40" w:before="40"/>
            </w:pPr>
            <w:r>
              <w:rPr>
                <w:sz w:val="17"/>
              </w:rPr>
              <w:t>Required evidence missing</w:t>
            </w:r>
          </w:p>
        </w:tc>
        <w:tc>
          <w:tcPr>
            <w:tcW w:type="dxa" w:w="1440"/>
            <w:vAlign w:val="center"/>
            <w:tcMar>
              <w:top w:w="90" w:type="dxa"/>
              <w:start w:w="100" w:type="dxa"/>
              <w:bottom w:w="90" w:type="dxa"/>
              <w:end w:w="100" w:type="dxa"/>
            </w:tcMar>
          </w:tcPr>
          <w:p>
            <w:pPr>
              <w:spacing w:after="40" w:before="40"/>
            </w:pPr>
            <w:r>
              <w:rPr>
                <w:sz w:val="17"/>
              </w:rPr>
              <w:t>422</w:t>
            </w:r>
          </w:p>
        </w:tc>
      </w:tr>
      <w:tr>
        <w:trPr>
          <w:cantSplit/>
        </w:trPr>
        <w:tc>
          <w:tcPr>
            <w:tcW w:type="dxa" w:w="2016"/>
            <w:vAlign w:val="center"/>
            <w:tcMar>
              <w:top w:w="90" w:type="dxa"/>
              <w:start w:w="100" w:type="dxa"/>
              <w:bottom w:w="90" w:type="dxa"/>
              <w:end w:w="100" w:type="dxa"/>
            </w:tcMar>
          </w:tcPr>
          <w:p>
            <w:pPr>
              <w:spacing w:after="40" w:before="40"/>
            </w:pPr>
            <w:r>
              <w:rPr>
                <w:sz w:val="17"/>
              </w:rPr>
              <w:t>SF-EVD-002</w:t>
            </w:r>
          </w:p>
        </w:tc>
        <w:tc>
          <w:tcPr>
            <w:tcW w:type="dxa" w:w="6912"/>
            <w:vAlign w:val="center"/>
            <w:tcMar>
              <w:top w:w="90" w:type="dxa"/>
              <w:start w:w="100" w:type="dxa"/>
              <w:bottom w:w="90" w:type="dxa"/>
              <w:end w:w="100" w:type="dxa"/>
            </w:tcMar>
          </w:tcPr>
          <w:p>
            <w:pPr>
              <w:spacing w:after="40" w:before="40"/>
            </w:pPr>
            <w:r>
              <w:rPr>
                <w:sz w:val="17"/>
              </w:rPr>
              <w:t>Evidence expired or invalid</w:t>
            </w:r>
          </w:p>
        </w:tc>
        <w:tc>
          <w:tcPr>
            <w:tcW w:type="dxa" w:w="1440"/>
            <w:vAlign w:val="center"/>
            <w:tcMar>
              <w:top w:w="90" w:type="dxa"/>
              <w:start w:w="100" w:type="dxa"/>
              <w:bottom w:w="90" w:type="dxa"/>
              <w:end w:w="100" w:type="dxa"/>
            </w:tcMar>
          </w:tcPr>
          <w:p>
            <w:pPr>
              <w:spacing w:after="40" w:before="40"/>
            </w:pPr>
            <w:r>
              <w:rPr>
                <w:sz w:val="17"/>
              </w:rPr>
              <w:t>422</w:t>
            </w:r>
          </w:p>
        </w:tc>
      </w:tr>
      <w:tr>
        <w:trPr>
          <w:cantSplit/>
        </w:trPr>
        <w:tc>
          <w:tcPr>
            <w:tcW w:type="dxa" w:w="2016"/>
            <w:vAlign w:val="center"/>
            <w:tcMar>
              <w:top w:w="90" w:type="dxa"/>
              <w:start w:w="100" w:type="dxa"/>
              <w:bottom w:w="90" w:type="dxa"/>
              <w:end w:w="100" w:type="dxa"/>
            </w:tcMar>
          </w:tcPr>
          <w:p>
            <w:pPr>
              <w:spacing w:after="40" w:before="40"/>
            </w:pPr>
            <w:r>
              <w:rPr>
                <w:sz w:val="17"/>
              </w:rPr>
              <w:t>SF-PAY-001</w:t>
            </w:r>
          </w:p>
        </w:tc>
        <w:tc>
          <w:tcPr>
            <w:tcW w:type="dxa" w:w="6912"/>
            <w:vAlign w:val="center"/>
            <w:tcMar>
              <w:top w:w="90" w:type="dxa"/>
              <w:start w:w="100" w:type="dxa"/>
              <w:bottom w:w="90" w:type="dxa"/>
              <w:end w:w="100" w:type="dxa"/>
            </w:tcMar>
          </w:tcPr>
          <w:p>
            <w:pPr>
              <w:spacing w:after="40" w:before="40"/>
            </w:pPr>
            <w:r>
              <w:rPr>
                <w:sz w:val="17"/>
              </w:rPr>
              <w:t>Payment pending</w:t>
            </w:r>
          </w:p>
        </w:tc>
        <w:tc>
          <w:tcPr>
            <w:tcW w:type="dxa" w:w="1440"/>
            <w:vAlign w:val="center"/>
            <w:tcMar>
              <w:top w:w="90" w:type="dxa"/>
              <w:start w:w="100" w:type="dxa"/>
              <w:bottom w:w="90" w:type="dxa"/>
              <w:end w:w="100" w:type="dxa"/>
            </w:tcMar>
          </w:tcPr>
          <w:p>
            <w:pPr>
              <w:spacing w:after="40" w:before="40"/>
            </w:pPr>
            <w:r>
              <w:rPr>
                <w:sz w:val="17"/>
              </w:rPr>
              <w:t>409</w:t>
            </w:r>
          </w:p>
        </w:tc>
      </w:tr>
      <w:tr>
        <w:trPr>
          <w:cantSplit/>
        </w:trPr>
        <w:tc>
          <w:tcPr>
            <w:tcW w:type="dxa" w:w="2016"/>
            <w:vAlign w:val="center"/>
            <w:tcMar>
              <w:top w:w="90" w:type="dxa"/>
              <w:start w:w="100" w:type="dxa"/>
              <w:bottom w:w="90" w:type="dxa"/>
              <w:end w:w="100" w:type="dxa"/>
            </w:tcMar>
          </w:tcPr>
          <w:p>
            <w:pPr>
              <w:spacing w:after="40" w:before="40"/>
            </w:pPr>
            <w:r>
              <w:rPr>
                <w:sz w:val="17"/>
              </w:rPr>
              <w:t>SF-PAY-002</w:t>
            </w:r>
          </w:p>
        </w:tc>
        <w:tc>
          <w:tcPr>
            <w:tcW w:type="dxa" w:w="6912"/>
            <w:vAlign w:val="center"/>
            <w:tcMar>
              <w:top w:w="90" w:type="dxa"/>
              <w:start w:w="100" w:type="dxa"/>
              <w:bottom w:w="90" w:type="dxa"/>
              <w:end w:w="100" w:type="dxa"/>
            </w:tcMar>
          </w:tcPr>
          <w:p>
            <w:pPr>
              <w:spacing w:after="40" w:before="40"/>
            </w:pPr>
            <w:r>
              <w:rPr>
                <w:sz w:val="17"/>
              </w:rPr>
              <w:t>Duplicate payment detected</w:t>
            </w:r>
          </w:p>
        </w:tc>
        <w:tc>
          <w:tcPr>
            <w:tcW w:type="dxa" w:w="1440"/>
            <w:vAlign w:val="center"/>
            <w:tcMar>
              <w:top w:w="90" w:type="dxa"/>
              <w:start w:w="100" w:type="dxa"/>
              <w:bottom w:w="90" w:type="dxa"/>
              <w:end w:w="100" w:type="dxa"/>
            </w:tcMar>
          </w:tcPr>
          <w:p>
            <w:pPr>
              <w:spacing w:after="40" w:before="40"/>
            </w:pPr>
            <w:r>
              <w:rPr>
                <w:sz w:val="17"/>
              </w:rPr>
              <w:t>409</w:t>
            </w:r>
          </w:p>
        </w:tc>
      </w:tr>
      <w:tr>
        <w:trPr>
          <w:cantSplit/>
        </w:trPr>
        <w:tc>
          <w:tcPr>
            <w:tcW w:type="dxa" w:w="2016"/>
            <w:vAlign w:val="center"/>
            <w:tcMar>
              <w:top w:w="90" w:type="dxa"/>
              <w:start w:w="100" w:type="dxa"/>
              <w:bottom w:w="90" w:type="dxa"/>
              <w:end w:w="100" w:type="dxa"/>
            </w:tcMar>
          </w:tcPr>
          <w:p>
            <w:pPr>
              <w:spacing w:after="40" w:before="40"/>
            </w:pPr>
            <w:r>
              <w:rPr>
                <w:sz w:val="17"/>
              </w:rPr>
              <w:t>SF-WF-001</w:t>
            </w:r>
          </w:p>
        </w:tc>
        <w:tc>
          <w:tcPr>
            <w:tcW w:type="dxa" w:w="6912"/>
            <w:vAlign w:val="center"/>
            <w:tcMar>
              <w:top w:w="90" w:type="dxa"/>
              <w:start w:w="100" w:type="dxa"/>
              <w:bottom w:w="90" w:type="dxa"/>
              <w:end w:w="100" w:type="dxa"/>
            </w:tcMar>
          </w:tcPr>
          <w:p>
            <w:pPr>
              <w:spacing w:after="40" w:before="40"/>
            </w:pPr>
            <w:r>
              <w:rPr>
                <w:sz w:val="17"/>
              </w:rPr>
              <w:t>Workflow transition rejected</w:t>
            </w:r>
          </w:p>
        </w:tc>
        <w:tc>
          <w:tcPr>
            <w:tcW w:type="dxa" w:w="1440"/>
            <w:vAlign w:val="center"/>
            <w:tcMar>
              <w:top w:w="90" w:type="dxa"/>
              <w:start w:w="100" w:type="dxa"/>
              <w:bottom w:w="90" w:type="dxa"/>
              <w:end w:w="100" w:type="dxa"/>
            </w:tcMar>
          </w:tcPr>
          <w:p>
            <w:pPr>
              <w:spacing w:after="40" w:before="40"/>
            </w:pPr>
            <w:r>
              <w:rPr>
                <w:sz w:val="17"/>
              </w:rPr>
              <w:t>409</w:t>
            </w:r>
          </w:p>
        </w:tc>
      </w:tr>
      <w:tr>
        <w:trPr>
          <w:cantSplit/>
        </w:trPr>
        <w:tc>
          <w:tcPr>
            <w:tcW w:type="dxa" w:w="2016"/>
            <w:vAlign w:val="center"/>
            <w:tcMar>
              <w:top w:w="90" w:type="dxa"/>
              <w:start w:w="100" w:type="dxa"/>
              <w:bottom w:w="90" w:type="dxa"/>
              <w:end w:w="100" w:type="dxa"/>
            </w:tcMar>
          </w:tcPr>
          <w:p>
            <w:pPr>
              <w:spacing w:after="40" w:before="40"/>
            </w:pPr>
            <w:r>
              <w:rPr>
                <w:sz w:val="17"/>
              </w:rPr>
              <w:t>SF-CRED-001</w:t>
            </w:r>
          </w:p>
        </w:tc>
        <w:tc>
          <w:tcPr>
            <w:tcW w:type="dxa" w:w="6912"/>
            <w:vAlign w:val="center"/>
            <w:tcMar>
              <w:top w:w="90" w:type="dxa"/>
              <w:start w:w="100" w:type="dxa"/>
              <w:bottom w:w="90" w:type="dxa"/>
              <w:end w:w="100" w:type="dxa"/>
            </w:tcMar>
          </w:tcPr>
          <w:p>
            <w:pPr>
              <w:spacing w:after="40" w:before="40"/>
            </w:pPr>
            <w:r>
              <w:rPr>
                <w:sz w:val="17"/>
              </w:rPr>
              <w:t>Credential signing/issuance failed</w:t>
            </w:r>
          </w:p>
        </w:tc>
        <w:tc>
          <w:tcPr>
            <w:tcW w:type="dxa" w:w="1440"/>
            <w:vAlign w:val="center"/>
            <w:tcMar>
              <w:top w:w="90" w:type="dxa"/>
              <w:start w:w="100" w:type="dxa"/>
              <w:bottom w:w="90" w:type="dxa"/>
              <w:end w:w="100" w:type="dxa"/>
            </w:tcMar>
          </w:tcPr>
          <w:p>
            <w:pPr>
              <w:spacing w:after="40" w:before="40"/>
            </w:pPr>
            <w:r>
              <w:rPr>
                <w:sz w:val="17"/>
              </w:rPr>
              <w:t>503</w:t>
            </w:r>
          </w:p>
        </w:tc>
      </w:tr>
      <w:tr>
        <w:trPr>
          <w:cantSplit/>
        </w:trPr>
        <w:tc>
          <w:tcPr>
            <w:tcW w:type="dxa" w:w="2016"/>
            <w:vAlign w:val="center"/>
            <w:tcMar>
              <w:top w:w="90" w:type="dxa"/>
              <w:start w:w="100" w:type="dxa"/>
              <w:bottom w:w="90" w:type="dxa"/>
              <w:end w:w="100" w:type="dxa"/>
            </w:tcMar>
          </w:tcPr>
          <w:p>
            <w:pPr>
              <w:spacing w:after="40" w:before="40"/>
            </w:pPr>
            <w:r>
              <w:rPr>
                <w:sz w:val="17"/>
              </w:rPr>
              <w:t>SF-INT-001</w:t>
            </w:r>
          </w:p>
        </w:tc>
        <w:tc>
          <w:tcPr>
            <w:tcW w:type="dxa" w:w="6912"/>
            <w:vAlign w:val="center"/>
            <w:tcMar>
              <w:top w:w="90" w:type="dxa"/>
              <w:start w:w="100" w:type="dxa"/>
              <w:bottom w:w="90" w:type="dxa"/>
              <w:end w:w="100" w:type="dxa"/>
            </w:tcMar>
          </w:tcPr>
          <w:p>
            <w:pPr>
              <w:spacing w:after="40" w:before="40"/>
            </w:pPr>
            <w:r>
              <w:rPr>
                <w:sz w:val="17"/>
              </w:rPr>
              <w:t>External integration temporarily unavailable</w:t>
            </w:r>
          </w:p>
        </w:tc>
        <w:tc>
          <w:tcPr>
            <w:tcW w:type="dxa" w:w="1440"/>
            <w:vAlign w:val="center"/>
            <w:tcMar>
              <w:top w:w="90" w:type="dxa"/>
              <w:start w:w="100" w:type="dxa"/>
              <w:bottom w:w="90" w:type="dxa"/>
              <w:end w:w="100" w:type="dxa"/>
            </w:tcMar>
          </w:tcPr>
          <w:p>
            <w:pPr>
              <w:spacing w:after="40" w:before="40"/>
            </w:pPr>
            <w:r>
              <w:rPr>
                <w:sz w:val="17"/>
              </w:rPr>
              <w:t>503</w:t>
            </w:r>
          </w:p>
        </w:tc>
      </w:tr>
      <w:tr>
        <w:trPr>
          <w:cantSplit/>
        </w:trPr>
        <w:tc>
          <w:tcPr>
            <w:tcW w:type="dxa" w:w="2016"/>
            <w:vAlign w:val="center"/>
            <w:tcMar>
              <w:top w:w="90" w:type="dxa"/>
              <w:start w:w="100" w:type="dxa"/>
              <w:bottom w:w="90" w:type="dxa"/>
              <w:end w:w="100" w:type="dxa"/>
            </w:tcMar>
          </w:tcPr>
          <w:p>
            <w:pPr>
              <w:spacing w:after="40" w:before="40"/>
            </w:pPr>
            <w:r>
              <w:rPr>
                <w:sz w:val="17"/>
              </w:rPr>
              <w:t>SF-RATE-001</w:t>
            </w:r>
          </w:p>
        </w:tc>
        <w:tc>
          <w:tcPr>
            <w:tcW w:type="dxa" w:w="6912"/>
            <w:vAlign w:val="center"/>
            <w:tcMar>
              <w:top w:w="90" w:type="dxa"/>
              <w:start w:w="100" w:type="dxa"/>
              <w:bottom w:w="90" w:type="dxa"/>
              <w:end w:w="100" w:type="dxa"/>
            </w:tcMar>
          </w:tcPr>
          <w:p>
            <w:pPr>
              <w:spacing w:after="40" w:before="40"/>
            </w:pPr>
            <w:r>
              <w:rPr>
                <w:sz w:val="17"/>
              </w:rPr>
              <w:t>Rate limit exceeded</w:t>
            </w:r>
          </w:p>
        </w:tc>
        <w:tc>
          <w:tcPr>
            <w:tcW w:type="dxa" w:w="1440"/>
            <w:vAlign w:val="center"/>
            <w:tcMar>
              <w:top w:w="90" w:type="dxa"/>
              <w:start w:w="100" w:type="dxa"/>
              <w:bottom w:w="90" w:type="dxa"/>
              <w:end w:w="100" w:type="dxa"/>
            </w:tcMar>
          </w:tcPr>
          <w:p>
            <w:pPr>
              <w:spacing w:after="40" w:before="40"/>
            </w:pPr>
            <w:r>
              <w:rPr>
                <w:sz w:val="17"/>
              </w:rPr>
              <w:t>429</w:t>
            </w:r>
          </w:p>
        </w:tc>
      </w:tr>
    </w:tbl>
    <w:p>
      <w:pPr>
        <w:pStyle w:val="Heading2"/>
      </w:pPr>
      <w:r>
        <w:t>13.4 Idempotency contract</w:t>
      </w:r>
    </w:p>
    <w:p>
      <w:pPr>
        <w:pStyle w:val="ListBullet"/>
        <w:ind w:left="360"/>
      </w:pPr>
      <w:r>
        <w:t>Idempotency key scope = authenticated principal/tenant + endpoint + key; keys cannot be reused with materially different payloads.</w:t>
      </w:r>
    </w:p>
    <w:p>
      <w:pPr>
        <w:pStyle w:val="ListBullet"/>
        <w:ind w:left="360"/>
      </w:pPr>
      <w:r>
        <w:t>The authoritative idempotency record stores request fingerprint, processing status and final response reference for a bounded retention period.</w:t>
      </w:r>
    </w:p>
    <w:p>
      <w:pPr>
        <w:pStyle w:val="ListBullet"/>
        <w:ind w:left="360"/>
      </w:pPr>
      <w:r>
        <w:t>Payment, submission, credential issuance, notifications and external registry writes each require domain-specific duplicate protection in addition to API idempotency.</w:t>
      </w:r>
    </w:p>
    <w:p>
      <w:r>
        <w:br w:type="page"/>
      </w:r>
    </w:p>
    <w:p>
      <w:pPr>
        <w:pStyle w:val="Heading1"/>
      </w:pPr>
      <w:r>
        <w:t>14. Data Classification, Privacy, Retention &amp; Audit</w:t>
      </w:r>
    </w:p>
    <w:p>
      <w:pPr>
        <w:pStyle w:val="Heading2"/>
      </w:pPr>
      <w:r>
        <w:t>14.1 Mandatory data/isolation classification</w:t>
      </w:r>
    </w:p>
    <w:tbl>
      <w:tblPr>
        <w:tblW w:type="auto" w:w="0"/>
        <w:tblLayout w:type="autofit"/>
        <w:tblLook w:firstColumn="1" w:firstRow="1" w:lastColumn="0" w:lastRow="0" w:noHBand="0" w:noVBand="1" w:val="04A0"/>
      </w:tblPr>
      <w:tblGrid>
        <w:gridCol w:w="5083"/>
        <w:gridCol w:w="5083"/>
      </w:tblGrid>
      <w:tr>
        <w:trPr>
          <w:cantSplit/>
        </w:trPr>
        <w:tc>
          <w:tcPr>
            <w:tcW w:type="dxa" w:w="2160"/>
            <w:vAlign w:val="center"/>
            <w:tcMar>
              <w:top w:w="90" w:type="dxa"/>
              <w:start w:w="100" w:type="dxa"/>
              <w:bottom w:w="90" w:type="dxa"/>
              <w:end w:w="100" w:type="dxa"/>
            </w:tcMar>
            <w:shd w:fill="1F4E78"/>
          </w:tcPr>
          <w:p>
            <w:pPr>
              <w:spacing w:after="40" w:before="40"/>
            </w:pPr>
            <w:r>
              <w:rPr>
                <w:b/>
                <w:color w:val="FFFFFF"/>
                <w:sz w:val="17"/>
              </w:rPr>
              <w:t>Classification</w:t>
            </w:r>
          </w:p>
        </w:tc>
        <w:tc>
          <w:tcPr>
            <w:tcW w:type="dxa" w:w="8064"/>
            <w:vAlign w:val="center"/>
            <w:tcMar>
              <w:top w:w="90" w:type="dxa"/>
              <w:start w:w="100" w:type="dxa"/>
              <w:bottom w:w="90" w:type="dxa"/>
              <w:end w:w="100" w:type="dxa"/>
            </w:tcMar>
            <w:shd w:fill="1F4E78"/>
          </w:tcPr>
          <w:p>
            <w:pPr>
              <w:spacing w:after="40" w:before="40"/>
            </w:pPr>
            <w:r>
              <w:rPr>
                <w:b/>
                <w:color w:val="FFFFFF"/>
                <w:sz w:val="17"/>
              </w:rPr>
              <w:t>Definition</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GLOBAL</w:t>
            </w:r>
          </w:p>
        </w:tc>
        <w:tc>
          <w:tcPr>
            <w:tcW w:type="dxa" w:w="8064"/>
            <w:vAlign w:val="center"/>
            <w:tcMar>
              <w:top w:w="90" w:type="dxa"/>
              <w:start w:w="100" w:type="dxa"/>
              <w:bottom w:w="90" w:type="dxa"/>
              <w:end w:w="100" w:type="dxa"/>
            </w:tcMar>
          </w:tcPr>
          <w:p>
            <w:pPr>
              <w:spacing w:after="40" w:before="40"/>
            </w:pPr>
            <w:r>
              <w:rPr>
                <w:sz w:val="17"/>
              </w:rPr>
              <w:t>Platform/canonical reference data legitimately shared across tenants. Must be explicitly declared; do not use NULL tenant_id as an accidental global marker.</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TENANT_SCOPED</w:t>
            </w:r>
          </w:p>
        </w:tc>
        <w:tc>
          <w:tcPr>
            <w:tcW w:type="dxa" w:w="8064"/>
            <w:vAlign w:val="center"/>
            <w:tcMar>
              <w:top w:w="90" w:type="dxa"/>
              <w:start w:w="100" w:type="dxa"/>
              <w:bottom w:w="90" w:type="dxa"/>
              <w:end w:w="100" w:type="dxa"/>
            </w:tcMar>
          </w:tcPr>
          <w:p>
            <w:pPr>
              <w:spacing w:after="40" w:before="40"/>
            </w:pPr>
            <w:r>
              <w:rPr>
                <w:sz w:val="17"/>
              </w:rPr>
              <w:t>Data owned by one tenant. tenant_id mandatory and RLS-enforced in pooled storage.</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JURISDICTION_SCOPED</w:t>
            </w:r>
          </w:p>
        </w:tc>
        <w:tc>
          <w:tcPr>
            <w:tcW w:type="dxa" w:w="8064"/>
            <w:vAlign w:val="center"/>
            <w:tcMar>
              <w:top w:w="90" w:type="dxa"/>
              <w:start w:w="100" w:type="dxa"/>
              <w:bottom w:w="90" w:type="dxa"/>
              <w:end w:w="100" w:type="dxa"/>
            </w:tcMar>
          </w:tcPr>
          <w:p>
            <w:pPr>
              <w:spacing w:after="40" w:before="40"/>
            </w:pPr>
            <w:r>
              <w:rPr>
                <w:sz w:val="17"/>
              </w:rPr>
              <w:t>Tenant data further limited by legal/geographical jurisdiction and authorization policy.</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CITIZEN_PRIVATE</w:t>
            </w:r>
          </w:p>
        </w:tc>
        <w:tc>
          <w:tcPr>
            <w:tcW w:type="dxa" w:w="8064"/>
            <w:vAlign w:val="center"/>
            <w:tcMar>
              <w:top w:w="90" w:type="dxa"/>
              <w:start w:w="100" w:type="dxa"/>
              <w:bottom w:w="90" w:type="dxa"/>
              <w:end w:w="100" w:type="dxa"/>
            </w:tcMar>
          </w:tcPr>
          <w:p>
            <w:pPr>
              <w:spacing w:after="40" w:before="40"/>
            </w:pPr>
            <w:r>
              <w:rPr>
                <w:sz w:val="17"/>
              </w:rPr>
              <w:t>Personal data controlled by citizen/resource authorization and purpose; may span multiple tenant relationships without exposing one tenant to another.</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PLATFORM_OPERATIONAL</w:t>
            </w:r>
          </w:p>
        </w:tc>
        <w:tc>
          <w:tcPr>
            <w:tcW w:type="dxa" w:w="8064"/>
            <w:vAlign w:val="center"/>
            <w:tcMar>
              <w:top w:w="90" w:type="dxa"/>
              <w:start w:w="100" w:type="dxa"/>
              <w:bottom w:w="90" w:type="dxa"/>
              <w:end w:w="100" w:type="dxa"/>
            </w:tcMar>
          </w:tcPr>
          <w:p>
            <w:pPr>
              <w:spacing w:after="40" w:before="40"/>
            </w:pPr>
            <w:r>
              <w:rPr>
                <w:sz w:val="17"/>
              </w:rPr>
              <w:t>Security/operations metadata controlled by platform policies; tenant visibility is intentionally limited.</w:t>
            </w:r>
          </w:p>
        </w:tc>
      </w:tr>
    </w:tbl>
    <w:p>
      <w:pPr>
        <w:pStyle w:val="Heading2"/>
      </w:pPr>
      <w:r>
        <w:t>14.2 Field-level privacy metadata</w:t>
      </w:r>
    </w:p>
    <w:p>
      <w:pPr>
        <w:spacing w:before="80" w:after="120"/>
        <w:ind w:left="360" w:right="144"/>
        <w:shd w:fill="F4F6F7"/>
      </w:pPr>
      <w:r>
        <w:rPr>
          <w:rFonts w:ascii="Courier New" w:hAnsi="Courier New"/>
          <w:sz w:val="16"/>
        </w:rPr>
        <w:t>field: annual_income</w:t>
        <w:br/>
        <w:t>classification: PERSONAL_SENSITIVE</w:t>
        <w:br/>
        <w:t>purpose: SERVICE_ELIGIBILITY</w:t>
        <w:br/>
        <w:t>source: CITIZEN_DECLARED | VERIFIED_REGISTRY</w:t>
        <w:br/>
        <w:t>masking: ROLE_BASED</w:t>
        <w:br/>
        <w:t>retention_policy: RP-INCOME-01</w:t>
        <w:br/>
        <w:t>logging: PROHIBITED</w:t>
        <w:br/>
        <w:t>analytics: AGGREGATED_ONLY</w:t>
        <w:br/>
        <w:t>sharing: EXPLICIT_POLICY</w:t>
      </w:r>
    </w:p>
    <w:p>
      <w:pPr>
        <w:pStyle w:val="Heading2"/>
      </w:pPr>
      <w:r>
        <w:t>14.3 Audit event minimum contract</w:t>
      </w:r>
    </w:p>
    <w:tbl>
      <w:tblPr>
        <w:tblW w:type="auto" w:w="0"/>
        <w:tblLayout w:type="autofit"/>
        <w:tblLook w:firstColumn="1" w:firstRow="1" w:lastColumn="0" w:lastRow="0" w:noHBand="0" w:noVBand="1" w:val="04A0"/>
      </w:tblPr>
      <w:tblGrid>
        <w:gridCol w:w="5083"/>
        <w:gridCol w:w="5083"/>
      </w:tblGrid>
      <w:tr>
        <w:trPr>
          <w:cantSplit/>
        </w:trPr>
        <w:tc>
          <w:tcPr>
            <w:tcW w:type="dxa" w:w="2880"/>
            <w:vAlign w:val="center"/>
            <w:tcMar>
              <w:top w:w="90" w:type="dxa"/>
              <w:start w:w="100" w:type="dxa"/>
              <w:bottom w:w="90" w:type="dxa"/>
              <w:end w:w="100" w:type="dxa"/>
            </w:tcMar>
            <w:shd w:fill="1F4E78"/>
          </w:tcPr>
          <w:p>
            <w:pPr>
              <w:spacing w:after="40" w:before="40"/>
            </w:pPr>
            <w:r>
              <w:rPr>
                <w:b/>
                <w:color w:val="FFFFFF"/>
                <w:sz w:val="17"/>
              </w:rPr>
              <w:t>Field</w:t>
            </w:r>
          </w:p>
        </w:tc>
        <w:tc>
          <w:tcPr>
            <w:tcW w:type="dxa" w:w="7344"/>
            <w:vAlign w:val="center"/>
            <w:tcMar>
              <w:top w:w="90" w:type="dxa"/>
              <w:start w:w="100" w:type="dxa"/>
              <w:bottom w:w="90" w:type="dxa"/>
              <w:end w:w="100" w:type="dxa"/>
            </w:tcMar>
            <w:shd w:fill="1F4E78"/>
          </w:tcPr>
          <w:p>
            <w:pPr>
              <w:spacing w:after="40" w:before="40"/>
            </w:pPr>
            <w:r>
              <w:rPr>
                <w:b/>
                <w:color w:val="FFFFFF"/>
                <w:sz w:val="17"/>
              </w:rPr>
              <w:t>Requirement</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audit_id</w:t>
            </w:r>
          </w:p>
        </w:tc>
        <w:tc>
          <w:tcPr>
            <w:tcW w:type="dxa" w:w="7344"/>
            <w:vAlign w:val="center"/>
            <w:tcMar>
              <w:top w:w="90" w:type="dxa"/>
              <w:start w:w="100" w:type="dxa"/>
              <w:bottom w:w="90" w:type="dxa"/>
              <w:end w:w="100" w:type="dxa"/>
            </w:tcMar>
          </w:tcPr>
          <w:p>
            <w:pPr>
              <w:spacing w:after="40" w:before="40"/>
            </w:pPr>
            <w:r>
              <w:rPr>
                <w:sz w:val="17"/>
              </w:rPr>
              <w:t>Immutable unique identifier</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occurred_at</w:t>
            </w:r>
          </w:p>
        </w:tc>
        <w:tc>
          <w:tcPr>
            <w:tcW w:type="dxa" w:w="7344"/>
            <w:vAlign w:val="center"/>
            <w:tcMar>
              <w:top w:w="90" w:type="dxa"/>
              <w:start w:w="100" w:type="dxa"/>
              <w:bottom w:w="90" w:type="dxa"/>
              <w:end w:w="100" w:type="dxa"/>
            </w:tcMar>
          </w:tcPr>
          <w:p>
            <w:pPr>
              <w:spacing w:after="40" w:before="40"/>
            </w:pPr>
            <w:r>
              <w:rPr>
                <w:sz w:val="17"/>
              </w:rPr>
              <w:t>Server timestamp</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tenant_id</w:t>
            </w:r>
          </w:p>
        </w:tc>
        <w:tc>
          <w:tcPr>
            <w:tcW w:type="dxa" w:w="7344"/>
            <w:vAlign w:val="center"/>
            <w:tcMar>
              <w:top w:w="90" w:type="dxa"/>
              <w:start w:w="100" w:type="dxa"/>
              <w:bottom w:w="90" w:type="dxa"/>
              <w:end w:w="100" w:type="dxa"/>
            </w:tcMar>
          </w:tcPr>
          <w:p>
            <w:pPr>
              <w:spacing w:after="40" w:before="40"/>
            </w:pPr>
            <w:r>
              <w:rPr>
                <w:sz w:val="17"/>
              </w:rPr>
              <w:t>Tenant isolation context</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actor_type / actor_id</w:t>
            </w:r>
          </w:p>
        </w:tc>
        <w:tc>
          <w:tcPr>
            <w:tcW w:type="dxa" w:w="7344"/>
            <w:vAlign w:val="center"/>
            <w:tcMar>
              <w:top w:w="90" w:type="dxa"/>
              <w:start w:w="100" w:type="dxa"/>
              <w:bottom w:w="90" w:type="dxa"/>
              <w:end w:w="100" w:type="dxa"/>
            </w:tcMar>
          </w:tcPr>
          <w:p>
            <w:pPr>
              <w:spacing w:after="40" w:before="40"/>
            </w:pPr>
            <w:r>
              <w:rPr>
                <w:sz w:val="17"/>
              </w:rPr>
              <w:t>Citizen, officer, system, integration or privileged admin</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organisation/office/jurisdiction</w:t>
            </w:r>
          </w:p>
        </w:tc>
        <w:tc>
          <w:tcPr>
            <w:tcW w:type="dxa" w:w="7344"/>
            <w:vAlign w:val="center"/>
            <w:tcMar>
              <w:top w:w="90" w:type="dxa"/>
              <w:start w:w="100" w:type="dxa"/>
              <w:bottom w:w="90" w:type="dxa"/>
              <w:end w:w="100" w:type="dxa"/>
            </w:tcMar>
          </w:tcPr>
          <w:p>
            <w:pPr>
              <w:spacing w:after="40" w:before="40"/>
            </w:pPr>
            <w:r>
              <w:rPr>
                <w:sz w:val="17"/>
              </w:rPr>
              <w:t>Administrative context where applicable</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action</w:t>
            </w:r>
          </w:p>
        </w:tc>
        <w:tc>
          <w:tcPr>
            <w:tcW w:type="dxa" w:w="7344"/>
            <w:vAlign w:val="center"/>
            <w:tcMar>
              <w:top w:w="90" w:type="dxa"/>
              <w:start w:w="100" w:type="dxa"/>
              <w:bottom w:w="90" w:type="dxa"/>
              <w:end w:w="100" w:type="dxa"/>
            </w:tcMar>
          </w:tcPr>
          <w:p>
            <w:pPr>
              <w:spacing w:after="40" w:before="40"/>
            </w:pPr>
            <w:r>
              <w:rPr>
                <w:sz w:val="17"/>
              </w:rPr>
              <w:t>Stable action code</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resource_type / resource_id</w:t>
            </w:r>
          </w:p>
        </w:tc>
        <w:tc>
          <w:tcPr>
            <w:tcW w:type="dxa" w:w="7344"/>
            <w:vAlign w:val="center"/>
            <w:tcMar>
              <w:top w:w="90" w:type="dxa"/>
              <w:start w:w="100" w:type="dxa"/>
              <w:bottom w:w="90" w:type="dxa"/>
              <w:end w:w="100" w:type="dxa"/>
            </w:tcMar>
          </w:tcPr>
          <w:p>
            <w:pPr>
              <w:spacing w:after="40" w:before="40"/>
            </w:pPr>
            <w:r>
              <w:rPr>
                <w:sz w:val="17"/>
              </w:rPr>
              <w:t>Object acted upon</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before/after reference</w:t>
            </w:r>
          </w:p>
        </w:tc>
        <w:tc>
          <w:tcPr>
            <w:tcW w:type="dxa" w:w="7344"/>
            <w:vAlign w:val="center"/>
            <w:tcMar>
              <w:top w:w="90" w:type="dxa"/>
              <w:start w:w="100" w:type="dxa"/>
              <w:bottom w:w="90" w:type="dxa"/>
              <w:end w:w="100" w:type="dxa"/>
            </w:tcMar>
          </w:tcPr>
          <w:p>
            <w:pPr>
              <w:spacing w:after="40" w:before="40"/>
            </w:pPr>
            <w:r>
              <w:rPr>
                <w:sz w:val="17"/>
              </w:rPr>
              <w:t>Diff or version identifiers; avoid duplicating sensitive payloads unnecessarily</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reason</w:t>
            </w:r>
          </w:p>
        </w:tc>
        <w:tc>
          <w:tcPr>
            <w:tcW w:type="dxa" w:w="7344"/>
            <w:vAlign w:val="center"/>
            <w:tcMar>
              <w:top w:w="90" w:type="dxa"/>
              <w:start w:w="100" w:type="dxa"/>
              <w:bottom w:w="90" w:type="dxa"/>
              <w:end w:w="100" w:type="dxa"/>
            </w:tcMar>
          </w:tcPr>
          <w:p>
            <w:pPr>
              <w:spacing w:after="40" w:before="40"/>
            </w:pPr>
            <w:r>
              <w:rPr>
                <w:sz w:val="17"/>
              </w:rPr>
              <w:t>Required for decisions, overrides and privileged actions</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correlation_id / trace_id</w:t>
            </w:r>
          </w:p>
        </w:tc>
        <w:tc>
          <w:tcPr>
            <w:tcW w:type="dxa" w:w="7344"/>
            <w:vAlign w:val="center"/>
            <w:tcMar>
              <w:top w:w="90" w:type="dxa"/>
              <w:start w:w="100" w:type="dxa"/>
              <w:bottom w:w="90" w:type="dxa"/>
              <w:end w:w="100" w:type="dxa"/>
            </w:tcMar>
          </w:tcPr>
          <w:p>
            <w:pPr>
              <w:spacing w:after="40" w:before="40"/>
            </w:pPr>
            <w:r>
              <w:rPr>
                <w:sz w:val="17"/>
              </w:rPr>
              <w:t>End-to-end technical correlation</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result</w:t>
            </w:r>
          </w:p>
        </w:tc>
        <w:tc>
          <w:tcPr>
            <w:tcW w:type="dxa" w:w="7344"/>
            <w:vAlign w:val="center"/>
            <w:tcMar>
              <w:top w:w="90" w:type="dxa"/>
              <w:start w:w="100" w:type="dxa"/>
              <w:bottom w:w="90" w:type="dxa"/>
              <w:end w:w="100" w:type="dxa"/>
            </w:tcMar>
          </w:tcPr>
          <w:p>
            <w:pPr>
              <w:spacing w:after="40" w:before="40"/>
            </w:pPr>
            <w:r>
              <w:rPr>
                <w:sz w:val="17"/>
              </w:rPr>
              <w:t>SUCCESS / DENIED / FAILED</w:t>
            </w:r>
          </w:p>
        </w:tc>
      </w:tr>
      <w:tr>
        <w:trPr>
          <w:cantSplit/>
        </w:trPr>
        <w:tc>
          <w:tcPr>
            <w:tcW w:type="dxa" w:w="2880"/>
            <w:vAlign w:val="center"/>
            <w:tcMar>
              <w:top w:w="90" w:type="dxa"/>
              <w:start w:w="100" w:type="dxa"/>
              <w:bottom w:w="90" w:type="dxa"/>
              <w:end w:w="100" w:type="dxa"/>
            </w:tcMar>
            <w:shd w:fill="EAF2F8"/>
          </w:tcPr>
          <w:p>
            <w:pPr>
              <w:spacing w:after="40" w:before="40"/>
            </w:pPr>
            <w:r>
              <w:rPr>
                <w:b/>
                <w:sz w:val="17"/>
              </w:rPr>
              <w:t>source_ip/device metadata</w:t>
            </w:r>
          </w:p>
        </w:tc>
        <w:tc>
          <w:tcPr>
            <w:tcW w:type="dxa" w:w="7344"/>
            <w:vAlign w:val="center"/>
            <w:tcMar>
              <w:top w:w="90" w:type="dxa"/>
              <w:start w:w="100" w:type="dxa"/>
              <w:bottom w:w="90" w:type="dxa"/>
              <w:end w:w="100" w:type="dxa"/>
            </w:tcMar>
          </w:tcPr>
          <w:p>
            <w:pPr>
              <w:spacing w:after="40" w:before="40"/>
            </w:pPr>
            <w:r>
              <w:rPr>
                <w:sz w:val="17"/>
              </w:rPr>
              <w:t>Only where policy requires and privacy allows</w:t>
            </w:r>
          </w:p>
        </w:tc>
      </w:tr>
    </w:tbl>
    <w:p>
      <w:pPr>
        <w:pStyle w:val="Heading2"/>
      </w:pPr>
      <w:r>
        <w:t>14.4 Retention policy principles</w:t>
      </w:r>
    </w:p>
    <w:p>
      <w:pPr>
        <w:pStyle w:val="ListBullet"/>
        <w:ind w:left="360"/>
      </w:pPr>
      <w:r>
        <w:t>Retention is service/purpose/data-class specific; there is no universal “keep forever” policy.</w:t>
      </w:r>
    </w:p>
    <w:p>
      <w:pPr>
        <w:pStyle w:val="ListBullet"/>
        <w:ind w:left="360"/>
      </w:pPr>
      <w:r>
        <w:t>S3 lifecycle rules are generated/managed from approved retention policy metadata, not manually per developer.</w:t>
      </w:r>
    </w:p>
    <w:p>
      <w:pPr>
        <w:pStyle w:val="ListBullet"/>
        <w:ind w:left="360"/>
      </w:pPr>
      <w:r>
        <w:t>Expiration may result in deletion, anonymization, legal hold or archival depending on the governing policy.</w:t>
      </w:r>
    </w:p>
    <w:p>
      <w:pPr>
        <w:pStyle w:val="ListBullet"/>
        <w:ind w:left="360"/>
      </w:pPr>
      <w:r>
        <w:t>Application code must not permanently duplicate sensitive fields into logs, events or analytics where retention cannot be controlled.</w:t>
      </w:r>
    </w:p>
    <w:p>
      <w:r>
        <w:br w:type="page"/>
      </w:r>
    </w:p>
    <w:p>
      <w:pPr>
        <w:pStyle w:val="Heading1"/>
      </w:pPr>
      <w:r>
        <w:t>15. Configuration Governance, Versioning, Feature Flags &amp; Master Data</w:t>
      </w:r>
    </w:p>
    <w:p>
      <w:pPr>
        <w:pStyle w:val="Heading2"/>
      </w:pPr>
      <w:r>
        <w:t>15.1 Configuration publishing lifecycle</w:t>
      </w:r>
    </w:p>
    <w:p>
      <w:pPr>
        <w:spacing w:before="80" w:after="120"/>
        <w:ind w:left="360" w:right="144"/>
        <w:shd w:fill="F4F6F7"/>
      </w:pPr>
      <w:r>
        <w:rPr>
          <w:rFonts w:ascii="Courier New" w:hAnsi="Courier New"/>
          <w:sz w:val="16"/>
        </w:rPr>
        <w:t>DRAFT</w:t>
        <w:br/>
        <w:t xml:space="preserve">  -&gt; VALIDATE</w:t>
        <w:br/>
        <w:t xml:space="preserve">  -&gt; SIMULATE / TEST</w:t>
        <w:br/>
        <w:t xml:space="preserve">  -&gt; MAKER SUBMITS</w:t>
        <w:br/>
        <w:t xml:space="preserve">  -&gt; CHECKER REVIEWS</w:t>
        <w:br/>
        <w:t xml:space="preserve">  -&gt; APPROVED</w:t>
        <w:br/>
        <w:t xml:space="preserve">  -&gt; PUBLISHED (immutable)</w:t>
        <w:br/>
        <w:t xml:space="preserve">  -&gt; SUPERSEDED (remains historical)</w:t>
      </w:r>
    </w:p>
    <w:p>
      <w:pPr>
        <w:pStyle w:val="ListBullet"/>
        <w:ind w:left="360"/>
      </w:pPr>
      <w:r>
        <w:t>Each form/rule/workflow/evidence/fee/SLA/notification/credential template is versioned independently and referenced by a published service version.</w:t>
      </w:r>
    </w:p>
    <w:p>
      <w:pPr>
        <w:pStyle w:val="ListBullet"/>
        <w:ind w:left="360"/>
      </w:pPr>
      <w:r>
        <w:t>An application pins the exact versions active at submission; later publication cannot alter historical processing semantics unless a controlled migration is explicitly authorized.</w:t>
      </w:r>
    </w:p>
    <w:p>
      <w:pPr>
        <w:pStyle w:val="ListBullet"/>
        <w:ind w:left="360"/>
      </w:pPr>
      <w:r>
        <w:t>Rollback publishes/re-activates an approved prior version; it does not rewrite the contents of an already published artifact.</w:t>
      </w:r>
    </w:p>
    <w:p>
      <w:pPr>
        <w:pStyle w:val="ListBullet"/>
        <w:ind w:left="360"/>
      </w:pPr>
      <w:r>
        <w:t>AI-generated configuration is always DRAFT until validation, automated tests and maker-checker approval complete.</w:t>
      </w:r>
    </w:p>
    <w:p>
      <w:pPr>
        <w:pStyle w:val="Heading2"/>
      </w:pPr>
      <w:r>
        <w:t>15.2 Feature-flag contract</w:t>
      </w:r>
    </w:p>
    <w:tbl>
      <w:tblPr>
        <w:tblW w:type="auto" w:w="0"/>
        <w:tblLayout w:type="autofit"/>
        <w:tblLook w:firstColumn="1" w:firstRow="1" w:lastColumn="0" w:lastRow="0" w:noHBand="0" w:noVBand="1" w:val="04A0"/>
      </w:tblPr>
      <w:tblGrid>
        <w:gridCol w:w="5083"/>
        <w:gridCol w:w="5083"/>
      </w:tblGrid>
      <w:tr>
        <w:trPr>
          <w:cantSplit/>
        </w:trPr>
        <w:tc>
          <w:tcPr>
            <w:tcW w:type="dxa" w:w="2016"/>
            <w:vAlign w:val="center"/>
            <w:tcMar>
              <w:top w:w="90" w:type="dxa"/>
              <w:start w:w="100" w:type="dxa"/>
              <w:bottom w:w="90" w:type="dxa"/>
              <w:end w:w="100" w:type="dxa"/>
            </w:tcMar>
            <w:shd w:fill="1F4E78"/>
          </w:tcPr>
          <w:p>
            <w:pPr>
              <w:spacing w:after="40" w:before="40"/>
            </w:pPr>
            <w:r>
              <w:rPr>
                <w:b/>
                <w:color w:val="FFFFFF"/>
                <w:sz w:val="17"/>
              </w:rPr>
              <w:t>Concern</w:t>
            </w:r>
          </w:p>
        </w:tc>
        <w:tc>
          <w:tcPr>
            <w:tcW w:type="dxa" w:w="8208"/>
            <w:vAlign w:val="center"/>
            <w:tcMar>
              <w:top w:w="90" w:type="dxa"/>
              <w:start w:w="100" w:type="dxa"/>
              <w:bottom w:w="90" w:type="dxa"/>
              <w:end w:w="100" w:type="dxa"/>
            </w:tcMar>
            <w:shd w:fill="1F4E78"/>
          </w:tcPr>
          <w:p>
            <w:pPr>
              <w:spacing w:after="40" w:before="40"/>
            </w:pPr>
            <w:r>
              <w:rPr>
                <w:b/>
                <w:color w:val="FFFFFF"/>
                <w:sz w:val="17"/>
              </w:rPr>
              <w:t>Rule</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Scope</w:t>
            </w:r>
          </w:p>
        </w:tc>
        <w:tc>
          <w:tcPr>
            <w:tcW w:type="dxa" w:w="8208"/>
            <w:vAlign w:val="center"/>
            <w:tcMar>
              <w:top w:w="90" w:type="dxa"/>
              <w:start w:w="100" w:type="dxa"/>
              <w:bottom w:w="90" w:type="dxa"/>
              <w:end w:w="100" w:type="dxa"/>
            </w:tcMar>
          </w:tcPr>
          <w:p>
            <w:pPr>
              <w:spacing w:after="40" w:before="40"/>
            </w:pPr>
            <w:r>
              <w:rPr>
                <w:sz w:val="17"/>
              </w:rPr>
              <w:t>Environment, cell, tenant, service offering, user cohort/role where justified.</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Authority</w:t>
            </w:r>
          </w:p>
        </w:tc>
        <w:tc>
          <w:tcPr>
            <w:tcW w:type="dxa" w:w="8208"/>
            <w:vAlign w:val="center"/>
            <w:tcMar>
              <w:top w:w="90" w:type="dxa"/>
              <w:start w:w="100" w:type="dxa"/>
              <w:bottom w:w="90" w:type="dxa"/>
              <w:end w:w="100" w:type="dxa"/>
            </w:tcMar>
          </w:tcPr>
          <w:p>
            <w:pPr>
              <w:spacing w:after="40" w:before="40"/>
            </w:pPr>
            <w:r>
              <w:rPr>
                <w:sz w:val="17"/>
              </w:rPr>
              <w:t>Server-side evaluation is authoritative. Client flags only control presentation.</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Audit</w:t>
            </w:r>
          </w:p>
        </w:tc>
        <w:tc>
          <w:tcPr>
            <w:tcW w:type="dxa" w:w="8208"/>
            <w:vAlign w:val="center"/>
            <w:tcMar>
              <w:top w:w="90" w:type="dxa"/>
              <w:start w:w="100" w:type="dxa"/>
              <w:bottom w:w="90" w:type="dxa"/>
              <w:end w:w="100" w:type="dxa"/>
            </w:tcMar>
          </w:tcPr>
          <w:p>
            <w:pPr>
              <w:spacing w:after="40" w:before="40"/>
            </w:pPr>
            <w:r>
              <w:rPr>
                <w:sz w:val="17"/>
              </w:rPr>
              <w:t>Flag creation/change includes owner, reason, expiry/review date and change audit.</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Safety</w:t>
            </w:r>
          </w:p>
        </w:tc>
        <w:tc>
          <w:tcPr>
            <w:tcW w:type="dxa" w:w="8208"/>
            <w:vAlign w:val="center"/>
            <w:tcMar>
              <w:top w:w="90" w:type="dxa"/>
              <w:start w:w="100" w:type="dxa"/>
              <w:bottom w:w="90" w:type="dxa"/>
              <w:end w:w="100" w:type="dxa"/>
            </w:tcMar>
          </w:tcPr>
          <w:p>
            <w:pPr>
              <w:spacing w:after="40" w:before="40"/>
            </w:pPr>
            <w:r>
              <w:rPr>
                <w:sz w:val="17"/>
              </w:rPr>
              <w:t>Flags cannot bypass tenant isolation, authorization, statutory rules, audit or mandatory security controls.</w:t>
            </w:r>
          </w:p>
        </w:tc>
      </w:tr>
      <w:tr>
        <w:trPr>
          <w:cantSplit/>
        </w:trPr>
        <w:tc>
          <w:tcPr>
            <w:tcW w:type="dxa" w:w="2016"/>
            <w:vAlign w:val="center"/>
            <w:tcMar>
              <w:top w:w="90" w:type="dxa"/>
              <w:start w:w="100" w:type="dxa"/>
              <w:bottom w:w="90" w:type="dxa"/>
              <w:end w:w="100" w:type="dxa"/>
            </w:tcMar>
            <w:shd w:fill="EAF2F8"/>
          </w:tcPr>
          <w:p>
            <w:pPr>
              <w:spacing w:after="40" w:before="40"/>
            </w:pPr>
            <w:r>
              <w:rPr>
                <w:b/>
                <w:sz w:val="17"/>
              </w:rPr>
              <w:t>Cleanup</w:t>
            </w:r>
          </w:p>
        </w:tc>
        <w:tc>
          <w:tcPr>
            <w:tcW w:type="dxa" w:w="8208"/>
            <w:vAlign w:val="center"/>
            <w:tcMar>
              <w:top w:w="90" w:type="dxa"/>
              <w:start w:w="100" w:type="dxa"/>
              <w:bottom w:w="90" w:type="dxa"/>
              <w:end w:w="100" w:type="dxa"/>
            </w:tcMar>
          </w:tcPr>
          <w:p>
            <w:pPr>
              <w:spacing w:after="40" w:before="40"/>
            </w:pPr>
            <w:r>
              <w:rPr>
                <w:sz w:val="17"/>
              </w:rPr>
              <w:t>Temporary flags must have explicit retirement criteria to avoid permanent branch complexity.</w:t>
            </w:r>
          </w:p>
        </w:tc>
      </w:tr>
    </w:tbl>
    <w:p>
      <w:pPr>
        <w:pStyle w:val="Heading2"/>
      </w:pPr>
      <w:r>
        <w:t>15.3 Master/reference data governance</w:t>
      </w:r>
    </w:p>
    <w:p>
      <w:pPr>
        <w:pStyle w:val="ListBullet"/>
        <w:ind w:left="360"/>
      </w:pPr>
      <w:r>
        <w:t>Administrative units, organisation types, jurisdiction types, languages, service categories and code lists are data managed through governed registries.</w:t>
      </w:r>
    </w:p>
    <w:p>
      <w:pPr>
        <w:pStyle w:val="ListBullet"/>
        <w:ind w:left="360"/>
      </w:pPr>
      <w:r>
        <w:t>Source-code enums are allowed only for truly platform-internal finite states (for example application state), not changing government master data.</w:t>
      </w:r>
    </w:p>
    <w:p>
      <w:pPr>
        <w:pStyle w:val="ListBullet"/>
        <w:ind w:left="360"/>
      </w:pPr>
      <w:r>
        <w:t>Reference-data changes are versioned/audited and integrations map external codes to canonical internal identifiers.</w:t>
      </w:r>
    </w:p>
    <w:p>
      <w:r>
        <w:br w:type="page"/>
      </w:r>
    </w:p>
    <w:p>
      <w:pPr>
        <w:pStyle w:val="Heading1"/>
      </w:pPr>
      <w:r>
        <w:t>16. AI-Agent Stop Rules, Definition of Done &amp; Engineering Gates</w:t>
      </w:r>
    </w:p>
    <w:p>
      <w:pPr>
        <w:pStyle w:val="Heading2"/>
      </w:pPr>
      <w:r>
        <w:t>16.1 Mandatory STOP / ADR conditions</w:t>
      </w:r>
    </w:p>
    <w:tbl>
      <w:tblPr>
        <w:tblW w:type="auto" w:w="0"/>
        <w:tblLayout w:type="autofit"/>
        <w:tblLook w:firstColumn="1" w:firstRow="1" w:lastColumn="0" w:lastRow="0" w:noHBand="0" w:noVBand="1" w:val="04A0"/>
      </w:tblPr>
      <w:tblGrid>
        <w:gridCol w:w="5083"/>
        <w:gridCol w:w="5083"/>
      </w:tblGrid>
      <w:tr>
        <w:trPr>
          <w:cantSplit/>
        </w:trPr>
        <w:tc>
          <w:tcPr>
            <w:tcW w:type="dxa" w:w="2448"/>
            <w:vAlign w:val="center"/>
            <w:tcMar>
              <w:top w:w="90" w:type="dxa"/>
              <w:start w:w="100" w:type="dxa"/>
              <w:bottom w:w="90" w:type="dxa"/>
              <w:end w:w="100" w:type="dxa"/>
            </w:tcMar>
            <w:shd w:fill="1F4E78"/>
          </w:tcPr>
          <w:p>
            <w:pPr>
              <w:spacing w:after="40" w:before="40"/>
            </w:pPr>
            <w:r>
              <w:rPr>
                <w:b/>
                <w:color w:val="FFFFFF"/>
                <w:sz w:val="17"/>
              </w:rPr>
              <w:t>Stop condition</w:t>
            </w:r>
          </w:p>
        </w:tc>
        <w:tc>
          <w:tcPr>
            <w:tcW w:type="dxa" w:w="7776"/>
            <w:vAlign w:val="center"/>
            <w:tcMar>
              <w:top w:w="90" w:type="dxa"/>
              <w:start w:w="100" w:type="dxa"/>
              <w:bottom w:w="90" w:type="dxa"/>
              <w:end w:w="100" w:type="dxa"/>
            </w:tcMar>
            <w:shd w:fill="1F4E78"/>
          </w:tcPr>
          <w:p>
            <w:pPr>
              <w:spacing w:after="40" w:before="40"/>
            </w:pPr>
            <w:r>
              <w:rPr>
                <w:b/>
                <w:color w:val="FFFFFF"/>
                <w:sz w:val="17"/>
              </w:rPr>
              <w:t>Required response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Architecture conflict</w:t>
            </w:r>
          </w:p>
        </w:tc>
        <w:tc>
          <w:tcPr>
            <w:tcW w:type="dxa" w:w="7776"/>
            <w:vAlign w:val="center"/>
            <w:tcMar>
              <w:top w:w="90" w:type="dxa"/>
              <w:start w:w="100" w:type="dxa"/>
              <w:bottom w:w="90" w:type="dxa"/>
              <w:end w:w="100" w:type="dxa"/>
            </w:tcMar>
          </w:tcPr>
          <w:p>
            <w:pPr>
              <w:spacing w:after="40" w:before="40"/>
            </w:pPr>
            <w:r>
              <w:rPr>
                <w:sz w:val="17"/>
              </w:rPr>
              <w:t>Requirement cannot be implemented without violating an Architecture Constitution rule.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Unspecified statutory rule</w:t>
            </w:r>
          </w:p>
        </w:tc>
        <w:tc>
          <w:tcPr>
            <w:tcW w:type="dxa" w:w="7776"/>
            <w:vAlign w:val="center"/>
            <w:tcMar>
              <w:top w:w="90" w:type="dxa"/>
              <w:start w:w="100" w:type="dxa"/>
              <w:bottom w:w="90" w:type="dxa"/>
              <w:end w:w="100" w:type="dxa"/>
            </w:tcMar>
          </w:tcPr>
          <w:p>
            <w:pPr>
              <w:spacing w:after="40" w:before="40"/>
            </w:pPr>
            <w:r>
              <w:rPr>
                <w:sz w:val="17"/>
              </w:rPr>
              <w:t>Eligibility, evidence, fee, approval power or retention behavior is legally/administratively ambiguous.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New datastore/infrastructure</w:t>
            </w:r>
          </w:p>
        </w:tc>
        <w:tc>
          <w:tcPr>
            <w:tcW w:type="dxa" w:w="7776"/>
            <w:vAlign w:val="center"/>
            <w:tcMar>
              <w:top w:w="90" w:type="dxa"/>
              <w:start w:w="100" w:type="dxa"/>
              <w:bottom w:w="90" w:type="dxa"/>
              <w:end w:w="100" w:type="dxa"/>
            </w:tcMar>
          </w:tcPr>
          <w:p>
            <w:pPr>
              <w:spacing w:after="40" w:before="40"/>
            </w:pPr>
            <w:r>
              <w:rPr>
                <w:sz w:val="17"/>
              </w:rPr>
              <w:t>Implementation proposes DynamoDB, another database, broker, workflow engine, search engine, identity provider or managed service not already approved.</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Tenant boundary change</w:t>
            </w:r>
          </w:p>
        </w:tc>
        <w:tc>
          <w:tcPr>
            <w:tcW w:type="dxa" w:w="7776"/>
            <w:vAlign w:val="center"/>
            <w:tcMar>
              <w:top w:w="90" w:type="dxa"/>
              <w:start w:w="100" w:type="dxa"/>
              <w:bottom w:w="90" w:type="dxa"/>
              <w:end w:w="100" w:type="dxa"/>
            </w:tcMar>
          </w:tcPr>
          <w:p>
            <w:pPr>
              <w:spacing w:after="40" w:before="40"/>
            </w:pPr>
            <w:r>
              <w:rPr>
                <w:sz w:val="17"/>
              </w:rPr>
              <w:t>Feature changes ownership, cross-tenant visibility, RLS model or cell isolation.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Identity change</w:t>
            </w:r>
          </w:p>
        </w:tc>
        <w:tc>
          <w:tcPr>
            <w:tcW w:type="dxa" w:w="7776"/>
            <w:vAlign w:val="center"/>
            <w:tcMar>
              <w:top w:w="90" w:type="dxa"/>
              <w:start w:w="100" w:type="dxa"/>
              <w:bottom w:w="90" w:type="dxa"/>
              <w:end w:w="100" w:type="dxa"/>
            </w:tcMar>
          </w:tcPr>
          <w:p>
            <w:pPr>
              <w:spacing w:after="40" w:before="40"/>
            </w:pPr>
            <w:r>
              <w:rPr>
                <w:sz w:val="17"/>
              </w:rPr>
              <w:t>Authentication/account-linking/assurance model would change.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Workflow semantic gap</w:t>
            </w:r>
          </w:p>
        </w:tc>
        <w:tc>
          <w:tcPr>
            <w:tcW w:type="dxa" w:w="7776"/>
            <w:vAlign w:val="center"/>
            <w:tcMar>
              <w:top w:w="90" w:type="dxa"/>
              <w:start w:w="100" w:type="dxa"/>
              <w:bottom w:w="90" w:type="dxa"/>
              <w:end w:w="100" w:type="dxa"/>
            </w:tcMar>
          </w:tcPr>
          <w:p>
            <w:pPr>
              <w:spacing w:after="40" w:before="40"/>
            </w:pPr>
            <w:r>
              <w:rPr>
                <w:sz w:val="17"/>
              </w:rPr>
              <w:t>Existing generic workflow primitives cannot express the requirement without service-specific code.</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Breaking contract</w:t>
            </w:r>
          </w:p>
        </w:tc>
        <w:tc>
          <w:tcPr>
            <w:tcW w:type="dxa" w:w="7776"/>
            <w:vAlign w:val="center"/>
            <w:tcMar>
              <w:top w:w="90" w:type="dxa"/>
              <w:start w:w="100" w:type="dxa"/>
              <w:bottom w:w="90" w:type="dxa"/>
              <w:end w:w="100" w:type="dxa"/>
            </w:tcMar>
          </w:tcPr>
          <w:p>
            <w:pPr>
              <w:spacing w:after="40" w:before="40"/>
            </w:pPr>
            <w:r>
              <w:rPr>
                <w:sz w:val="17"/>
              </w:rPr>
              <w:t>API/event/schema breaking change is required.</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Security weakening</w:t>
            </w:r>
          </w:p>
        </w:tc>
        <w:tc>
          <w:tcPr>
            <w:tcW w:type="dxa" w:w="7776"/>
            <w:vAlign w:val="center"/>
            <w:tcMar>
              <w:top w:w="90" w:type="dxa"/>
              <w:start w:w="100" w:type="dxa"/>
              <w:bottom w:w="90" w:type="dxa"/>
              <w:end w:w="100" w:type="dxa"/>
            </w:tcMar>
          </w:tcPr>
          <w:p>
            <w:pPr>
              <w:spacing w:after="40" w:before="40"/>
            </w:pPr>
            <w:r>
              <w:rPr>
                <w:sz w:val="17"/>
              </w:rPr>
              <w:t>Required behavior would disable/relax authorization, RLS, audit, encryption, input validation or secrets controls.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Unknown retention/privacy</w:t>
            </w:r>
          </w:p>
        </w:tc>
        <w:tc>
          <w:tcPr>
            <w:tcW w:type="dxa" w:w="7776"/>
            <w:vAlign w:val="center"/>
            <w:tcMar>
              <w:top w:w="90" w:type="dxa"/>
              <w:start w:w="100" w:type="dxa"/>
              <w:bottom w:w="90" w:type="dxa"/>
              <w:end w:w="100" w:type="dxa"/>
            </w:tcMar>
          </w:tcPr>
          <w:p>
            <w:pPr>
              <w:spacing w:after="40" w:before="40"/>
            </w:pPr>
            <w:r>
              <w:rPr>
                <w:sz w:val="17"/>
              </w:rPr>
              <w:t>Sensitive data is introduced without purpose/access/retention classification.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Service-specific architecture</w:t>
            </w:r>
          </w:p>
        </w:tc>
        <w:tc>
          <w:tcPr>
            <w:tcW w:type="dxa" w:w="7776"/>
            <w:vAlign w:val="center"/>
            <w:tcMar>
              <w:top w:w="90" w:type="dxa"/>
              <w:start w:w="100" w:type="dxa"/>
              <w:bottom w:w="90" w:type="dxa"/>
              <w:end w:w="100" w:type="dxa"/>
            </w:tcMar>
          </w:tcPr>
          <w:p>
            <w:pPr>
              <w:spacing w:after="40" w:before="40"/>
            </w:pPr>
            <w:r>
              <w:rPr>
                <w:sz w:val="17"/>
              </w:rPr>
              <w:t>Agent believes a bespoke backend/module is needed for one government service.</w:t>
            </w:r>
          </w:p>
        </w:tc>
      </w:tr>
    </w:tbl>
    <w:tbl>
      <w:tblPr>
        <w:tblW w:type="auto" w:w="0"/>
        <w:tblLook w:firstColumn="1" w:firstRow="1" w:lastColumn="0" w:lastRow="0" w:noHBand="0" w:noVBand="1" w:val="04A0"/>
      </w:tblPr>
      <w:tblGrid>
        <w:gridCol w:w="10166"/>
      </w:tblGrid>
      <w:tr>
        <w:trPr>
          <w:cantSplit/>
        </w:trPr>
        <w:tc>
          <w:tcPr>
            <w:tcW w:type="dxa" w:w="10166"/>
            <w:shd w:fill="FCE4D6"/>
            <w:tcMar>
              <w:top w:w="120" w:type="dxa"/>
              <w:start w:w="130" w:type="dxa"/>
              <w:bottom w:w="120" w:type="dxa"/>
              <w:end w:w="130" w:type="dxa"/>
            </w:tcMar>
          </w:tcPr>
          <w:p>
            <w:r>
              <w:rPr>
                <w:sz w:val="19"/>
              </w:rPr>
            </w:r>
            <w:r>
              <w:rPr>
                <w:b/>
                <w:sz w:val="19"/>
              </w:rPr>
              <w:t>When a STOP condition occurs: implement only unaffected work, document the ambiguity, propose an ADR or policy decision, and do not silently choose a new architecture.</w:t>
            </w:r>
          </w:p>
        </w:tc>
      </w:tr>
    </w:tbl>
    <w:p>
      <w:pPr>
        <w:pStyle w:val="Heading2"/>
      </w:pPr>
      <w:r>
        <w:t>16.2 Definition of Done for any production feature</w:t>
      </w:r>
    </w:p>
    <w:tbl>
      <w:tblPr>
        <w:tblW w:type="auto" w:w="0"/>
        <w:tblLayout w:type="autofit"/>
        <w:tblLook w:firstColumn="1" w:firstRow="1" w:lastColumn="0" w:lastRow="0" w:noHBand="0" w:noVBand="1" w:val="04A0"/>
      </w:tblPr>
      <w:tblGrid>
        <w:gridCol w:w="5083"/>
        <w:gridCol w:w="5083"/>
      </w:tblGrid>
      <w:tr>
        <w:trPr>
          <w:cantSplit/>
        </w:trPr>
        <w:tc>
          <w:tcPr>
            <w:tcW w:type="dxa" w:w="2160"/>
            <w:vAlign w:val="center"/>
            <w:tcMar>
              <w:top w:w="90" w:type="dxa"/>
              <w:start w:w="100" w:type="dxa"/>
              <w:bottom w:w="90" w:type="dxa"/>
              <w:end w:w="100" w:type="dxa"/>
            </w:tcMar>
            <w:shd w:fill="1F4E78"/>
          </w:tcPr>
          <w:p>
            <w:pPr>
              <w:spacing w:after="40" w:before="40"/>
            </w:pPr>
            <w:r>
              <w:rPr>
                <w:b/>
                <w:color w:val="FFFFFF"/>
                <w:sz w:val="17"/>
              </w:rPr>
              <w:t>Gate</w:t>
            </w:r>
          </w:p>
        </w:tc>
        <w:tc>
          <w:tcPr>
            <w:tcW w:type="dxa" w:w="8064"/>
            <w:vAlign w:val="center"/>
            <w:tcMar>
              <w:top w:w="90" w:type="dxa"/>
              <w:start w:w="100" w:type="dxa"/>
              <w:bottom w:w="90" w:type="dxa"/>
              <w:end w:w="100" w:type="dxa"/>
            </w:tcMar>
            <w:shd w:fill="1F4E78"/>
          </w:tcPr>
          <w:p>
            <w:pPr>
              <w:spacing w:after="40" w:before="40"/>
            </w:pPr>
            <w:r>
              <w:rPr>
                <w:b/>
                <w:color w:val="FFFFFF"/>
                <w:sz w:val="17"/>
              </w:rPr>
              <w:t>Done means</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Requirement traceability</w:t>
            </w:r>
          </w:p>
        </w:tc>
        <w:tc>
          <w:tcPr>
            <w:tcW w:type="dxa" w:w="8064"/>
            <w:vAlign w:val="center"/>
            <w:tcMar>
              <w:top w:w="90" w:type="dxa"/>
              <w:start w:w="100" w:type="dxa"/>
              <w:bottom w:w="90" w:type="dxa"/>
              <w:end w:w="100" w:type="dxa"/>
            </w:tcMar>
          </w:tcPr>
          <w:p>
            <w:pPr>
              <w:spacing w:after="40" w:before="40"/>
            </w:pPr>
            <w:r>
              <w:rPr>
                <w:sz w:val="17"/>
              </w:rPr>
              <w:t>Requirement IDs and acceptance criteria identified; implementation and tests linked.</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Architecture</w:t>
            </w:r>
          </w:p>
        </w:tc>
        <w:tc>
          <w:tcPr>
            <w:tcW w:type="dxa" w:w="8064"/>
            <w:vAlign w:val="center"/>
            <w:tcMar>
              <w:top w:w="90" w:type="dxa"/>
              <w:start w:w="100" w:type="dxa"/>
              <w:bottom w:w="90" w:type="dxa"/>
              <w:end w:w="100" w:type="dxa"/>
            </w:tcMar>
          </w:tcPr>
          <w:p>
            <w:pPr>
              <w:spacing w:after="40" w:before="40"/>
            </w:pPr>
            <w:r>
              <w:rPr>
                <w:sz w:val="17"/>
              </w:rPr>
              <w:t>No Architecture Constitution violations; ADR references captured where applicable.</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Domain model</w:t>
            </w:r>
          </w:p>
        </w:tc>
        <w:tc>
          <w:tcPr>
            <w:tcW w:type="dxa" w:w="8064"/>
            <w:vAlign w:val="center"/>
            <w:tcMar>
              <w:top w:w="90" w:type="dxa"/>
              <w:start w:w="100" w:type="dxa"/>
              <w:bottom w:w="90" w:type="dxa"/>
              <w:end w:w="100" w:type="dxa"/>
            </w:tcMar>
          </w:tcPr>
          <w:p>
            <w:pPr>
              <w:spacing w:after="40" w:before="40"/>
            </w:pPr>
            <w:r>
              <w:rPr>
                <w:sz w:val="17"/>
              </w:rPr>
              <w:t>Invariants/state transitions implemented in domain/application layer, not scattered across UI/controllers.</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Security</w:t>
            </w:r>
          </w:p>
        </w:tc>
        <w:tc>
          <w:tcPr>
            <w:tcW w:type="dxa" w:w="8064"/>
            <w:vAlign w:val="center"/>
            <w:tcMar>
              <w:top w:w="90" w:type="dxa"/>
              <w:start w:w="100" w:type="dxa"/>
              <w:bottom w:w="90" w:type="dxa"/>
              <w:end w:w="100" w:type="dxa"/>
            </w:tcMar>
          </w:tcPr>
          <w:p>
            <w:pPr>
              <w:spacing w:after="40" w:before="40"/>
            </w:pPr>
            <w:r>
              <w:rPr>
                <w:sz w:val="17"/>
              </w:rPr>
              <w:t>AuthN/AuthZ, tenant isolation, validation, secret handling, OWASP-relevant controls tested.</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Tenant tests</w:t>
            </w:r>
          </w:p>
        </w:tc>
        <w:tc>
          <w:tcPr>
            <w:tcW w:type="dxa" w:w="8064"/>
            <w:vAlign w:val="center"/>
            <w:tcMar>
              <w:top w:w="90" w:type="dxa"/>
              <w:start w:w="100" w:type="dxa"/>
              <w:bottom w:w="90" w:type="dxa"/>
              <w:end w:w="100" w:type="dxa"/>
            </w:tcMar>
          </w:tcPr>
          <w:p>
            <w:pPr>
              <w:spacing w:after="40" w:before="40"/>
            </w:pPr>
            <w:r>
              <w:rPr>
                <w:sz w:val="17"/>
              </w:rPr>
              <w:t>Positive same-tenant + negative cross-tenant test coverage for tenant-owned data.</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Data</w:t>
            </w:r>
          </w:p>
        </w:tc>
        <w:tc>
          <w:tcPr>
            <w:tcW w:type="dxa" w:w="8064"/>
            <w:vAlign w:val="center"/>
            <w:tcMar>
              <w:top w:w="90" w:type="dxa"/>
              <w:start w:w="100" w:type="dxa"/>
              <w:bottom w:w="90" w:type="dxa"/>
              <w:end w:w="100" w:type="dxa"/>
            </w:tcMar>
          </w:tcPr>
          <w:p>
            <w:pPr>
              <w:spacing w:after="40" w:before="40"/>
            </w:pPr>
            <w:r>
              <w:rPr>
                <w:sz w:val="17"/>
              </w:rPr>
              <w:t>Migration reviewed; indexes justified; RLS applied; no uncontrolled JSONB or binary-in-DB.</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API/Event</w:t>
            </w:r>
          </w:p>
        </w:tc>
        <w:tc>
          <w:tcPr>
            <w:tcW w:type="dxa" w:w="8064"/>
            <w:vAlign w:val="center"/>
            <w:tcMar>
              <w:top w:w="90" w:type="dxa"/>
              <w:start w:w="100" w:type="dxa"/>
              <w:bottom w:w="90" w:type="dxa"/>
              <w:end w:w="100" w:type="dxa"/>
            </w:tcMar>
          </w:tcPr>
          <w:p>
            <w:pPr>
              <w:spacing w:after="40" w:before="40"/>
            </w:pPr>
            <w:r>
              <w:rPr>
                <w:sz w:val="17"/>
              </w:rPr>
              <w:t>Contracts updated/validated; compatibility assessed; stable error codes used.</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Idempotency</w:t>
            </w:r>
          </w:p>
        </w:tc>
        <w:tc>
          <w:tcPr>
            <w:tcW w:type="dxa" w:w="8064"/>
            <w:vAlign w:val="center"/>
            <w:tcMar>
              <w:top w:w="90" w:type="dxa"/>
              <w:start w:w="100" w:type="dxa"/>
              <w:bottom w:w="90" w:type="dxa"/>
              <w:end w:w="100" w:type="dxa"/>
            </w:tcMar>
          </w:tcPr>
          <w:p>
            <w:pPr>
              <w:spacing w:after="40" w:before="40"/>
            </w:pPr>
            <w:r>
              <w:rPr>
                <w:sz w:val="17"/>
              </w:rPr>
              <w:t>Duplicate/retry behavior tested for side-effecting operations.</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Privacy</w:t>
            </w:r>
          </w:p>
        </w:tc>
        <w:tc>
          <w:tcPr>
            <w:tcW w:type="dxa" w:w="8064"/>
            <w:vAlign w:val="center"/>
            <w:tcMar>
              <w:top w:w="90" w:type="dxa"/>
              <w:start w:w="100" w:type="dxa"/>
              <w:bottom w:w="90" w:type="dxa"/>
              <w:end w:w="100" w:type="dxa"/>
            </w:tcMar>
          </w:tcPr>
          <w:p>
            <w:pPr>
              <w:spacing w:after="40" w:before="40"/>
            </w:pPr>
            <w:r>
              <w:rPr>
                <w:sz w:val="17"/>
              </w:rPr>
              <w:t>Data classification, masking, logging and retention requirements implemented.</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Observability</w:t>
            </w:r>
          </w:p>
        </w:tc>
        <w:tc>
          <w:tcPr>
            <w:tcW w:type="dxa" w:w="8064"/>
            <w:vAlign w:val="center"/>
            <w:tcMar>
              <w:top w:w="90" w:type="dxa"/>
              <w:start w:w="100" w:type="dxa"/>
              <w:bottom w:w="90" w:type="dxa"/>
              <w:end w:w="100" w:type="dxa"/>
            </w:tcMar>
          </w:tcPr>
          <w:p>
            <w:pPr>
              <w:spacing w:after="40" w:before="40"/>
            </w:pPr>
            <w:r>
              <w:rPr>
                <w:sz w:val="17"/>
              </w:rPr>
              <w:t>Metrics, structured safe logs, trace spans and alerts/SLO implications defined.</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Testing</w:t>
            </w:r>
          </w:p>
        </w:tc>
        <w:tc>
          <w:tcPr>
            <w:tcW w:type="dxa" w:w="8064"/>
            <w:vAlign w:val="center"/>
            <w:tcMar>
              <w:top w:w="90" w:type="dxa"/>
              <w:start w:w="100" w:type="dxa"/>
              <w:bottom w:w="90" w:type="dxa"/>
              <w:end w:w="100" w:type="dxa"/>
            </w:tcMar>
          </w:tcPr>
          <w:p>
            <w:pPr>
              <w:spacing w:after="40" w:before="40"/>
            </w:pPr>
            <w:r>
              <w:rPr>
                <w:sz w:val="17"/>
              </w:rPr>
              <w:t>Unit + integration + contract + applicable workflow/security/accessibility/performance tests pass.</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Resilience</w:t>
            </w:r>
          </w:p>
        </w:tc>
        <w:tc>
          <w:tcPr>
            <w:tcW w:type="dxa" w:w="8064"/>
            <w:vAlign w:val="center"/>
            <w:tcMar>
              <w:top w:w="90" w:type="dxa"/>
              <w:start w:w="100" w:type="dxa"/>
              <w:bottom w:w="90" w:type="dxa"/>
              <w:end w:w="100" w:type="dxa"/>
            </w:tcMar>
          </w:tcPr>
          <w:p>
            <w:pPr>
              <w:spacing w:after="40" w:before="40"/>
            </w:pPr>
            <w:r>
              <w:rPr>
                <w:sz w:val="17"/>
              </w:rPr>
              <w:t>Timeout/retry/backpressure/failure behavior tested for dependencies.</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Accessibility/i18n</w:t>
            </w:r>
          </w:p>
        </w:tc>
        <w:tc>
          <w:tcPr>
            <w:tcW w:type="dxa" w:w="8064"/>
            <w:vAlign w:val="center"/>
            <w:tcMar>
              <w:top w:w="90" w:type="dxa"/>
              <w:start w:w="100" w:type="dxa"/>
              <w:bottom w:w="90" w:type="dxa"/>
              <w:end w:w="100" w:type="dxa"/>
            </w:tcMar>
          </w:tcPr>
          <w:p>
            <w:pPr>
              <w:spacing w:after="40" w:before="40"/>
            </w:pPr>
            <w:r>
              <w:rPr>
                <w:sz w:val="17"/>
              </w:rPr>
              <w:t>Citizen/officer UI meets accessibility and localization conventions.</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Docs</w:t>
            </w:r>
          </w:p>
        </w:tc>
        <w:tc>
          <w:tcPr>
            <w:tcW w:type="dxa" w:w="8064"/>
            <w:vAlign w:val="center"/>
            <w:tcMar>
              <w:top w:w="90" w:type="dxa"/>
              <w:start w:w="100" w:type="dxa"/>
              <w:bottom w:w="90" w:type="dxa"/>
              <w:end w:w="100" w:type="dxa"/>
            </w:tcMar>
          </w:tcPr>
          <w:p>
            <w:pPr>
              <w:spacing w:after="40" w:before="40"/>
            </w:pPr>
            <w:r>
              <w:rPr>
                <w:sz w:val="17"/>
              </w:rPr>
              <w:t>README/ADR/schema/config docs updated; operational runbook impact captured.</w:t>
            </w:r>
          </w:p>
        </w:tc>
      </w:tr>
      <w:tr>
        <w:trPr>
          <w:cantSplit/>
        </w:trPr>
        <w:tc>
          <w:tcPr>
            <w:tcW w:type="dxa" w:w="2160"/>
            <w:vAlign w:val="center"/>
            <w:tcMar>
              <w:top w:w="90" w:type="dxa"/>
              <w:start w:w="100" w:type="dxa"/>
              <w:bottom w:w="90" w:type="dxa"/>
              <w:end w:w="100" w:type="dxa"/>
            </w:tcMar>
            <w:shd w:fill="EAF2F8"/>
          </w:tcPr>
          <w:p>
            <w:pPr>
              <w:spacing w:after="40" w:before="40"/>
            </w:pPr>
            <w:r>
              <w:rPr>
                <w:b/>
                <w:sz w:val="17"/>
              </w:rPr>
              <w:t>CI</w:t>
            </w:r>
          </w:p>
        </w:tc>
        <w:tc>
          <w:tcPr>
            <w:tcW w:type="dxa" w:w="8064"/>
            <w:vAlign w:val="center"/>
            <w:tcMar>
              <w:top w:w="90" w:type="dxa"/>
              <w:start w:w="100" w:type="dxa"/>
              <w:bottom w:w="90" w:type="dxa"/>
              <w:end w:w="100" w:type="dxa"/>
            </w:tcMar>
          </w:tcPr>
          <w:p>
            <w:pPr>
              <w:spacing w:after="40" w:before="40"/>
            </w:pPr>
            <w:r>
              <w:rPr>
                <w:sz w:val="17"/>
              </w:rPr>
              <w:t>Lint, type-check, tests, schema validation, dependency/security scans and architecture gates pass.</w:t>
            </w:r>
          </w:p>
        </w:tc>
      </w:tr>
    </w:tbl>
    <w:p>
      <w:pPr>
        <w:pStyle w:val="Heading2"/>
      </w:pPr>
      <w:r>
        <w:t>16.3 Dependency introduction policy</w:t>
      </w:r>
    </w:p>
    <w:p>
      <w:pPr>
        <w:pStyle w:val="ListBullet"/>
        <w:ind w:left="360"/>
      </w:pPr>
      <w:r>
        <w:t>AI may use already-approved dependencies within documented versions/compatibility constraints.</w:t>
      </w:r>
    </w:p>
    <w:p>
      <w:pPr>
        <w:pStyle w:val="ListBullet"/>
        <w:ind w:left="360"/>
      </w:pPr>
      <w:r>
        <w:t>Before introducing a new dependency, record purpose, alternatives considered, license, maintainer health, vulnerability posture, runtime footprint and exit path.</w:t>
      </w:r>
    </w:p>
    <w:p>
      <w:pPr>
        <w:pStyle w:val="ListBullet"/>
        <w:ind w:left="360"/>
      </w:pPr>
      <w:r>
        <w:t>No new infrastructure service is added solely to solve a local coding convenience problem.</w:t>
      </w:r>
    </w:p>
    <w:p>
      <w:pPr>
        <w:pStyle w:val="ListBullet"/>
        <w:ind w:left="360"/>
      </w:pPr>
      <w:r>
        <w:t>Prefer portable protocols/contracts even when AWS-managed implementations are used.</w:t>
      </w:r>
    </w:p>
    <w:p>
      <w:r>
        <w:br w:type="page"/>
      </w:r>
    </w:p>
    <w:p>
      <w:pPr>
        <w:pStyle w:val="Heading1"/>
      </w:pPr>
      <w:r>
        <w:t>17. Frozen Development Sequence &amp; Milestone Gates</w:t>
      </w:r>
    </w:p>
    <w:tbl>
      <w:tblPr>
        <w:tblW w:type="auto" w:w="0"/>
        <w:tblLook w:firstColumn="1" w:firstRow="1" w:lastColumn="0" w:lastRow="0" w:noHBand="0" w:noVBand="1" w:val="04A0"/>
      </w:tblPr>
      <w:tblGrid>
        <w:gridCol w:w="10166"/>
      </w:tblGrid>
      <w:tr>
        <w:trPr>
          <w:cantSplit/>
        </w:trPr>
        <w:tc>
          <w:tcPr>
            <w:tcW w:type="dxa" w:w="10166"/>
            <w:shd w:fill="D9EAD3"/>
            <w:tcMar>
              <w:top w:w="120" w:type="dxa"/>
              <w:start w:w="130" w:type="dxa"/>
              <w:bottom w:w="120" w:type="dxa"/>
              <w:end w:w="130" w:type="dxa"/>
            </w:tcMar>
          </w:tcPr>
          <w:p>
            <w:r>
              <w:rPr>
                <w:sz w:val="19"/>
              </w:rPr>
            </w:r>
            <w:r>
              <w:rPr>
                <w:b/>
                <w:sz w:val="19"/>
              </w:rPr>
              <w:t>The implementation sequence is deliberately frozen to reduce agent drift. Later modules may be scaffolded, but production behavior should be completed in dependency order unless an accepted ADR changes the sequence.</w:t>
            </w:r>
          </w:p>
        </w:tc>
      </w:tr>
    </w:tbl>
    <w:tbl>
      <w:tblPr>
        <w:tblW w:type="auto" w:w="0"/>
        <w:tblLayout w:type="autofit"/>
        <w:tblLook w:firstColumn="1" w:firstRow="1" w:lastColumn="0" w:lastRow="0" w:noHBand="0" w:noVBand="1" w:val="04A0"/>
      </w:tblPr>
      <w:tblGrid>
        <w:gridCol w:w="3389"/>
        <w:gridCol w:w="3389"/>
        <w:gridCol w:w="3389"/>
      </w:tblGrid>
      <w:tr>
        <w:trPr>
          <w:cantSplit/>
        </w:trPr>
        <w:tc>
          <w:tcPr>
            <w:tcW w:type="dxa" w:w="1152"/>
            <w:vAlign w:val="center"/>
            <w:tcMar>
              <w:top w:w="90" w:type="dxa"/>
              <w:start w:w="100" w:type="dxa"/>
              <w:bottom w:w="90" w:type="dxa"/>
              <w:end w:w="100" w:type="dxa"/>
            </w:tcMar>
            <w:shd w:fill="1F4E78"/>
          </w:tcPr>
          <w:p>
            <w:pPr>
              <w:spacing w:after="40" w:before="40"/>
            </w:pPr>
            <w:r>
              <w:rPr>
                <w:b/>
                <w:color w:val="FFFFFF"/>
                <w:sz w:val="17"/>
              </w:rPr>
              <w:t>Milestone</w:t>
            </w:r>
          </w:p>
        </w:tc>
        <w:tc>
          <w:tcPr>
            <w:tcW w:type="dxa" w:w="2592"/>
            <w:vAlign w:val="center"/>
            <w:tcMar>
              <w:top w:w="90" w:type="dxa"/>
              <w:start w:w="100" w:type="dxa"/>
              <w:bottom w:w="90" w:type="dxa"/>
              <w:end w:w="100" w:type="dxa"/>
            </w:tcMar>
            <w:shd w:fill="1F4E78"/>
          </w:tcPr>
          <w:p>
            <w:pPr>
              <w:spacing w:after="40" w:before="40"/>
            </w:pPr>
            <w:r>
              <w:rPr>
                <w:b/>
                <w:color w:val="FFFFFF"/>
                <w:sz w:val="17"/>
              </w:rPr>
              <w:t>Capability</w:t>
            </w:r>
          </w:p>
        </w:tc>
        <w:tc>
          <w:tcPr>
            <w:tcW w:type="dxa" w:w="6624"/>
            <w:vAlign w:val="center"/>
            <w:tcMar>
              <w:top w:w="90" w:type="dxa"/>
              <w:start w:w="100" w:type="dxa"/>
              <w:bottom w:w="90" w:type="dxa"/>
              <w:end w:w="100" w:type="dxa"/>
            </w:tcMar>
            <w:shd w:fill="1F4E78"/>
          </w:tcPr>
          <w:p>
            <w:pPr>
              <w:spacing w:after="40" w:before="40"/>
            </w:pPr>
            <w:r>
              <w:rPr>
                <w:b/>
                <w:color w:val="FFFFFF"/>
                <w:sz w:val="17"/>
              </w:rPr>
              <w:t>Exit expectation</w:t>
            </w:r>
          </w:p>
        </w:tc>
      </w:tr>
      <w:tr>
        <w:trPr>
          <w:cantSplit/>
        </w:trPr>
        <w:tc>
          <w:tcPr>
            <w:tcW w:type="dxa" w:w="1152"/>
            <w:vAlign w:val="center"/>
            <w:tcMar>
              <w:top w:w="90" w:type="dxa"/>
              <w:start w:w="100" w:type="dxa"/>
              <w:bottom w:w="90" w:type="dxa"/>
              <w:end w:w="100" w:type="dxa"/>
            </w:tcMar>
          </w:tcPr>
          <w:p>
            <w:pPr>
              <w:spacing w:after="40" w:before="40"/>
            </w:pPr>
            <w:r>
              <w:rPr>
                <w:sz w:val="17"/>
              </w:rPr>
              <w:t>M0</w:t>
            </w:r>
          </w:p>
        </w:tc>
        <w:tc>
          <w:tcPr>
            <w:tcW w:type="dxa" w:w="2592"/>
            <w:vAlign w:val="center"/>
            <w:tcMar>
              <w:top w:w="90" w:type="dxa"/>
              <w:start w:w="100" w:type="dxa"/>
              <w:bottom w:w="90" w:type="dxa"/>
              <w:end w:w="100" w:type="dxa"/>
            </w:tcMar>
          </w:tcPr>
          <w:p>
            <w:pPr>
              <w:spacing w:after="40" w:before="40"/>
            </w:pPr>
            <w:r>
              <w:rPr>
                <w:sz w:val="17"/>
              </w:rPr>
              <w:t>Repository foundation</w:t>
            </w:r>
          </w:p>
        </w:tc>
        <w:tc>
          <w:tcPr>
            <w:tcW w:type="dxa" w:w="6624"/>
            <w:vAlign w:val="center"/>
            <w:tcMar>
              <w:top w:w="90" w:type="dxa"/>
              <w:start w:w="100" w:type="dxa"/>
              <w:bottom w:w="90" w:type="dxa"/>
              <w:end w:w="100" w:type="dxa"/>
            </w:tcMar>
          </w:tcPr>
          <w:p>
            <w:pPr>
              <w:spacing w:after="40" w:before="40"/>
            </w:pPr>
            <w:r>
              <w:rPr>
                <w:sz w:val="17"/>
              </w:rPr>
              <w:t>Monorepo/workspaces, CI, lint/typecheck, contract validators, IaC/GitOps skeleton, observability baseline, AGENTS/Cursor/Copilot rules.</w:t>
            </w:r>
          </w:p>
        </w:tc>
      </w:tr>
      <w:tr>
        <w:trPr>
          <w:cantSplit/>
        </w:trPr>
        <w:tc>
          <w:tcPr>
            <w:tcW w:type="dxa" w:w="1152"/>
            <w:vAlign w:val="center"/>
            <w:tcMar>
              <w:top w:w="90" w:type="dxa"/>
              <w:start w:w="100" w:type="dxa"/>
              <w:bottom w:w="90" w:type="dxa"/>
              <w:end w:w="100" w:type="dxa"/>
            </w:tcMar>
          </w:tcPr>
          <w:p>
            <w:pPr>
              <w:spacing w:after="40" w:before="40"/>
            </w:pPr>
            <w:r>
              <w:rPr>
                <w:sz w:val="17"/>
              </w:rPr>
              <w:t>M1</w:t>
            </w:r>
          </w:p>
        </w:tc>
        <w:tc>
          <w:tcPr>
            <w:tcW w:type="dxa" w:w="2592"/>
            <w:vAlign w:val="center"/>
            <w:tcMar>
              <w:top w:w="90" w:type="dxa"/>
              <w:start w:w="100" w:type="dxa"/>
              <w:bottom w:w="90" w:type="dxa"/>
              <w:end w:w="100" w:type="dxa"/>
            </w:tcMar>
          </w:tcPr>
          <w:p>
            <w:pPr>
              <w:spacing w:after="40" w:before="40"/>
            </w:pPr>
            <w:r>
              <w:rPr>
                <w:sz w:val="17"/>
              </w:rPr>
              <w:t>Tenant + organisation + jurisdiction</w:t>
            </w:r>
          </w:p>
        </w:tc>
        <w:tc>
          <w:tcPr>
            <w:tcW w:type="dxa" w:w="6624"/>
            <w:vAlign w:val="center"/>
            <w:tcMar>
              <w:top w:w="90" w:type="dxa"/>
              <w:start w:w="100" w:type="dxa"/>
              <w:bottom w:w="90" w:type="dxa"/>
              <w:end w:w="100" w:type="dxa"/>
            </w:tcMar>
          </w:tcPr>
          <w:p>
            <w:pPr>
              <w:spacing w:after="40" w:before="40"/>
            </w:pPr>
            <w:r>
              <w:rPr>
                <w:sz w:val="17"/>
              </w:rPr>
              <w:t>Tenant context, government organisation graph, office/jurisdiction model, RLS, OPA baseline, cross-tenant tests.</w:t>
            </w:r>
          </w:p>
        </w:tc>
      </w:tr>
      <w:tr>
        <w:trPr>
          <w:cantSplit/>
        </w:trPr>
        <w:tc>
          <w:tcPr>
            <w:tcW w:type="dxa" w:w="1152"/>
            <w:vAlign w:val="center"/>
            <w:tcMar>
              <w:top w:w="90" w:type="dxa"/>
              <w:start w:w="100" w:type="dxa"/>
              <w:bottom w:w="90" w:type="dxa"/>
              <w:end w:w="100" w:type="dxa"/>
            </w:tcMar>
          </w:tcPr>
          <w:p>
            <w:pPr>
              <w:spacing w:after="40" w:before="40"/>
            </w:pPr>
            <w:r>
              <w:rPr>
                <w:sz w:val="17"/>
              </w:rPr>
              <w:t>M2</w:t>
            </w:r>
          </w:p>
        </w:tc>
        <w:tc>
          <w:tcPr>
            <w:tcW w:type="dxa" w:w="2592"/>
            <w:vAlign w:val="center"/>
            <w:tcMar>
              <w:top w:w="90" w:type="dxa"/>
              <w:start w:w="100" w:type="dxa"/>
              <w:bottom w:w="90" w:type="dxa"/>
              <w:end w:w="100" w:type="dxa"/>
            </w:tcMar>
          </w:tcPr>
          <w:p>
            <w:pPr>
              <w:spacing w:after="40" w:before="40"/>
            </w:pPr>
            <w:r>
              <w:rPr>
                <w:sz w:val="17"/>
              </w:rPr>
              <w:t>Identity</w:t>
            </w:r>
          </w:p>
        </w:tc>
        <w:tc>
          <w:tcPr>
            <w:tcW w:type="dxa" w:w="6624"/>
            <w:vAlign w:val="center"/>
            <w:tcMar>
              <w:top w:w="90" w:type="dxa"/>
              <w:start w:w="100" w:type="dxa"/>
              <w:bottom w:w="90" w:type="dxa"/>
              <w:end w:w="100" w:type="dxa"/>
            </w:tcMar>
          </w:tcPr>
          <w:p>
            <w:pPr>
              <w:spacing w:after="40" w:before="40"/>
            </w:pPr>
            <w:r>
              <w:rPr>
                <w:sz w:val="17"/>
              </w:rPr>
              <w:t>Officer Keycloak integration; citizen OTP identity/account service; immutable citizen_id; DigiLocker linking interfaces.</w:t>
            </w:r>
          </w:p>
        </w:tc>
      </w:tr>
      <w:tr>
        <w:trPr>
          <w:cantSplit/>
        </w:trPr>
        <w:tc>
          <w:tcPr>
            <w:tcW w:type="dxa" w:w="1152"/>
            <w:vAlign w:val="center"/>
            <w:tcMar>
              <w:top w:w="90" w:type="dxa"/>
              <w:start w:w="100" w:type="dxa"/>
              <w:bottom w:w="90" w:type="dxa"/>
              <w:end w:w="100" w:type="dxa"/>
            </w:tcMar>
          </w:tcPr>
          <w:p>
            <w:pPr>
              <w:spacing w:after="40" w:before="40"/>
            </w:pPr>
            <w:r>
              <w:rPr>
                <w:sz w:val="17"/>
              </w:rPr>
              <w:t>M3</w:t>
            </w:r>
          </w:p>
        </w:tc>
        <w:tc>
          <w:tcPr>
            <w:tcW w:type="dxa" w:w="2592"/>
            <w:vAlign w:val="center"/>
            <w:tcMar>
              <w:top w:w="90" w:type="dxa"/>
              <w:start w:w="100" w:type="dxa"/>
              <w:bottom w:w="90" w:type="dxa"/>
              <w:end w:w="100" w:type="dxa"/>
            </w:tcMar>
          </w:tcPr>
          <w:p>
            <w:r>
              <w:t>Service Registry + Canonical Template Registry</w:t>
            </w:r>
          </w:p>
        </w:tc>
        <w:tc>
          <w:tcPr>
            <w:tcW w:type="dxa" w:w="6624"/>
            <w:vAlign w:val="center"/>
            <w:tcMar>
              <w:top w:w="90" w:type="dxa"/>
              <w:start w:w="100" w:type="dxa"/>
              <w:bottom w:w="90" w:type="dxa"/>
              <w:end w:w="100" w:type="dxa"/>
            </w:tcMar>
          </w:tcPr>
          <w:p>
            <w:r>
              <w:t>Canonical service/local offering/version model, reusable service-template package and publishing primitives.</w:t>
            </w:r>
          </w:p>
        </w:tc>
      </w:tr>
      <w:tr>
        <w:trPr>
          <w:cantSplit/>
        </w:trPr>
        <w:tc>
          <w:tcPr>
            <w:tcW w:type="dxa" w:w="1152"/>
            <w:vAlign w:val="center"/>
            <w:tcMar>
              <w:top w:w="90" w:type="dxa"/>
              <w:start w:w="100" w:type="dxa"/>
              <w:bottom w:w="90" w:type="dxa"/>
              <w:end w:w="100" w:type="dxa"/>
            </w:tcMar>
          </w:tcPr>
          <w:p>
            <w:pPr>
              <w:spacing w:after="40" w:before="40"/>
            </w:pPr>
            <w:r>
              <w:rPr>
                <w:sz w:val="17"/>
              </w:rPr>
              <w:t>M4</w:t>
            </w:r>
          </w:p>
        </w:tc>
        <w:tc>
          <w:tcPr>
            <w:tcW w:type="dxa" w:w="2592"/>
            <w:vAlign w:val="center"/>
            <w:tcMar>
              <w:top w:w="90" w:type="dxa"/>
              <w:start w:w="100" w:type="dxa"/>
              <w:bottom w:w="90" w:type="dxa"/>
              <w:end w:w="100" w:type="dxa"/>
            </w:tcMar>
          </w:tcPr>
          <w:p>
            <w:r>
              <w:t>Service Design Studio - Form Designer</w:t>
            </w:r>
          </w:p>
        </w:tc>
        <w:tc>
          <w:tcPr>
            <w:tcW w:type="dxa" w:w="6624"/>
            <w:vAlign w:val="center"/>
            <w:tcMar>
              <w:top w:w="90" w:type="dxa"/>
              <w:start w:w="100" w:type="dxa"/>
              <w:bottom w:w="90" w:type="dxa"/>
              <w:end w:w="100" w:type="dxa"/>
            </w:tcMar>
          </w:tcPr>
          <w:p>
            <w:r>
              <w:t>Drag-and-drop authoring, JSON Schema/UI Schema generation, government field library, draft/save, conditional behavior, multilingual/accessibility, preview and automated form validation.</w:t>
            </w:r>
          </w:p>
        </w:tc>
      </w:tr>
      <w:tr>
        <w:trPr>
          <w:cantSplit/>
        </w:trPr>
        <w:tc>
          <w:tcPr>
            <w:tcW w:type="dxa" w:w="1152"/>
            <w:vAlign w:val="center"/>
            <w:tcMar>
              <w:top w:w="90" w:type="dxa"/>
              <w:start w:w="100" w:type="dxa"/>
              <w:bottom w:w="90" w:type="dxa"/>
              <w:end w:w="100" w:type="dxa"/>
            </w:tcMar>
          </w:tcPr>
          <w:p>
            <w:pPr>
              <w:spacing w:after="40" w:before="40"/>
            </w:pPr>
            <w:r>
              <w:rPr>
                <w:sz w:val="17"/>
              </w:rPr>
              <w:t>M5</w:t>
            </w:r>
          </w:p>
        </w:tc>
        <w:tc>
          <w:tcPr>
            <w:tcW w:type="dxa" w:w="2592"/>
            <w:vAlign w:val="center"/>
            <w:tcMar>
              <w:top w:w="90" w:type="dxa"/>
              <w:start w:w="100" w:type="dxa"/>
              <w:bottom w:w="90" w:type="dxa"/>
              <w:end w:w="100" w:type="dxa"/>
            </w:tcMar>
          </w:tcPr>
          <w:p>
            <w:pPr>
              <w:spacing w:after="40" w:before="40"/>
            </w:pPr>
            <w:r>
              <w:rPr>
                <w:sz w:val="17"/>
              </w:rPr>
              <w:t>Rules Engine</w:t>
            </w:r>
          </w:p>
        </w:tc>
        <w:tc>
          <w:tcPr>
            <w:tcW w:type="dxa" w:w="6624"/>
            <w:vAlign w:val="center"/>
            <w:tcMar>
              <w:top w:w="90" w:type="dxa"/>
              <w:start w:w="100" w:type="dxa"/>
              <w:bottom w:w="90" w:type="dxa"/>
              <w:end w:w="100" w:type="dxa"/>
            </w:tcMar>
          </w:tcPr>
          <w:p>
            <w:pPr>
              <w:spacing w:after="40" w:before="40"/>
            </w:pPr>
            <w:r>
              <w:rPr>
                <w:sz w:val="17"/>
              </w:rPr>
              <w:t>Deterministic eligibility/evidence/fee/jurisdiction decisions with explainable outputs and versioning.</w:t>
            </w:r>
          </w:p>
        </w:tc>
      </w:tr>
      <w:tr>
        <w:trPr>
          <w:cantSplit/>
        </w:trPr>
        <w:tc>
          <w:tcPr>
            <w:tcW w:type="dxa" w:w="1152"/>
            <w:vAlign w:val="center"/>
            <w:tcMar>
              <w:top w:w="90" w:type="dxa"/>
              <w:start w:w="100" w:type="dxa"/>
              <w:bottom w:w="90" w:type="dxa"/>
              <w:end w:w="100" w:type="dxa"/>
            </w:tcMar>
          </w:tcPr>
          <w:p>
            <w:pPr>
              <w:spacing w:after="40" w:before="40"/>
            </w:pPr>
            <w:r>
              <w:rPr>
                <w:sz w:val="17"/>
              </w:rPr>
              <w:t>M6</w:t>
            </w:r>
          </w:p>
        </w:tc>
        <w:tc>
          <w:tcPr>
            <w:tcW w:type="dxa" w:w="2592"/>
            <w:vAlign w:val="center"/>
            <w:tcMar>
              <w:top w:w="90" w:type="dxa"/>
              <w:start w:w="100" w:type="dxa"/>
              <w:bottom w:w="90" w:type="dxa"/>
              <w:end w:w="100" w:type="dxa"/>
            </w:tcMar>
          </w:tcPr>
          <w:p>
            <w:pPr>
              <w:spacing w:after="40" w:before="40"/>
            </w:pPr>
            <w:r>
              <w:rPr>
                <w:sz w:val="17"/>
              </w:rPr>
              <w:t>Evidence &amp; Document</w:t>
            </w:r>
          </w:p>
        </w:tc>
        <w:tc>
          <w:tcPr>
            <w:tcW w:type="dxa" w:w="6624"/>
            <w:vAlign w:val="center"/>
            <w:tcMar>
              <w:top w:w="90" w:type="dxa"/>
              <w:start w:w="100" w:type="dxa"/>
              <w:bottom w:w="90" w:type="dxa"/>
              <w:end w:w="100" w:type="dxa"/>
            </w:tcMar>
          </w:tcPr>
          <w:p>
            <w:pPr>
              <w:spacing w:after="40" w:before="40"/>
            </w:pPr>
            <w:r>
              <w:rPr>
                <w:sz w:val="17"/>
              </w:rPr>
              <w:t>S3 upload, metadata, hashing, malware scan hooks, evidence policy, DigiLocker abstraction.</w:t>
            </w:r>
          </w:p>
        </w:tc>
      </w:tr>
      <w:tr>
        <w:trPr>
          <w:cantSplit/>
        </w:trPr>
        <w:tc>
          <w:tcPr>
            <w:tcW w:type="dxa" w:w="1152"/>
            <w:vAlign w:val="center"/>
            <w:tcMar>
              <w:top w:w="90" w:type="dxa"/>
              <w:start w:w="100" w:type="dxa"/>
              <w:bottom w:w="90" w:type="dxa"/>
              <w:end w:w="100" w:type="dxa"/>
            </w:tcMar>
          </w:tcPr>
          <w:p>
            <w:pPr>
              <w:spacing w:after="40" w:before="40"/>
            </w:pPr>
            <w:r>
              <w:rPr>
                <w:sz w:val="17"/>
              </w:rPr>
              <w:t>M7</w:t>
            </w:r>
          </w:p>
        </w:tc>
        <w:tc>
          <w:tcPr>
            <w:tcW w:type="dxa" w:w="2592"/>
            <w:vAlign w:val="center"/>
            <w:tcMar>
              <w:top w:w="90" w:type="dxa"/>
              <w:start w:w="100" w:type="dxa"/>
              <w:bottom w:w="90" w:type="dxa"/>
              <w:end w:w="100" w:type="dxa"/>
            </w:tcMar>
          </w:tcPr>
          <w:p>
            <w:pPr>
              <w:spacing w:after="40" w:before="40"/>
            </w:pPr>
            <w:r>
              <w:rPr>
                <w:sz w:val="17"/>
              </w:rPr>
              <w:t>Application / Case</w:t>
            </w:r>
          </w:p>
        </w:tc>
        <w:tc>
          <w:tcPr>
            <w:tcW w:type="dxa" w:w="6624"/>
            <w:vAlign w:val="center"/>
            <w:tcMar>
              <w:top w:w="90" w:type="dxa"/>
              <w:start w:w="100" w:type="dxa"/>
              <w:bottom w:w="90" w:type="dxa"/>
              <w:end w:w="100" w:type="dxa"/>
            </w:tcMar>
          </w:tcPr>
          <w:p>
            <w:pPr>
              <w:spacing w:after="40" w:before="40"/>
            </w:pPr>
            <w:r>
              <w:rPr>
                <w:sz w:val="17"/>
              </w:rPr>
              <w:t>Application state machine, authoritative persistence, audit, outbox and citizen tracking.</w:t>
            </w:r>
          </w:p>
        </w:tc>
      </w:tr>
      <w:tr>
        <w:trPr>
          <w:cantSplit/>
        </w:trPr>
        <w:tc>
          <w:tcPr>
            <w:tcW w:type="dxa" w:w="1152"/>
            <w:vAlign w:val="center"/>
            <w:tcMar>
              <w:top w:w="90" w:type="dxa"/>
              <w:start w:w="100" w:type="dxa"/>
              <w:bottom w:w="90" w:type="dxa"/>
              <w:end w:w="100" w:type="dxa"/>
            </w:tcMar>
          </w:tcPr>
          <w:p>
            <w:pPr>
              <w:spacing w:after="40" w:before="40"/>
            </w:pPr>
            <w:r>
              <w:rPr>
                <w:sz w:val="17"/>
              </w:rPr>
              <w:t>M8</w:t>
            </w:r>
          </w:p>
        </w:tc>
        <w:tc>
          <w:tcPr>
            <w:tcW w:type="dxa" w:w="2592"/>
            <w:vAlign w:val="center"/>
            <w:tcMar>
              <w:top w:w="90" w:type="dxa"/>
              <w:start w:w="100" w:type="dxa"/>
              <w:bottom w:w="90" w:type="dxa"/>
              <w:end w:w="100" w:type="dxa"/>
            </w:tcMar>
          </w:tcPr>
          <w:p>
            <w:r>
              <w:t>Workflow &amp; Tasks + Visual Workflow Designer</w:t>
            </w:r>
          </w:p>
        </w:tc>
        <w:tc>
          <w:tcPr>
            <w:tcW w:type="dxa" w:w="6624"/>
            <w:vAlign w:val="center"/>
            <w:tcMar>
              <w:top w:w="90" w:type="dxa"/>
              <w:start w:w="100" w:type="dxa"/>
              <w:bottom w:w="90" w:type="dxa"/>
              <w:end w:w="100" w:type="dxa"/>
            </w:tcMar>
          </w:tcPr>
          <w:p>
            <w:r>
              <w:t>Temporal orchestration plus no-code workflow canvas, role/office/jurisdiction task resolution, deficiency/timer/escalation primitives and tenant workflow overrides.</w:t>
            </w:r>
          </w:p>
        </w:tc>
      </w:tr>
      <w:tr>
        <w:trPr>
          <w:cantSplit/>
        </w:trPr>
        <w:tc>
          <w:tcPr>
            <w:tcW w:type="dxa" w:w="1152"/>
            <w:vAlign w:val="center"/>
            <w:tcMar>
              <w:top w:w="90" w:type="dxa"/>
              <w:start w:w="100" w:type="dxa"/>
              <w:bottom w:w="90" w:type="dxa"/>
              <w:end w:w="100" w:type="dxa"/>
            </w:tcMar>
          </w:tcPr>
          <w:p>
            <w:pPr>
              <w:spacing w:after="40" w:before="40"/>
            </w:pPr>
            <w:r>
              <w:rPr>
                <w:sz w:val="17"/>
              </w:rPr>
              <w:t>M9</w:t>
            </w:r>
          </w:p>
        </w:tc>
        <w:tc>
          <w:tcPr>
            <w:tcW w:type="dxa" w:w="2592"/>
            <w:vAlign w:val="center"/>
            <w:tcMar>
              <w:top w:w="90" w:type="dxa"/>
              <w:start w:w="100" w:type="dxa"/>
              <w:bottom w:w="90" w:type="dxa"/>
              <w:end w:w="100" w:type="dxa"/>
            </w:tcMar>
          </w:tcPr>
          <w:p>
            <w:pPr>
              <w:spacing w:after="40" w:before="40"/>
            </w:pPr>
            <w:r>
              <w:rPr>
                <w:sz w:val="17"/>
              </w:rPr>
              <w:t>Payment</w:t>
            </w:r>
          </w:p>
        </w:tc>
        <w:tc>
          <w:tcPr>
            <w:tcW w:type="dxa" w:w="6624"/>
            <w:vAlign w:val="center"/>
            <w:tcMar>
              <w:top w:w="90" w:type="dxa"/>
              <w:start w:w="100" w:type="dxa"/>
              <w:bottom w:w="90" w:type="dxa"/>
              <w:end w:w="100" w:type="dxa"/>
            </w:tcMar>
          </w:tcPr>
          <w:p>
            <w:pPr>
              <w:spacing w:after="40" w:before="40"/>
            </w:pPr>
            <w:r>
              <w:rPr>
                <w:sz w:val="17"/>
              </w:rPr>
              <w:t>Fee calculation integration, payment intent, callback verification, reconciliation, duplicate protection.</w:t>
            </w:r>
          </w:p>
        </w:tc>
      </w:tr>
      <w:tr>
        <w:trPr>
          <w:cantSplit/>
        </w:trPr>
        <w:tc>
          <w:tcPr>
            <w:tcW w:type="dxa" w:w="1152"/>
            <w:vAlign w:val="center"/>
            <w:tcMar>
              <w:top w:w="90" w:type="dxa"/>
              <w:start w:w="100" w:type="dxa"/>
              <w:bottom w:w="90" w:type="dxa"/>
              <w:end w:w="100" w:type="dxa"/>
            </w:tcMar>
          </w:tcPr>
          <w:p>
            <w:pPr>
              <w:spacing w:after="40" w:before="40"/>
            </w:pPr>
            <w:r>
              <w:rPr>
                <w:sz w:val="17"/>
              </w:rPr>
              <w:t>M10</w:t>
            </w:r>
          </w:p>
        </w:tc>
        <w:tc>
          <w:tcPr>
            <w:tcW w:type="dxa" w:w="2592"/>
            <w:vAlign w:val="center"/>
            <w:tcMar>
              <w:top w:w="90" w:type="dxa"/>
              <w:start w:w="100" w:type="dxa"/>
              <w:bottom w:w="90" w:type="dxa"/>
              <w:end w:w="100" w:type="dxa"/>
            </w:tcMar>
          </w:tcPr>
          <w:p>
            <w:pPr>
              <w:spacing w:after="40" w:before="40"/>
            </w:pPr>
            <w:r>
              <w:rPr>
                <w:sz w:val="17"/>
              </w:rPr>
              <w:t>Credential / QR</w:t>
            </w:r>
          </w:p>
        </w:tc>
        <w:tc>
          <w:tcPr>
            <w:tcW w:type="dxa" w:w="6624"/>
            <w:vAlign w:val="center"/>
            <w:tcMar>
              <w:top w:w="90" w:type="dxa"/>
              <w:start w:w="100" w:type="dxa"/>
              <w:bottom w:w="90" w:type="dxa"/>
              <w:end w:w="100" w:type="dxa"/>
            </w:tcMar>
          </w:tcPr>
          <w:p>
            <w:pPr>
              <w:spacing w:after="40" w:before="40"/>
            </w:pPr>
            <w:r>
              <w:rPr>
                <w:sz w:val="17"/>
              </w:rPr>
              <w:t>Template generation, signing abstraction, issuance registry, QR/status verification, revocation.</w:t>
            </w:r>
          </w:p>
        </w:tc>
      </w:tr>
      <w:tr>
        <w:trPr>
          <w:cantSplit/>
        </w:trPr>
        <w:tc>
          <w:tcPr>
            <w:tcW w:type="dxa" w:w="1152"/>
            <w:vAlign w:val="center"/>
            <w:tcMar>
              <w:top w:w="90" w:type="dxa"/>
              <w:start w:w="100" w:type="dxa"/>
              <w:bottom w:w="90" w:type="dxa"/>
              <w:end w:w="100" w:type="dxa"/>
            </w:tcMar>
          </w:tcPr>
          <w:p>
            <w:pPr>
              <w:spacing w:after="40" w:before="40"/>
            </w:pPr>
            <w:r>
              <w:rPr>
                <w:sz w:val="17"/>
              </w:rPr>
              <w:t>M11</w:t>
            </w:r>
          </w:p>
        </w:tc>
        <w:tc>
          <w:tcPr>
            <w:tcW w:type="dxa" w:w="2592"/>
            <w:vAlign w:val="center"/>
            <w:tcMar>
              <w:top w:w="90" w:type="dxa"/>
              <w:start w:w="100" w:type="dxa"/>
              <w:bottom w:w="90" w:type="dxa"/>
              <w:end w:w="100" w:type="dxa"/>
            </w:tcMar>
          </w:tcPr>
          <w:p>
            <w:pPr>
              <w:spacing w:after="40" w:before="40"/>
            </w:pPr>
            <w:r>
              <w:rPr>
                <w:sz w:val="17"/>
              </w:rPr>
              <w:t>Notification</w:t>
            </w:r>
          </w:p>
        </w:tc>
        <w:tc>
          <w:tcPr>
            <w:tcW w:type="dxa" w:w="6624"/>
            <w:vAlign w:val="center"/>
            <w:tcMar>
              <w:top w:w="90" w:type="dxa"/>
              <w:start w:w="100" w:type="dxa"/>
              <w:bottom w:w="90" w:type="dxa"/>
              <w:end w:w="100" w:type="dxa"/>
            </w:tcMar>
          </w:tcPr>
          <w:p>
            <w:pPr>
              <w:spacing w:after="40" w:before="40"/>
            </w:pPr>
            <w:r>
              <w:rPr>
                <w:sz w:val="17"/>
              </w:rPr>
              <w:t>Template/localization, async delivery, retry/DLQ and delivery status.</w:t>
            </w:r>
          </w:p>
        </w:tc>
      </w:tr>
      <w:tr>
        <w:trPr>
          <w:cantSplit/>
        </w:trPr>
        <w:tc>
          <w:tcPr>
            <w:tcW w:type="dxa" w:w="1152"/>
            <w:vAlign w:val="center"/>
            <w:tcMar>
              <w:top w:w="90" w:type="dxa"/>
              <w:start w:w="100" w:type="dxa"/>
              <w:bottom w:w="90" w:type="dxa"/>
              <w:end w:w="100" w:type="dxa"/>
            </w:tcMar>
          </w:tcPr>
          <w:p>
            <w:pPr>
              <w:spacing w:after="40" w:before="40"/>
            </w:pPr>
            <w:r>
              <w:rPr>
                <w:sz w:val="17"/>
              </w:rPr>
              <w:t>M12</w:t>
            </w:r>
          </w:p>
        </w:tc>
        <w:tc>
          <w:tcPr>
            <w:tcW w:type="dxa" w:w="2592"/>
            <w:vAlign w:val="center"/>
            <w:tcMar>
              <w:top w:w="90" w:type="dxa"/>
              <w:start w:w="100" w:type="dxa"/>
              <w:bottom w:w="90" w:type="dxa"/>
              <w:end w:w="100" w:type="dxa"/>
            </w:tcMar>
          </w:tcPr>
          <w:p>
            <w:pPr>
              <w:spacing w:after="40" w:before="40"/>
            </w:pPr>
            <w:r>
              <w:rPr>
                <w:sz w:val="17"/>
              </w:rPr>
              <w:t>Search &amp; Recommendation</w:t>
            </w:r>
          </w:p>
        </w:tc>
        <w:tc>
          <w:tcPr>
            <w:tcW w:type="dxa" w:w="6624"/>
            <w:vAlign w:val="center"/>
            <w:tcMar>
              <w:top w:w="90" w:type="dxa"/>
              <w:start w:w="100" w:type="dxa"/>
              <w:bottom w:w="90" w:type="dxa"/>
              <w:end w:w="100" w:type="dxa"/>
            </w:tcMar>
          </w:tcPr>
          <w:p>
            <w:pPr>
              <w:spacing w:after="40" w:before="40"/>
            </w:pPr>
            <w:r>
              <w:rPr>
                <w:sz w:val="17"/>
              </w:rPr>
              <w:t>Service discovery, profile-aware recommendations, explainability, derived indexes.</w:t>
            </w:r>
          </w:p>
        </w:tc>
      </w:tr>
      <w:tr>
        <w:trPr>
          <w:cantSplit/>
        </w:trPr>
        <w:tc>
          <w:tcPr>
            <w:tcW w:type="dxa" w:w="1152"/>
            <w:vAlign w:val="center"/>
            <w:tcMar>
              <w:top w:w="90" w:type="dxa"/>
              <w:start w:w="100" w:type="dxa"/>
              <w:bottom w:w="90" w:type="dxa"/>
              <w:end w:w="100" w:type="dxa"/>
            </w:tcMar>
          </w:tcPr>
          <w:p>
            <w:pPr>
              <w:spacing w:after="40" w:before="40"/>
            </w:pPr>
            <w:r>
              <w:rPr>
                <w:sz w:val="17"/>
              </w:rPr>
              <w:t>M13</w:t>
            </w:r>
          </w:p>
        </w:tc>
        <w:tc>
          <w:tcPr>
            <w:tcW w:type="dxa" w:w="2592"/>
            <w:vAlign w:val="center"/>
            <w:tcMar>
              <w:top w:w="90" w:type="dxa"/>
              <w:start w:w="100" w:type="dxa"/>
              <w:bottom w:w="90" w:type="dxa"/>
              <w:end w:w="100" w:type="dxa"/>
            </w:tcMar>
          </w:tcPr>
          <w:p>
            <w:pPr>
              <w:spacing w:after="40" w:before="40"/>
            </w:pPr>
            <w:r>
              <w:rPr>
                <w:sz w:val="17"/>
              </w:rPr>
              <w:t>DigiLocker</w:t>
            </w:r>
          </w:p>
        </w:tc>
        <w:tc>
          <w:tcPr>
            <w:tcW w:type="dxa" w:w="6624"/>
            <w:vAlign w:val="center"/>
            <w:tcMar>
              <w:top w:w="90" w:type="dxa"/>
              <w:start w:w="100" w:type="dxa"/>
              <w:bottom w:w="90" w:type="dxa"/>
              <w:end w:w="100" w:type="dxa"/>
            </w:tcMar>
          </w:tcPr>
          <w:p>
            <w:pPr>
              <w:spacing w:after="40" w:before="40"/>
            </w:pPr>
            <w:r>
              <w:rPr>
                <w:sz w:val="17"/>
              </w:rPr>
              <w:t>Verified-document retrieval/claim provenance; issuer publishing; later SSO/account linking.</w:t>
            </w:r>
          </w:p>
        </w:tc>
      </w:tr>
      <w:tr>
        <w:trPr>
          <w:cantSplit/>
        </w:trPr>
        <w:tc>
          <w:tcPr>
            <w:tcW w:type="dxa" w:w="1152"/>
            <w:vAlign w:val="center"/>
            <w:tcMar>
              <w:top w:w="90" w:type="dxa"/>
              <w:start w:w="100" w:type="dxa"/>
              <w:bottom w:w="90" w:type="dxa"/>
              <w:end w:w="100" w:type="dxa"/>
            </w:tcMar>
          </w:tcPr>
          <w:p>
            <w:pPr>
              <w:spacing w:after="40" w:before="40"/>
            </w:pPr>
            <w:r>
              <w:rPr>
                <w:sz w:val="17"/>
              </w:rPr>
              <w:t>M14</w:t>
            </w:r>
          </w:p>
        </w:tc>
        <w:tc>
          <w:tcPr>
            <w:tcW w:type="dxa" w:w="2592"/>
            <w:vAlign w:val="center"/>
            <w:tcMar>
              <w:top w:w="90" w:type="dxa"/>
              <w:start w:w="100" w:type="dxa"/>
              <w:bottom w:w="90" w:type="dxa"/>
              <w:end w:w="100" w:type="dxa"/>
            </w:tcMar>
          </w:tcPr>
          <w:p>
            <w:pPr>
              <w:spacing w:after="40" w:before="40"/>
            </w:pPr>
            <w:r>
              <w:rPr>
                <w:sz w:val="17"/>
              </w:rPr>
              <w:t>AI Assistants</w:t>
            </w:r>
          </w:p>
        </w:tc>
        <w:tc>
          <w:tcPr>
            <w:tcW w:type="dxa" w:w="6624"/>
            <w:vAlign w:val="center"/>
            <w:tcMar>
              <w:top w:w="90" w:type="dxa"/>
              <w:start w:w="100" w:type="dxa"/>
              <w:bottom w:w="90" w:type="dxa"/>
              <w:end w:w="100" w:type="dxa"/>
            </w:tcMar>
          </w:tcPr>
          <w:p>
            <w:pPr>
              <w:spacing w:after="40" w:before="40"/>
            </w:pPr>
            <w:r>
              <w:rPr>
                <w:sz w:val="17"/>
              </w:rPr>
              <w:t>AI Gateway, citizen form assistant, officer copilot, service designer/validator/testing agents under governance constraints.</w:t>
            </w:r>
          </w:p>
        </w:tc>
      </w:tr>
      <w:tr>
        <w:trPr>
          <w:cantSplit/>
        </w:trPr>
        <w:tc>
          <w:tcPr>
            <w:tcW w:type="dxa" w:w="1152"/>
            <w:vAlign w:val="center"/>
            <w:tcMar>
              <w:top w:w="90" w:type="dxa"/>
              <w:start w:w="100" w:type="dxa"/>
              <w:bottom w:w="90" w:type="dxa"/>
              <w:end w:w="100" w:type="dxa"/>
            </w:tcMar>
          </w:tcPr>
          <w:p>
            <w:pPr>
              <w:spacing w:after="40" w:before="40"/>
            </w:pPr>
            <w:r>
              <w:rPr>
                <w:sz w:val="17"/>
              </w:rPr>
              <w:t>M15</w:t>
            </w:r>
          </w:p>
        </w:tc>
        <w:tc>
          <w:tcPr>
            <w:tcW w:type="dxa" w:w="2592"/>
            <w:vAlign w:val="center"/>
            <w:tcMar>
              <w:top w:w="90" w:type="dxa"/>
              <w:start w:w="100" w:type="dxa"/>
              <w:bottom w:w="90" w:type="dxa"/>
              <w:end w:w="100" w:type="dxa"/>
            </w:tcMar>
          </w:tcPr>
          <w:p>
            <w:pPr>
              <w:spacing w:after="40" w:before="40"/>
            </w:pPr>
            <w:r>
              <w:rPr>
                <w:sz w:val="17"/>
              </w:rPr>
              <w:t>Analytics / MIS</w:t>
            </w:r>
          </w:p>
        </w:tc>
        <w:tc>
          <w:tcPr>
            <w:tcW w:type="dxa" w:w="6624"/>
            <w:vAlign w:val="center"/>
            <w:tcMar>
              <w:top w:w="90" w:type="dxa"/>
              <w:start w:w="100" w:type="dxa"/>
              <w:bottom w:w="90" w:type="dxa"/>
              <w:end w:w="100" w:type="dxa"/>
            </w:tcMar>
          </w:tcPr>
          <w:p>
            <w:pPr>
              <w:spacing w:after="40" w:before="40"/>
            </w:pPr>
            <w:r>
              <w:rPr>
                <w:sz w:val="17"/>
              </w:rPr>
              <w:t>Operational and policy analytics from governed events/warehouse projections, not transactional DB abuse.</w:t>
            </w:r>
          </w:p>
        </w:tc>
      </w:tr>
    </w:tbl>
    <w:p>
      <w:pPr>
        <w:pStyle w:val="Heading2"/>
      </w:pPr>
      <w:r>
        <w:t>17.1 Golden Vertical Slice gate</w:t>
      </w:r>
    </w:p>
    <w:p>
      <w:pPr>
        <w:pStyle w:val="ListBullet"/>
        <w:ind w:left="360"/>
      </w:pPr>
      <w:r>
        <w:t>Residence Certificate is the first end-to-end reference service and must execute through generic ServiceForm engines.</w:t>
      </w:r>
    </w:p>
    <w:p>
      <w:pPr>
        <w:pStyle w:val="ListBullet"/>
        <w:ind w:left="360"/>
      </w:pPr>
      <w:r>
        <w:t>Citizen: OTP login -&gt; profile -&gt; service discovery/recommendation -&gt; eligibility -&gt; dynamic form -&gt; evidence -&gt; submit -&gt; status/deficiency -&gt; issued credential.</w:t>
      </w:r>
    </w:p>
    <w:p>
      <w:pPr>
        <w:pStyle w:val="ListBullet"/>
        <w:ind w:left="360"/>
      </w:pPr>
      <w:r>
        <w:t>Officer: authenticated work queue -&gt; jurisdiction/role authorization -&gt; scrutiny -&gt; deficiency/verification -&gt; approval/rejection -&gt; signing/issuance.</w:t>
      </w:r>
    </w:p>
    <w:p>
      <w:pPr>
        <w:pStyle w:val="ListBullet"/>
        <w:ind w:left="360"/>
      </w:pPr>
      <w:r>
        <w:t>No ResidenceCertificate-specific backend service, controller, database schema or State-specific code branch is permitted.</w:t>
      </w:r>
    </w:p>
    <w:p>
      <w:pPr>
        <w:pStyle w:val="ListBullet"/>
        <w:ind w:left="360"/>
      </w:pPr>
      <w:r>
        <w:t>After the Golden Vertical Slice, onboard Income Certificate (or another materially different service) primarily by configuration. Any required generic-engine extension must be architecture-reviewed.</w:t>
      </w:r>
    </w:p>
    <w:p>
      <w:pPr>
        <w:pStyle w:val="Heading2"/>
      </w:pPr>
      <w:r>
        <w:t>17.2 Milestone evidence required from AI agents</w:t>
      </w:r>
    </w:p>
    <w:tbl>
      <w:tblPr>
        <w:tblW w:type="auto" w:w="0"/>
        <w:tblLayout w:type="autofit"/>
        <w:tblLook w:firstColumn="1" w:firstRow="1" w:lastColumn="0" w:lastRow="0" w:noHBand="0" w:noVBand="1" w:val="04A0"/>
      </w:tblPr>
      <w:tblGrid>
        <w:gridCol w:w="5083"/>
        <w:gridCol w:w="5083"/>
      </w:tblGrid>
      <w:tr>
        <w:trPr>
          <w:cantSplit/>
        </w:trPr>
        <w:tc>
          <w:tcPr>
            <w:tcW w:type="dxa" w:w="2448"/>
            <w:vAlign w:val="center"/>
            <w:tcMar>
              <w:top w:w="90" w:type="dxa"/>
              <w:start w:w="100" w:type="dxa"/>
              <w:bottom w:w="90" w:type="dxa"/>
              <w:end w:w="100" w:type="dxa"/>
            </w:tcMar>
            <w:shd w:fill="1F4E78"/>
          </w:tcPr>
          <w:p>
            <w:pPr>
              <w:spacing w:after="40" w:before="40"/>
            </w:pPr>
            <w:r>
              <w:rPr>
                <w:b/>
                <w:color w:val="FFFFFF"/>
                <w:sz w:val="17"/>
              </w:rPr>
              <w:t>Artifact</w:t>
            </w:r>
          </w:p>
        </w:tc>
        <w:tc>
          <w:tcPr>
            <w:tcW w:type="dxa" w:w="7776"/>
            <w:vAlign w:val="center"/>
            <w:tcMar>
              <w:top w:w="90" w:type="dxa"/>
              <w:start w:w="100" w:type="dxa"/>
              <w:bottom w:w="90" w:type="dxa"/>
              <w:end w:w="100" w:type="dxa"/>
            </w:tcMar>
            <w:shd w:fill="1F4E78"/>
          </w:tcPr>
          <w:p>
            <w:pPr>
              <w:spacing w:after="40" w:before="40"/>
            </w:pPr>
            <w:r>
              <w:rPr>
                <w:b/>
                <w:color w:val="FFFFFF"/>
                <w:sz w:val="17"/>
              </w:rPr>
              <w:t>Required content</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Implementation plan</w:t>
            </w:r>
          </w:p>
        </w:tc>
        <w:tc>
          <w:tcPr>
            <w:tcW w:type="dxa" w:w="7776"/>
            <w:vAlign w:val="center"/>
            <w:tcMar>
              <w:top w:w="90" w:type="dxa"/>
              <w:start w:w="100" w:type="dxa"/>
              <w:bottom w:w="90" w:type="dxa"/>
              <w:end w:w="100" w:type="dxa"/>
            </w:tcMar>
          </w:tcPr>
          <w:p>
            <w:pPr>
              <w:spacing w:after="40" w:before="40"/>
            </w:pPr>
            <w:r>
              <w:rPr>
                <w:sz w:val="17"/>
              </w:rPr>
              <w:t>Requirement IDs -&gt; components -&gt; schemas -&gt; APIs/events -&gt; tests -&gt; order of work.</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Architecture compliance report</w:t>
            </w:r>
          </w:p>
        </w:tc>
        <w:tc>
          <w:tcPr>
            <w:tcW w:type="dxa" w:w="7776"/>
            <w:vAlign w:val="center"/>
            <w:tcMar>
              <w:top w:w="90" w:type="dxa"/>
              <w:start w:w="100" w:type="dxa"/>
              <w:bottom w:w="90" w:type="dxa"/>
              <w:end w:w="100" w:type="dxa"/>
            </w:tcMar>
          </w:tcPr>
          <w:p>
            <w:pPr>
              <w:spacing w:after="40" w:before="40"/>
            </w:pPr>
            <w:r>
              <w:rPr>
                <w:sz w:val="17"/>
              </w:rPr>
              <w:t>Explicit confirmation against SF-001..SF-030 and tenant-isolation constitution.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Test evidence</w:t>
            </w:r>
          </w:p>
        </w:tc>
        <w:tc>
          <w:tcPr>
            <w:tcW w:type="dxa" w:w="7776"/>
            <w:vAlign w:val="center"/>
            <w:tcMar>
              <w:top w:w="90" w:type="dxa"/>
              <w:start w:w="100" w:type="dxa"/>
              <w:bottom w:w="90" w:type="dxa"/>
              <w:end w:w="100" w:type="dxa"/>
            </w:tcMar>
          </w:tcPr>
          <w:p>
            <w:pPr>
              <w:spacing w:after="40" w:before="40"/>
            </w:pPr>
            <w:r>
              <w:rPr>
                <w:sz w:val="17"/>
              </w:rPr>
              <w:t>Automated test results, including negative cross-tenant/security cases.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Performance evidence</w:t>
            </w:r>
          </w:p>
        </w:tc>
        <w:tc>
          <w:tcPr>
            <w:tcW w:type="dxa" w:w="7776"/>
            <w:vAlign w:val="center"/>
            <w:tcMar>
              <w:top w:w="90" w:type="dxa"/>
              <w:start w:w="100" w:type="dxa"/>
              <w:bottom w:w="90" w:type="dxa"/>
              <w:end w:w="100" w:type="dxa"/>
            </w:tcMar>
          </w:tcPr>
          <w:p>
            <w:pPr>
              <w:spacing w:after="40" w:before="40"/>
            </w:pPr>
            <w:r>
              <w:rPr>
                <w:sz w:val="17"/>
              </w:rPr>
              <w:t>Component-level load/latency results where milestone affects high-volume path.</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Migration evidence</w:t>
            </w:r>
          </w:p>
        </w:tc>
        <w:tc>
          <w:tcPr>
            <w:tcW w:type="dxa" w:w="7776"/>
            <w:vAlign w:val="center"/>
            <w:tcMar>
              <w:top w:w="90" w:type="dxa"/>
              <w:start w:w="100" w:type="dxa"/>
              <w:bottom w:w="90" w:type="dxa"/>
              <w:end w:w="100" w:type="dxa"/>
            </w:tcMar>
          </w:tcPr>
          <w:p>
            <w:pPr>
              <w:spacing w:after="40" w:before="40"/>
            </w:pPr>
            <w:r>
              <w:rPr>
                <w:sz w:val="17"/>
              </w:rPr>
              <w:t>Schema/config migrations and rollback/forward plan.</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Operational evidence</w:t>
            </w:r>
          </w:p>
        </w:tc>
        <w:tc>
          <w:tcPr>
            <w:tcW w:type="dxa" w:w="7776"/>
            <w:vAlign w:val="center"/>
            <w:tcMar>
              <w:top w:w="90" w:type="dxa"/>
              <w:start w:w="100" w:type="dxa"/>
              <w:bottom w:w="90" w:type="dxa"/>
              <w:end w:w="100" w:type="dxa"/>
            </w:tcMar>
          </w:tcPr>
          <w:p>
            <w:pPr>
              <w:spacing w:after="40" w:before="40"/>
            </w:pPr>
            <w:r>
              <w:rPr>
                <w:sz w:val="17"/>
              </w:rPr>
              <w:t>Metrics/logs/traces/alerts and runbook changes.</w:t>
            </w:r>
          </w:p>
        </w:tc>
      </w:tr>
      <w:tr>
        <w:trPr>
          <w:cantSplit/>
        </w:trPr>
        <w:tc>
          <w:tcPr>
            <w:tcW w:type="dxa" w:w="2448"/>
            <w:vAlign w:val="center"/>
            <w:tcMar>
              <w:top w:w="90" w:type="dxa"/>
              <w:start w:w="100" w:type="dxa"/>
              <w:bottom w:w="90" w:type="dxa"/>
              <w:end w:w="100" w:type="dxa"/>
            </w:tcMar>
            <w:shd w:fill="EAF2F8"/>
          </w:tcPr>
          <w:p>
            <w:pPr>
              <w:spacing w:after="40" w:before="40"/>
            </w:pPr>
            <w:r>
              <w:rPr>
                <w:b/>
                <w:sz w:val="17"/>
              </w:rPr>
              <w:t>ADR proposals</w:t>
            </w:r>
          </w:p>
        </w:tc>
        <w:tc>
          <w:tcPr>
            <w:tcW w:type="dxa" w:w="7776"/>
            <w:vAlign w:val="center"/>
            <w:tcMar>
              <w:top w:w="90" w:type="dxa"/>
              <w:start w:w="100" w:type="dxa"/>
              <w:bottom w:w="90" w:type="dxa"/>
              <w:end w:w="100" w:type="dxa"/>
            </w:tcMar>
          </w:tcPr>
          <w:p>
            <w:pPr>
              <w:spacing w:after="40" w:before="40"/>
            </w:pPr>
            <w:r>
              <w:rPr>
                <w:sz w:val="17"/>
              </w:rPr>
              <w:t>Any unresolved architecture decisions surfaced rather than silently implemented.</w:t>
            </w:r>
          </w:p>
        </w:tc>
      </w:tr>
    </w:tbl>
    <w:p>
      <w:pPr>
        <w:pStyle w:val="Heading1"/>
      </w:pPr>
      <w:r>
        <w:t>18. End-to-End Flow Validation &amp; Executable Test Specification</w:t>
      </w:r>
    </w:p>
    <w:tbl>
      <w:tblPr>
        <w:tblW w:type="auto" w:w="0"/>
        <w:tblLook w:firstColumn="1" w:firstRow="1" w:lastColumn="0" w:lastRow="0" w:noHBand="0" w:noVBand="1" w:val="04A0"/>
      </w:tblPr>
      <w:tblGrid>
        <w:gridCol w:w="10166"/>
      </w:tblGrid>
      <w:tr>
        <w:tc>
          <w:tcPr>
            <w:tcW w:type="dxa" w:w="10166"/>
            <w:shd w:fill="FFF2CC"/>
            <w:tcMar>
              <w:top w:w="120" w:type="dxa"/>
              <w:start w:w="130" w:type="dxa"/>
              <w:bottom w:w="120" w:type="dxa"/>
              <w:end w:w="130" w:type="dxa"/>
            </w:tcMar>
          </w:tcPr>
          <w:p>
            <w:r/>
            <w:r>
              <w:rPr>
                <w:b/>
                <w:sz w:val="19"/>
              </w:rPr>
              <w:t>Validation status: the architecture and flows in this specification have been validated at design/simulation level. They have NOT yet been proven by executing production software because the ServiceForm AI implementation does not yet exist. Runtime status remains UNVERIFIED until automated tests run against deployed code and infrastructure.</w:t>
            </w:r>
          </w:p>
        </w:tc>
      </w:tr>
    </w:tbl>
    <w:p>
      <w:pPr>
        <w:pStyle w:val="Heading2"/>
      </w:pPr>
      <w:r>
        <w:t>18.1 Validation scope and quality states</w:t>
      </w:r>
    </w:p>
    <w:tbl>
      <w:tblPr>
        <w:tblW w:type="auto" w:w="0"/>
        <w:tblLayout w:type="autofit"/>
        <w:tblLook w:firstColumn="1" w:firstRow="1" w:lastColumn="0" w:lastRow="0" w:noHBand="0" w:noVBand="1" w:val="04A0"/>
      </w:tblPr>
      <w:tblGrid>
        <w:gridCol w:w="3389"/>
        <w:gridCol w:w="3389"/>
        <w:gridCol w:w="3389"/>
      </w:tblGrid>
      <w:tr>
        <w:trPr>
          <w:tblHeader w:val="true"/>
          <w:cantSplit w:val="true"/>
        </w:trPr>
        <w:tc>
          <w:tcPr>
            <w:tcW w:type="dxa" w:w="2088"/>
            <w:vAlign w:val="center"/>
            <w:tcMar>
              <w:top w:w="90" w:type="dxa"/>
              <w:start w:w="100" w:type="dxa"/>
              <w:bottom w:w="90" w:type="dxa"/>
              <w:end w:w="100" w:type="dxa"/>
            </w:tcMar>
            <w:shd w:fill="1F4E78"/>
          </w:tcPr>
          <w:p>
            <w:pPr>
              <w:spacing w:before="40" w:after="40"/>
            </w:pPr>
            <w:r>
              <w:rPr>
                <w:b/>
                <w:color w:val="FFFFFF"/>
                <w:sz w:val="17"/>
              </w:rPr>
              <w:t>Quality state</w:t>
            </w:r>
          </w:p>
        </w:tc>
        <w:tc>
          <w:tcPr>
            <w:tcW w:type="dxa" w:w="6480"/>
            <w:vAlign w:val="center"/>
            <w:tcMar>
              <w:top w:w="90" w:type="dxa"/>
              <w:start w:w="100" w:type="dxa"/>
              <w:bottom w:w="90" w:type="dxa"/>
              <w:end w:w="100" w:type="dxa"/>
            </w:tcMar>
            <w:shd w:fill="1F4E78"/>
          </w:tcPr>
          <w:p>
            <w:pPr>
              <w:spacing w:before="40" w:after="40"/>
            </w:pPr>
            <w:r>
              <w:rPr>
                <w:b/>
                <w:color w:val="FFFFFF"/>
                <w:sz w:val="17"/>
              </w:rPr>
              <w:t>Meaning</w:t>
            </w:r>
          </w:p>
        </w:tc>
        <w:tc>
          <w:tcPr>
            <w:tcW w:type="dxa" w:w="1872"/>
            <w:vAlign w:val="center"/>
            <w:tcMar>
              <w:top w:w="90" w:type="dxa"/>
              <w:start w:w="100" w:type="dxa"/>
              <w:bottom w:w="90" w:type="dxa"/>
              <w:end w:w="100" w:type="dxa"/>
            </w:tcMar>
            <w:shd w:fill="1F4E78"/>
          </w:tcPr>
          <w:p>
            <w:pPr>
              <w:spacing w:before="40" w:after="40"/>
            </w:pPr>
            <w:r>
              <w:rPr>
                <w:b/>
                <w:color w:val="FFFFFF"/>
                <w:sz w:val="17"/>
              </w:rPr>
              <w:t>Status / gate</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DESIGN_VALIDATED</w:t>
            </w:r>
          </w:p>
        </w:tc>
        <w:tc>
          <w:tcPr>
            <w:tcW w:type="dxa" w:w="6480"/>
            <w:vAlign w:val="center"/>
            <w:tcMar>
              <w:top w:w="90" w:type="dxa"/>
              <w:start w:w="100" w:type="dxa"/>
              <w:bottom w:w="90" w:type="dxa"/>
              <w:end w:w="100" w:type="dxa"/>
            </w:tcMar>
          </w:tcPr>
          <w:p>
            <w:pPr>
              <w:spacing w:before="40" w:after="40"/>
            </w:pPr>
            <w:r>
              <w:rPr>
                <w:sz w:val="17"/>
              </w:rPr>
              <w:t>Component responsibilities, state transitions, tenancy, APIs/events and failure semantics are internally checked against the specification.</w:t>
            </w:r>
          </w:p>
        </w:tc>
        <w:tc>
          <w:tcPr>
            <w:tcW w:type="dxa" w:w="1872"/>
            <w:vAlign w:val="center"/>
            <w:tcMar>
              <w:top w:w="90" w:type="dxa"/>
              <w:start w:w="100" w:type="dxa"/>
              <w:bottom w:w="90" w:type="dxa"/>
              <w:end w:w="100" w:type="dxa"/>
            </w:tcMar>
          </w:tcPr>
          <w:p>
            <w:pPr>
              <w:spacing w:before="40" w:after="40"/>
            </w:pPr>
            <w:r>
              <w:rPr>
                <w:sz w:val="17"/>
              </w:rPr>
              <w:t>Current</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CONTRACT_VALIDATED</w:t>
            </w:r>
          </w:p>
        </w:tc>
        <w:tc>
          <w:tcPr>
            <w:tcW w:type="dxa" w:w="6480"/>
            <w:vAlign w:val="center"/>
            <w:tcMar>
              <w:top w:w="90" w:type="dxa"/>
              <w:start w:w="100" w:type="dxa"/>
              <w:bottom w:w="90" w:type="dxa"/>
              <w:end w:w="100" w:type="dxa"/>
            </w:tcMar>
          </w:tcPr>
          <w:p>
            <w:pPr>
              <w:spacing w:before="40" w:after="40"/>
            </w:pPr>
            <w:r>
              <w:rPr>
                <w:sz w:val="17"/>
              </w:rPr>
              <w:t>OpenAPI, event schemas, JSON Schemas, SQL migrations and workflow/rule artifacts pass machine validation.</w:t>
            </w:r>
          </w:p>
        </w:tc>
        <w:tc>
          <w:tcPr>
            <w:tcW w:type="dxa" w:w="1872"/>
            <w:vAlign w:val="center"/>
            <w:tcMar>
              <w:top w:w="90" w:type="dxa"/>
              <w:start w:w="100" w:type="dxa"/>
              <w:bottom w:w="90" w:type="dxa"/>
              <w:end w:w="100" w:type="dxa"/>
            </w:tcMar>
          </w:tcPr>
          <w:p>
            <w:pPr>
              <w:spacing w:before="40" w:after="40"/>
            </w:pPr>
            <w:r>
              <w:rPr>
                <w:sz w:val="17"/>
              </w:rPr>
              <w:t>Required before feature merge</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COMPONENT_VERIFIED</w:t>
            </w:r>
          </w:p>
        </w:tc>
        <w:tc>
          <w:tcPr>
            <w:tcW w:type="dxa" w:w="6480"/>
            <w:vAlign w:val="center"/>
            <w:tcMar>
              <w:top w:w="90" w:type="dxa"/>
              <w:start w:w="100" w:type="dxa"/>
              <w:bottom w:w="90" w:type="dxa"/>
              <w:end w:w="100" w:type="dxa"/>
            </w:tcMar>
          </w:tcPr>
          <w:p>
            <w:pPr>
              <w:spacing w:before="40" w:after="40"/>
            </w:pPr>
            <w:r>
              <w:rPr>
                <w:sz w:val="17"/>
              </w:rPr>
              <w:t>Unit/component tests execute successfully against implemented code.</w:t>
            </w:r>
          </w:p>
        </w:tc>
        <w:tc>
          <w:tcPr>
            <w:tcW w:type="dxa" w:w="1872"/>
            <w:vAlign w:val="center"/>
            <w:tcMar>
              <w:top w:w="90" w:type="dxa"/>
              <w:start w:w="100" w:type="dxa"/>
              <w:bottom w:w="90" w:type="dxa"/>
              <w:end w:w="100" w:type="dxa"/>
            </w:tcMar>
          </w:tcPr>
          <w:p>
            <w:pPr>
              <w:spacing w:before="40" w:after="40"/>
            </w:pPr>
            <w:r>
              <w:rPr>
                <w:sz w:val="17"/>
              </w:rPr>
              <w:t>Pending implementation</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E2E_VERIFIED</w:t>
            </w:r>
          </w:p>
        </w:tc>
        <w:tc>
          <w:tcPr>
            <w:tcW w:type="dxa" w:w="6480"/>
            <w:vAlign w:val="center"/>
            <w:tcMar>
              <w:top w:w="90" w:type="dxa"/>
              <w:start w:w="100" w:type="dxa"/>
              <w:bottom w:w="90" w:type="dxa"/>
              <w:end w:w="100" w:type="dxa"/>
            </w:tcMar>
          </w:tcPr>
          <w:p>
            <w:pPr>
              <w:spacing w:before="40" w:after="40"/>
            </w:pPr>
            <w:r>
              <w:rPr>
                <w:sz w:val="17"/>
              </w:rPr>
              <w:t>Citizen-to-officer-to-credential journeys execute successfully in an integrated environment.</w:t>
            </w:r>
          </w:p>
        </w:tc>
        <w:tc>
          <w:tcPr>
            <w:tcW w:type="dxa" w:w="1872"/>
            <w:vAlign w:val="center"/>
            <w:tcMar>
              <w:top w:w="90" w:type="dxa"/>
              <w:start w:w="100" w:type="dxa"/>
              <w:bottom w:w="90" w:type="dxa"/>
              <w:end w:w="100" w:type="dxa"/>
            </w:tcMar>
          </w:tcPr>
          <w:p>
            <w:pPr>
              <w:spacing w:before="40" w:after="40"/>
            </w:pPr>
            <w:r>
              <w:rPr>
                <w:sz w:val="17"/>
              </w:rPr>
              <w:t>Pending implementation</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SECURITY_VERIFIED</w:t>
            </w:r>
          </w:p>
        </w:tc>
        <w:tc>
          <w:tcPr>
            <w:tcW w:type="dxa" w:w="6480"/>
            <w:vAlign w:val="center"/>
            <w:tcMar>
              <w:top w:w="90" w:type="dxa"/>
              <w:start w:w="100" w:type="dxa"/>
              <w:bottom w:w="90" w:type="dxa"/>
              <w:end w:w="100" w:type="dxa"/>
            </w:tcMar>
          </w:tcPr>
          <w:p>
            <w:pPr>
              <w:spacing w:before="40" w:after="40"/>
            </w:pPr>
            <w:r>
              <w:rPr>
                <w:sz w:val="17"/>
              </w:rPr>
              <w:t>Tenant isolation, authorization, abuse and vulnerability tests pass.</w:t>
            </w:r>
          </w:p>
        </w:tc>
        <w:tc>
          <w:tcPr>
            <w:tcW w:type="dxa" w:w="1872"/>
            <w:vAlign w:val="center"/>
            <w:tcMar>
              <w:top w:w="90" w:type="dxa"/>
              <w:start w:w="100" w:type="dxa"/>
              <w:bottom w:w="90" w:type="dxa"/>
              <w:end w:w="100" w:type="dxa"/>
            </w:tcMar>
          </w:tcPr>
          <w:p>
            <w:pPr>
              <w:spacing w:before="40" w:after="40"/>
            </w:pPr>
            <w:r>
              <w:rPr>
                <w:sz w:val="17"/>
              </w:rPr>
              <w:t>Pending implementation</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PERFORMANCE_VERIFIED</w:t>
            </w:r>
          </w:p>
        </w:tc>
        <w:tc>
          <w:tcPr>
            <w:tcW w:type="dxa" w:w="6480"/>
            <w:vAlign w:val="center"/>
            <w:tcMar>
              <w:top w:w="90" w:type="dxa"/>
              <w:start w:w="100" w:type="dxa"/>
              <w:bottom w:w="90" w:type="dxa"/>
              <w:end w:w="100" w:type="dxa"/>
            </w:tcMar>
          </w:tcPr>
          <w:p>
            <w:pPr>
              <w:spacing w:before="40" w:after="40"/>
            </w:pPr>
            <w:r>
              <w:rPr>
                <w:sz w:val="17"/>
              </w:rPr>
              <w:t>10K sustained / 20K burst and component-specific throughput tests pass.</w:t>
            </w:r>
          </w:p>
        </w:tc>
        <w:tc>
          <w:tcPr>
            <w:tcW w:type="dxa" w:w="1872"/>
            <w:vAlign w:val="center"/>
            <w:tcMar>
              <w:top w:w="90" w:type="dxa"/>
              <w:start w:w="100" w:type="dxa"/>
              <w:bottom w:w="90" w:type="dxa"/>
              <w:end w:w="100" w:type="dxa"/>
            </w:tcMar>
          </w:tcPr>
          <w:p>
            <w:pPr>
              <w:spacing w:before="40" w:after="40"/>
            </w:pPr>
            <w:r>
              <w:rPr>
                <w:sz w:val="17"/>
              </w:rPr>
              <w:t>Pending implementation</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RESILIENCE_VERIFIED</w:t>
            </w:r>
          </w:p>
        </w:tc>
        <w:tc>
          <w:tcPr>
            <w:tcW w:type="dxa" w:w="6480"/>
            <w:vAlign w:val="center"/>
            <w:tcMar>
              <w:top w:w="90" w:type="dxa"/>
              <w:start w:w="100" w:type="dxa"/>
              <w:bottom w:w="90" w:type="dxa"/>
              <w:end w:w="100" w:type="dxa"/>
            </w:tcMar>
          </w:tcPr>
          <w:p>
            <w:pPr>
              <w:spacing w:before="40" w:after="40"/>
            </w:pPr>
            <w:r>
              <w:rPr>
                <w:sz w:val="17"/>
              </w:rPr>
              <w:t>Chaos, AZ failure, dependency outage, restore and DR tests pass.</w:t>
            </w:r>
          </w:p>
        </w:tc>
        <w:tc>
          <w:tcPr>
            <w:tcW w:type="dxa" w:w="1872"/>
            <w:vAlign w:val="center"/>
            <w:tcMar>
              <w:top w:w="90" w:type="dxa"/>
              <w:start w:w="100" w:type="dxa"/>
              <w:bottom w:w="90" w:type="dxa"/>
              <w:end w:w="100" w:type="dxa"/>
            </w:tcMar>
          </w:tcPr>
          <w:p>
            <w:pPr>
              <w:spacing w:before="40" w:after="40"/>
            </w:pPr>
            <w:r>
              <w:rPr>
                <w:sz w:val="17"/>
              </w:rPr>
              <w:t>Pending implementation</w:t>
            </w:r>
          </w:p>
        </w:tc>
      </w:tr>
      <w:tr>
        <w:trPr>
          <w:cantSplit w:val="true"/>
        </w:trPr>
        <w:tc>
          <w:tcPr>
            <w:tcW w:type="dxa" w:w="2088"/>
            <w:vAlign w:val="center"/>
            <w:tcMar>
              <w:top w:w="90" w:type="dxa"/>
              <w:start w:w="100" w:type="dxa"/>
              <w:bottom w:w="90" w:type="dxa"/>
              <w:end w:w="100" w:type="dxa"/>
            </w:tcMar>
            <w:shd w:fill="EAF2F8"/>
          </w:tcPr>
          <w:p>
            <w:pPr>
              <w:spacing w:before="40" w:after="40"/>
            </w:pPr>
            <w:r>
              <w:rPr>
                <w:b/>
                <w:sz w:val="17"/>
              </w:rPr>
              <w:t>PRODUCTION_CERTIFIED</w:t>
            </w:r>
          </w:p>
        </w:tc>
        <w:tc>
          <w:tcPr>
            <w:tcW w:type="dxa" w:w="6480"/>
            <w:vAlign w:val="center"/>
            <w:tcMar>
              <w:top w:w="90" w:type="dxa"/>
              <w:start w:w="100" w:type="dxa"/>
              <w:bottom w:w="90" w:type="dxa"/>
              <w:end w:w="100" w:type="dxa"/>
            </w:tcMar>
          </w:tcPr>
          <w:p>
            <w:pPr>
              <w:spacing w:before="40" w:after="40"/>
            </w:pPr>
            <w:r>
              <w:rPr>
                <w:sz w:val="17"/>
              </w:rPr>
              <w:t>All required gates plus operational runbooks, monitoring and rollback evidence are approved.</w:t>
            </w:r>
          </w:p>
        </w:tc>
        <w:tc>
          <w:tcPr>
            <w:tcW w:type="dxa" w:w="1872"/>
            <w:vAlign w:val="center"/>
            <w:tcMar>
              <w:top w:w="90" w:type="dxa"/>
              <w:start w:w="100" w:type="dxa"/>
              <w:bottom w:w="90" w:type="dxa"/>
              <w:end w:w="100" w:type="dxa"/>
            </w:tcMar>
          </w:tcPr>
          <w:p>
            <w:pPr>
              <w:spacing w:before="40" w:after="40"/>
            </w:pPr>
            <w:r>
              <w:rPr>
                <w:sz w:val="17"/>
              </w:rPr>
              <w:t>Final production gate</w:t>
            </w:r>
          </w:p>
        </w:tc>
      </w:tr>
    </w:tbl>
    <w:p>
      <w:pPr>
        <w:jc w:val="center"/>
      </w:pPr>
      <w:r>
        <w:drawing>
          <wp:inline xmlns:a="http://schemas.openxmlformats.org/drawingml/2006/main" xmlns:pic="http://schemas.openxmlformats.org/drawingml/2006/picture">
            <wp:extent cx="5669280" cy="548454"/>
            <wp:docPr id="8" name="Picture 8"/>
            <wp:cNvGraphicFramePr>
              <a:graphicFrameLocks noChangeAspect="1"/>
            </wp:cNvGraphicFramePr>
            <a:graphic>
              <a:graphicData uri="http://schemas.openxmlformats.org/drawingml/2006/picture">
                <pic:pic>
                  <pic:nvPicPr>
                    <pic:cNvPr id="0" name="e2e_flow_compact.png"/>
                    <pic:cNvPicPr/>
                  </pic:nvPicPr>
                  <pic:blipFill>
                    <a:blip r:embed="rId19"/>
                    <a:stretch>
                      <a:fillRect/>
                    </a:stretch>
                  </pic:blipFill>
                  <pic:spPr>
                    <a:xfrm>
                      <a:off x="0" y="0"/>
                      <a:ext cx="5669280" cy="548454"/>
                    </a:xfrm>
                    <a:prstGeom prst="rect"/>
                  </pic:spPr>
                </pic:pic>
              </a:graphicData>
            </a:graphic>
          </wp:inline>
        </w:drawing>
      </w:r>
    </w:p>
    <w:p>
      <w:pPr>
        <w:jc w:val="center"/>
      </w:pPr>
      <w:r>
        <w:rPr>
          <w:i/>
          <w:color w:val="5A5A5A"/>
          <w:sz w:val="17"/>
        </w:rPr>
        <w:t>Figure 18-1. Golden end-to-end ServiceForm AI execution path to be automated as the primary acceptance journey.</w:t>
      </w:r>
    </w:p>
    <w:p>
      <w:pPr>
        <w:pStyle w:val="Heading2"/>
      </w:pPr>
      <w:r>
        <w:t>18.2 Golden end-to-end flow: Residence Certificate</w:t>
      </w:r>
    </w:p>
    <w:tbl>
      <w:tblPr>
        <w:tblW w:type="auto" w:w="0"/>
        <w:tblLayout w:type="autofit"/>
        <w:tblLook w:firstColumn="1" w:firstRow="1" w:lastColumn="0" w:lastRow="0" w:noHBand="0" w:noVBand="1" w:val="04A0"/>
      </w:tblPr>
      <w:tblGrid>
        <w:gridCol w:w="5083"/>
        <w:gridCol w:w="5083"/>
      </w:tblGrid>
      <w:tr>
        <w:trPr>
          <w:tblHeader w:val="true"/>
          <w:cantSplit w:val="true"/>
        </w:trPr>
        <w:tc>
          <w:tcPr>
            <w:tcW w:type="dxa" w:w="936"/>
            <w:vAlign w:val="center"/>
            <w:tcMar>
              <w:top w:w="90" w:type="dxa"/>
              <w:start w:w="100" w:type="dxa"/>
              <w:bottom w:w="90" w:type="dxa"/>
              <w:end w:w="100" w:type="dxa"/>
            </w:tcMar>
            <w:shd w:fill="1F4E78"/>
          </w:tcPr>
          <w:p>
            <w:pPr>
              <w:spacing w:before="40" w:after="40"/>
            </w:pPr>
            <w:r>
              <w:rPr>
                <w:b/>
                <w:color w:val="FFFFFF"/>
                <w:sz w:val="17"/>
              </w:rPr>
              <w:t>Step</w:t>
            </w:r>
          </w:p>
        </w:tc>
        <w:tc>
          <w:tcPr>
            <w:tcW w:type="dxa" w:w="9504"/>
            <w:vAlign w:val="center"/>
            <w:tcMar>
              <w:top w:w="90" w:type="dxa"/>
              <w:start w:w="100" w:type="dxa"/>
              <w:bottom w:w="90" w:type="dxa"/>
              <w:end w:w="100" w:type="dxa"/>
            </w:tcMar>
            <w:shd w:fill="1F4E78"/>
          </w:tcPr>
          <w:p>
            <w:pPr>
              <w:spacing w:before="40" w:after="40"/>
            </w:pPr>
            <w:r>
              <w:rPr>
                <w:b/>
                <w:color w:val="FFFFFF"/>
                <w:sz w:val="17"/>
              </w:rPr>
              <w:t>Executable acceptance behavior</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F01</w:t>
            </w:r>
          </w:p>
        </w:tc>
        <w:tc>
          <w:tcPr>
            <w:tcW w:type="dxa" w:w="9504"/>
            <w:vAlign w:val="center"/>
            <w:tcMar>
              <w:top w:w="90" w:type="dxa"/>
              <w:start w:w="100" w:type="dxa"/>
              <w:bottom w:w="90" w:type="dxa"/>
              <w:end w:w="100" w:type="dxa"/>
            </w:tcMar>
          </w:tcPr>
          <w:p>
            <w:pPr>
              <w:spacing w:before="40" w:after="40"/>
            </w:pPr>
            <w:r>
              <w:rPr>
                <w:sz w:val="17"/>
              </w:rPr>
              <w:t>Citizen authenticates using mobile OTP; future DigiLocker SSO follows the same internal citizen identity contract.</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F02</w:t>
            </w:r>
          </w:p>
        </w:tc>
        <w:tc>
          <w:tcPr>
            <w:tcW w:type="dxa" w:w="9504"/>
            <w:vAlign w:val="center"/>
            <w:tcMar>
              <w:top w:w="90" w:type="dxa"/>
              <w:start w:w="100" w:type="dxa"/>
              <w:bottom w:w="90" w:type="dxa"/>
              <w:end w:w="100" w:type="dxa"/>
            </w:tcMar>
          </w:tcPr>
          <w:p>
            <w:pPr>
              <w:spacing w:before="40" w:after="40"/>
            </w:pPr>
            <w:r>
              <w:rPr>
                <w:sz w:val="17"/>
              </w:rPr>
              <w:t>Citizen profile is loaded; verified claims retain source/provenance rather than blindly overwriting user data.</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F03</w:t>
            </w:r>
          </w:p>
        </w:tc>
        <w:tc>
          <w:tcPr>
            <w:tcW w:type="dxa" w:w="9504"/>
            <w:vAlign w:val="center"/>
            <w:tcMar>
              <w:top w:w="90" w:type="dxa"/>
              <w:start w:w="100" w:type="dxa"/>
              <w:bottom w:w="90" w:type="dxa"/>
              <w:end w:w="100" w:type="dxa"/>
            </w:tcMar>
          </w:tcPr>
          <w:p>
            <w:pPr>
              <w:spacing w:before="40" w:after="40"/>
            </w:pPr>
            <w:r>
              <w:rPr>
                <w:sz w:val="17"/>
              </w:rPr>
              <w:t>Search/recommendation identifies Residence Certificate and explains why it may be relevant.</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F04</w:t>
            </w:r>
          </w:p>
        </w:tc>
        <w:tc>
          <w:tcPr>
            <w:tcW w:type="dxa" w:w="9504"/>
            <w:vAlign w:val="center"/>
            <w:tcMar>
              <w:top w:w="90" w:type="dxa"/>
              <w:start w:w="100" w:type="dxa"/>
              <w:bottom w:w="90" w:type="dxa"/>
              <w:end w:w="100" w:type="dxa"/>
            </w:tcMar>
          </w:tcPr>
          <w:p>
            <w:pPr>
              <w:spacing w:before="40" w:after="40"/>
            </w:pPr>
            <w:r>
              <w:rPr>
                <w:sz w:val="17"/>
              </w:rPr>
              <w:t>Eligibility pre-check runs deterministic rules; recommendation is not treated as statutory eligibility.</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F05</w:t>
            </w:r>
          </w:p>
        </w:tc>
        <w:tc>
          <w:tcPr>
            <w:tcW w:type="dxa" w:w="9504"/>
            <w:vAlign w:val="center"/>
            <w:tcMar>
              <w:top w:w="90" w:type="dxa"/>
              <w:start w:w="100" w:type="dxa"/>
              <w:bottom w:w="90" w:type="dxa"/>
              <w:end w:w="100" w:type="dxa"/>
            </w:tcMar>
          </w:tcPr>
          <w:p>
            <w:pPr>
              <w:spacing w:before="40" w:after="40"/>
            </w:pPr>
            <w:r>
              <w:rPr>
                <w:sz w:val="17"/>
              </w:rPr>
              <w:t>Dynamic form is rendered from pinned form schema/UI schema and can be saved/resumed.</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F06</w:t>
            </w:r>
          </w:p>
        </w:tc>
        <w:tc>
          <w:tcPr>
            <w:tcW w:type="dxa" w:w="9504"/>
            <w:vAlign w:val="center"/>
            <w:tcMar>
              <w:top w:w="90" w:type="dxa"/>
              <w:start w:w="100" w:type="dxa"/>
              <w:bottom w:w="90" w:type="dxa"/>
              <w:end w:w="100" w:type="dxa"/>
            </w:tcMar>
          </w:tcPr>
          <w:p>
            <w:pPr>
              <w:spacing w:before="40" w:after="40"/>
            </w:pPr>
            <w:r>
              <w:rPr>
                <w:sz w:val="17"/>
              </w:rPr>
              <w:t>Evidence requirements are calculated; citizen uploads evidence and/or authorizes DigiLocker retrieval.</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F07</w:t>
            </w:r>
          </w:p>
        </w:tc>
        <w:tc>
          <w:tcPr>
            <w:tcW w:type="dxa" w:w="9504"/>
            <w:vAlign w:val="center"/>
            <w:tcMar>
              <w:top w:w="90" w:type="dxa"/>
              <w:start w:w="100" w:type="dxa"/>
              <w:bottom w:w="90" w:type="dxa"/>
              <w:end w:w="100" w:type="dxa"/>
            </w:tcMar>
          </w:tcPr>
          <w:p>
            <w:pPr>
              <w:spacing w:before="40" w:after="40"/>
            </w:pPr>
            <w:r>
              <w:rPr>
                <w:sz w:val="17"/>
              </w:rPr>
              <w:t>Submission validates schema, authoritative rules, tenancy and idempotency before creating the application.</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F08</w:t>
            </w:r>
          </w:p>
        </w:tc>
        <w:tc>
          <w:tcPr>
            <w:tcW w:type="dxa" w:w="9504"/>
            <w:vAlign w:val="center"/>
            <w:tcMar>
              <w:top w:w="90" w:type="dxa"/>
              <w:start w:w="100" w:type="dxa"/>
              <w:bottom w:w="90" w:type="dxa"/>
              <w:end w:w="100" w:type="dxa"/>
            </w:tcMar>
          </w:tcPr>
          <w:p>
            <w:pPr>
              <w:spacing w:before="40" w:after="40"/>
            </w:pPr>
            <w:r>
              <w:rPr>
                <w:sz w:val="17"/>
              </w:rPr>
              <w:t>If fee applies, payment state is processed through the payment service; otherwise application advances directly.</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F09</w:t>
            </w:r>
          </w:p>
        </w:tc>
        <w:tc>
          <w:tcPr>
            <w:tcW w:type="dxa" w:w="9504"/>
            <w:vAlign w:val="center"/>
            <w:tcMar>
              <w:top w:w="90" w:type="dxa"/>
              <w:start w:w="100" w:type="dxa"/>
              <w:bottom w:w="90" w:type="dxa"/>
              <w:end w:w="100" w:type="dxa"/>
            </w:tcMar>
          </w:tcPr>
          <w:p>
            <w:pPr>
              <w:spacing w:before="40" w:after="40"/>
            </w:pPr>
            <w:r>
              <w:rPr>
                <w:sz w:val="17"/>
              </w:rPr>
              <w:t>Application/case creation commits authoritative data, audit record and outbox event in one transaction.</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F10</w:t>
            </w:r>
          </w:p>
        </w:tc>
        <w:tc>
          <w:tcPr>
            <w:tcW w:type="dxa" w:w="9504"/>
            <w:vAlign w:val="center"/>
            <w:tcMar>
              <w:top w:w="90" w:type="dxa"/>
              <w:start w:w="100" w:type="dxa"/>
              <w:bottom w:w="90" w:type="dxa"/>
              <w:end w:w="100" w:type="dxa"/>
            </w:tcMar>
          </w:tcPr>
          <w:p>
            <w:pPr>
              <w:spacing w:before="40" w:after="40"/>
            </w:pPr>
            <w:r>
              <w:rPr>
                <w:sz w:val="17"/>
              </w:rPr>
              <w:t>Temporal starts/continues the configured workflow; work is routed by tenant + office + jurisdiction + service + role.</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F11</w:t>
            </w:r>
          </w:p>
        </w:tc>
        <w:tc>
          <w:tcPr>
            <w:tcW w:type="dxa" w:w="9504"/>
            <w:vAlign w:val="center"/>
            <w:tcMar>
              <w:top w:w="90" w:type="dxa"/>
              <w:start w:w="100" w:type="dxa"/>
              <w:bottom w:w="90" w:type="dxa"/>
              <w:end w:w="100" w:type="dxa"/>
            </w:tcMar>
          </w:tcPr>
          <w:p>
            <w:pPr>
              <w:spacing w:before="40" w:after="40"/>
            </w:pPr>
            <w:r>
              <w:rPr>
                <w:sz w:val="17"/>
              </w:rPr>
              <w:t>Officer scrutinizes; may verify, inspect, request deficiency, or proceed to decision as configuration permits.</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F12</w:t>
            </w:r>
          </w:p>
        </w:tc>
        <w:tc>
          <w:tcPr>
            <w:tcW w:type="dxa" w:w="9504"/>
            <w:vAlign w:val="center"/>
            <w:tcMar>
              <w:top w:w="90" w:type="dxa"/>
              <w:start w:w="100" w:type="dxa"/>
              <w:bottom w:w="90" w:type="dxa"/>
              <w:end w:w="100" w:type="dxa"/>
            </w:tcMar>
          </w:tcPr>
          <w:p>
            <w:pPr>
              <w:spacing w:before="40" w:after="40"/>
            </w:pPr>
            <w:r>
              <w:rPr>
                <w:sz w:val="17"/>
              </w:rPr>
              <w:t>Citizen responds to deficiency; SLA pause/resume behavior follows the service SLA policy rather than hard-coded logic.</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F13</w:t>
            </w:r>
          </w:p>
        </w:tc>
        <w:tc>
          <w:tcPr>
            <w:tcW w:type="dxa" w:w="9504"/>
            <w:vAlign w:val="center"/>
            <w:tcMar>
              <w:top w:w="90" w:type="dxa"/>
              <w:start w:w="100" w:type="dxa"/>
              <w:bottom w:w="90" w:type="dxa"/>
              <w:end w:w="100" w:type="dxa"/>
            </w:tcMar>
          </w:tcPr>
          <w:p>
            <w:pPr>
              <w:spacing w:before="40" w:after="40"/>
            </w:pPr>
            <w:r>
              <w:rPr>
                <w:sz w:val="17"/>
              </w:rPr>
              <w:t>Authorized decision is recorded with reason, actor, policy/rule/config versions and audit evidence.</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F14</w:t>
            </w:r>
          </w:p>
        </w:tc>
        <w:tc>
          <w:tcPr>
            <w:tcW w:type="dxa" w:w="9504"/>
            <w:vAlign w:val="center"/>
            <w:tcMar>
              <w:top w:w="90" w:type="dxa"/>
              <w:start w:w="100" w:type="dxa"/>
              <w:bottom w:w="90" w:type="dxa"/>
              <w:end w:w="100" w:type="dxa"/>
            </w:tcMar>
          </w:tcPr>
          <w:p>
            <w:pPr>
              <w:spacing w:before="40" w:after="40"/>
            </w:pPr>
            <w:r>
              <w:rPr>
                <w:sz w:val="17"/>
              </w:rPr>
              <w:t>On approval, certificate is generated, digitally signed through the signing abstraction and registered as a credential.</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F15</w:t>
            </w:r>
          </w:p>
        </w:tc>
        <w:tc>
          <w:tcPr>
            <w:tcW w:type="dxa" w:w="9504"/>
            <w:vAlign w:val="center"/>
            <w:tcMar>
              <w:top w:w="90" w:type="dxa"/>
              <w:start w:w="100" w:type="dxa"/>
              <w:bottom w:w="90" w:type="dxa"/>
              <w:end w:w="100" w:type="dxa"/>
            </w:tcMar>
          </w:tcPr>
          <w:p>
            <w:pPr>
              <w:spacing w:before="40" w:after="40"/>
            </w:pPr>
            <w:r>
              <w:rPr>
                <w:sz w:val="17"/>
              </w:rPr>
              <w:t>QR/status verification becomes available; DigiLocker publication is attempted according to connector policy.</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F16</w:t>
            </w:r>
          </w:p>
        </w:tc>
        <w:tc>
          <w:tcPr>
            <w:tcW w:type="dxa" w:w="9504"/>
            <w:vAlign w:val="center"/>
            <w:tcMar>
              <w:top w:w="90" w:type="dxa"/>
              <w:start w:w="100" w:type="dxa"/>
              <w:bottom w:w="90" w:type="dxa"/>
              <w:end w:w="100" w:type="dxa"/>
            </w:tcMar>
          </w:tcPr>
          <w:p>
            <w:pPr>
              <w:spacing w:before="40" w:after="40"/>
            </w:pPr>
            <w:r>
              <w:rPr>
                <w:sz w:val="17"/>
              </w:rPr>
              <w:t>Citizen is notified; application reaches CLOSED when service-specific closure criteria are met.</w:t>
            </w:r>
          </w:p>
        </w:tc>
      </w:tr>
      <w:tr>
        <w:trPr>
          <w:cantSplit w:val="true"/>
        </w:trPr>
        <w:tc>
          <w:tcPr>
            <w:tcW w:type="dxa" w:w="936"/>
            <w:vAlign w:val="center"/>
            <w:tcMar>
              <w:top w:w="90" w:type="dxa"/>
              <w:start w:w="100" w:type="dxa"/>
              <w:bottom w:w="90" w:type="dxa"/>
              <w:end w:w="100" w:type="dxa"/>
            </w:tcMar>
            <w:shd w:fill="EAF2F8"/>
          </w:tcPr>
          <w:p>
            <w:pPr>
              <w:spacing w:before="40" w:after="40"/>
            </w:pPr>
            <w:r>
              <w:rPr>
                <w:b/>
                <w:sz w:val="17"/>
              </w:rPr>
              <w:t>F17</w:t>
            </w:r>
          </w:p>
        </w:tc>
        <w:tc>
          <w:tcPr>
            <w:tcW w:type="dxa" w:w="9504"/>
            <w:vAlign w:val="center"/>
            <w:tcMar>
              <w:top w:w="90" w:type="dxa"/>
              <w:start w:w="100" w:type="dxa"/>
              <w:bottom w:w="90" w:type="dxa"/>
              <w:end w:w="100" w:type="dxa"/>
            </w:tcMar>
          </w:tcPr>
          <w:p>
            <w:pPr>
              <w:spacing w:before="40" w:after="40"/>
            </w:pPr>
            <w:r>
              <w:rPr>
                <w:sz w:val="17"/>
              </w:rPr>
              <w:t>Appeal/review/reissue/revocation, where legally supported, run as linked versioned processes rather than mutating history.</w:t>
            </w:r>
          </w:p>
        </w:tc>
      </w:tr>
    </w:tbl>
    <w:p>
      <w:pPr>
        <w:pStyle w:val="Heading2"/>
      </w:pPr>
      <w:r>
        <w:t>18.3 Supporting state machines that must be implemented explicitly</w:t>
      </w:r>
    </w:p>
    <w:p>
      <w:pPr>
        <w:pStyle w:val="Heading3"/>
      </w:pPr>
      <w:r>
        <w:t>Payment lifecycle</w:t>
      </w:r>
    </w:p>
    <w:p>
      <w:pPr>
        <w:spacing w:before="80" w:after="120"/>
        <w:ind w:left="360" w:right="144"/>
        <w:shd w:fill="F4F6F7"/>
      </w:pPr>
      <w:r>
        <w:rPr>
          <w:rFonts w:ascii="Courier New" w:hAnsi="Courier New"/>
          <w:sz w:val="16"/>
        </w:rPr>
        <w:t>CREATED -&gt; INITIATED -&gt; PENDING -&gt; SUCCESS</w:t>
        <w:br/>
        <w:t xml:space="preserve">                         \-&gt; FAILED</w:t>
        <w:br/>
        <w:t xml:space="preserve">                         \-&gt; EXPIRED</w:t>
        <w:br/>
        <w:t xml:space="preserve">                         \-&gt; CANCELLED</w:t>
        <w:br/>
        <w:t>SUCCESS -&gt; REFUND_PENDING -&gt; REFUNDED   (where allowed)</w:t>
      </w:r>
    </w:p>
    <w:p>
      <w:pPr>
        <w:pStyle w:val="ListBullet"/>
      </w:pPr>
      <w:r>
        <w:t>Payment callback processing must be idempotent; duplicate success callbacks must never create duplicate payment ledger entries or duplicate applications.</w:t>
      </w:r>
    </w:p>
    <w:p>
      <w:pPr>
        <w:pStyle w:val="ListBullet"/>
      </w:pPr>
      <w:r>
        <w:t>Application state and payment state are separate. PAYMENT_PENDING is an application condition; payment gateway states remain inside the Payment Service.</w:t>
      </w:r>
    </w:p>
    <w:p>
      <w:pPr>
        <w:pStyle w:val="ListBullet"/>
      </w:pPr>
      <w:r>
        <w:t>Reconciliation can correct external payment state without rewriting historical audit evidence.</w:t>
      </w:r>
    </w:p>
    <w:p>
      <w:pPr>
        <w:pStyle w:val="Heading3"/>
      </w:pPr>
      <w:r>
        <w:t>Evidence lifecycle</w:t>
      </w:r>
    </w:p>
    <w:p>
      <w:pPr>
        <w:spacing w:before="80" w:after="120"/>
        <w:ind w:left="360" w:right="144"/>
        <w:shd w:fill="F4F6F7"/>
      </w:pPr>
      <w:r>
        <w:rPr>
          <w:rFonts w:ascii="Courier New" w:hAnsi="Courier New"/>
          <w:sz w:val="16"/>
        </w:rPr>
        <w:t>RECEIVED -&gt; QUARANTINED -&gt; SCANNED -&gt; VALIDATED -&gt; VERIFIED</w:t>
        <w:br/>
        <w:t xml:space="preserve">                                \-&gt; REJECTED</w:t>
        <w:br/>
        <w:t>VERIFIED -&gt; SUPERSEDED / EXPIRED  (when policy requires)</w:t>
      </w:r>
    </w:p>
    <w:p>
      <w:pPr>
        <w:pStyle w:val="ListBullet"/>
      </w:pPr>
      <w:r>
        <w:t>No uploaded object becomes usable evidence before malware/type/size validation completes.</w:t>
      </w:r>
    </w:p>
    <w:p>
      <w:pPr>
        <w:pStyle w:val="ListBullet"/>
      </w:pPr>
      <w:r>
        <w:t>Every evidence item records source, document hash, provenance, verification status, validity window, reuse policy and tenant/application ownership.</w:t>
      </w:r>
    </w:p>
    <w:p>
      <w:pPr>
        <w:pStyle w:val="ListBullet"/>
      </w:pPr>
      <w:r>
        <w:t>DigiLocker-issued evidence and citizen-uploaded evidence are distinguishable by source and assurance level.</w:t>
      </w:r>
    </w:p>
    <w:p>
      <w:pPr>
        <w:pStyle w:val="Heading3"/>
      </w:pPr>
      <w:r>
        <w:t>DigiLocker interaction lifecycle</w:t>
      </w:r>
    </w:p>
    <w:p>
      <w:pPr>
        <w:spacing w:before="80" w:after="120"/>
        <w:ind w:left="360" w:right="144"/>
        <w:shd w:fill="F4F6F7"/>
      </w:pPr>
      <w:r>
        <w:rPr>
          <w:rFonts w:ascii="Courier New" w:hAnsi="Courier New"/>
          <w:sz w:val="16"/>
        </w:rPr>
        <w:t>NOT_REQUESTED -&gt; CONSENT_STARTED -&gt; AUTHORIZED -&gt; FETCHING -&gt; RECEIVED</w:t>
        <w:br/>
        <w:t xml:space="preserve">                                      \-&gt; DECLINED</w:t>
        <w:br/>
        <w:t xml:space="preserve">                                      \-&gt; FAILED_RETRYABLE</w:t>
        <w:br/>
        <w:t xml:space="preserve">                                      \-&gt; FAILED_FINAL</w:t>
      </w:r>
    </w:p>
    <w:p>
      <w:pPr>
        <w:pStyle w:val="ListBullet"/>
      </w:pPr>
      <w:r>
        <w:t>DigiLocker failure must not silently reject an application. Fallback (retry, manual evidence, or block) is service-configurable.</w:t>
      </w:r>
    </w:p>
    <w:p>
      <w:pPr>
        <w:pStyle w:val="ListBullet"/>
      </w:pPr>
      <w:r>
        <w:t>Consent/authorization references and fetched evidence provenance must be auditable.</w:t>
      </w:r>
    </w:p>
    <w:p>
      <w:pPr>
        <w:pStyle w:val="ListBullet"/>
      </w:pPr>
      <w:r>
        <w:t>Later DigiLocker SSO links to the same immutable citizen_id through a controlled identity-linking flow.</w:t>
      </w:r>
    </w:p>
    <w:p>
      <w:pPr>
        <w:pStyle w:val="Heading3"/>
      </w:pPr>
      <w:r>
        <w:t>SLA clock policy</w:t>
      </w:r>
    </w:p>
    <w:p>
      <w:pPr>
        <w:spacing w:before="80" w:after="120"/>
        <w:ind w:left="360" w:right="144"/>
        <w:shd w:fill="F4F6F7"/>
      </w:pPr>
      <w:r>
        <w:rPr>
          <w:rFonts w:ascii="Courier New" w:hAnsi="Courier New"/>
          <w:sz w:val="16"/>
        </w:rPr>
        <w:t>ACTIVE -&gt; PAUSED_FOR_CITIZEN (optional) -&gt; ACTIVE -&gt; COMPLETED / BREACHED</w:t>
      </w:r>
    </w:p>
    <w:p>
      <w:pPr>
        <w:pStyle w:val="ListBullet"/>
      </w:pPr>
      <w:r>
        <w:t>Whether deficiency pauses the statutory SLA is service-policy metadata, not a global code assumption.</w:t>
      </w:r>
    </w:p>
    <w:p>
      <w:pPr>
        <w:pStyle w:val="ListBullet"/>
      </w:pPr>
      <w:r>
        <w:t>The SLA engine records each pause/resume reason and duration so elapsed government time and citizen-wait time can be reconstructed.</w:t>
      </w:r>
    </w:p>
    <w:p>
      <w:pPr>
        <w:pStyle w:val="ListBullet"/>
      </w:pPr>
      <w:r>
        <w:t>SLA policy changes create new versions and never recalculate already-pinned applications unless an explicit legal migration is approved.</w:t>
      </w:r>
    </w:p>
    <w:p>
      <w:pPr>
        <w:pStyle w:val="Heading3"/>
      </w:pPr>
      <w:r>
        <w:t>Officer task ownership and delegation</w:t>
      </w:r>
    </w:p>
    <w:p>
      <w:pPr>
        <w:spacing w:before="80" w:after="120"/>
        <w:ind w:left="360" w:right="144"/>
        <w:shd w:fill="F4F6F7"/>
      </w:pPr>
      <w:r>
        <w:rPr>
          <w:rFonts w:ascii="Courier New" w:hAnsi="Courier New"/>
          <w:sz w:val="16"/>
        </w:rPr>
        <w:t>TASK = tenant + service + office + jurisdiction + required_role + state</w:t>
        <w:br/>
        <w:t>Assignment = runtime resolution to eligible officer(s)</w:t>
        <w:br/>
        <w:t>Transfer/delegation changes assignment, not workflow definition</w:t>
      </w:r>
    </w:p>
    <w:p>
      <w:pPr>
        <w:pStyle w:val="Heading2"/>
      </w:pPr>
      <w:r>
        <w:t>18.4 Functional end-to-end scenario catalogue</w:t>
      </w:r>
    </w:p>
    <w:tbl>
      <w:tblPr>
        <w:tblW w:type="auto" w:w="0"/>
        <w:tblLayout w:type="autofit"/>
        <w:tblLook w:firstColumn="1" w:firstRow="1" w:lastColumn="0" w:lastRow="0" w:noHBand="0" w:noVBand="1" w:val="04A0"/>
      </w:tblPr>
      <w:tblGrid>
        <w:gridCol w:w="2541"/>
        <w:gridCol w:w="2541"/>
        <w:gridCol w:w="2541"/>
        <w:gridCol w:w="2541"/>
      </w:tblGrid>
      <w:tr>
        <w:trPr>
          <w:tblHeader w:val="true"/>
          <w:cantSplit w:val="true"/>
        </w:trPr>
        <w:tc>
          <w:tcPr>
            <w:tcW w:type="dxa" w:w="1008"/>
            <w:vAlign w:val="center"/>
            <w:tcMar>
              <w:top w:w="90" w:type="dxa"/>
              <w:start w:w="100" w:type="dxa"/>
              <w:bottom w:w="90" w:type="dxa"/>
              <w:end w:w="100" w:type="dxa"/>
            </w:tcMar>
            <w:shd w:fill="1F4E78"/>
          </w:tcPr>
          <w:p>
            <w:pPr>
              <w:spacing w:before="40" w:after="40"/>
            </w:pPr>
            <w:r>
              <w:rPr>
                <w:b/>
                <w:color w:val="FFFFFF"/>
                <w:sz w:val="15"/>
              </w:rPr>
              <w:t>ID</w:t>
            </w:r>
          </w:p>
        </w:tc>
        <w:tc>
          <w:tcPr>
            <w:tcW w:type="dxa" w:w="1512"/>
            <w:vAlign w:val="center"/>
            <w:tcMar>
              <w:top w:w="90" w:type="dxa"/>
              <w:start w:w="100" w:type="dxa"/>
              <w:bottom w:w="90" w:type="dxa"/>
              <w:end w:w="100" w:type="dxa"/>
            </w:tcMar>
            <w:shd w:fill="1F4E78"/>
          </w:tcPr>
          <w:p>
            <w:pPr>
              <w:spacing w:before="40" w:after="40"/>
            </w:pPr>
            <w:r>
              <w:rPr>
                <w:b/>
                <w:color w:val="FFFFFF"/>
                <w:sz w:val="15"/>
              </w:rPr>
              <w:t>Domain</w:t>
            </w:r>
          </w:p>
        </w:tc>
        <w:tc>
          <w:tcPr>
            <w:tcW w:type="dxa" w:w="3744"/>
            <w:vAlign w:val="center"/>
            <w:tcMar>
              <w:top w:w="90" w:type="dxa"/>
              <w:start w:w="100" w:type="dxa"/>
              <w:bottom w:w="90" w:type="dxa"/>
              <w:end w:w="100" w:type="dxa"/>
            </w:tcMar>
            <w:shd w:fill="1F4E78"/>
          </w:tcPr>
          <w:p>
            <w:pPr>
              <w:spacing w:before="40" w:after="40"/>
            </w:pPr>
            <w:r>
              <w:rPr>
                <w:b/>
                <w:color w:val="FFFFFF"/>
                <w:sz w:val="15"/>
              </w:rPr>
              <w:t>Scenario</w:t>
            </w:r>
          </w:p>
        </w:tc>
        <w:tc>
          <w:tcPr>
            <w:tcW w:type="dxa" w:w="4320"/>
            <w:vAlign w:val="center"/>
            <w:tcMar>
              <w:top w:w="90" w:type="dxa"/>
              <w:start w:w="100" w:type="dxa"/>
              <w:bottom w:w="90" w:type="dxa"/>
              <w:end w:w="100" w:type="dxa"/>
            </w:tcMar>
            <w:shd w:fill="1F4E78"/>
          </w:tcPr>
          <w:p>
            <w:pPr>
              <w:spacing w:before="40" w:after="40"/>
            </w:pPr>
            <w:r>
              <w:rPr>
                <w:b/>
                <w:color w:val="FFFFFF"/>
                <w:sz w:val="15"/>
              </w:rPr>
              <w:t>Expected result</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E2E-001</w:t>
            </w:r>
          </w:p>
        </w:tc>
        <w:tc>
          <w:tcPr>
            <w:tcW w:type="dxa" w:w="1512"/>
            <w:vAlign w:val="center"/>
            <w:tcMar>
              <w:top w:w="90" w:type="dxa"/>
              <w:start w:w="100" w:type="dxa"/>
              <w:bottom w:w="90" w:type="dxa"/>
              <w:end w:w="100" w:type="dxa"/>
            </w:tcMar>
          </w:tcPr>
          <w:p>
            <w:pPr>
              <w:spacing w:before="40" w:after="40"/>
            </w:pPr>
            <w:r>
              <w:rPr>
                <w:sz w:val="15"/>
              </w:rPr>
              <w:t>Identity</w:t>
            </w:r>
          </w:p>
        </w:tc>
        <w:tc>
          <w:tcPr>
            <w:tcW w:type="dxa" w:w="3744"/>
            <w:vAlign w:val="center"/>
            <w:tcMar>
              <w:top w:w="90" w:type="dxa"/>
              <w:start w:w="100" w:type="dxa"/>
              <w:bottom w:w="90" w:type="dxa"/>
              <w:end w:w="100" w:type="dxa"/>
            </w:tcMar>
          </w:tcPr>
          <w:p>
            <w:pPr>
              <w:spacing w:before="40" w:after="40"/>
            </w:pPr>
            <w:r>
              <w:rPr>
                <w:sz w:val="15"/>
              </w:rPr>
              <w:t>Valid OTP login and new citizen account creation</w:t>
            </w:r>
          </w:p>
        </w:tc>
        <w:tc>
          <w:tcPr>
            <w:tcW w:type="dxa" w:w="4320"/>
            <w:vAlign w:val="center"/>
            <w:tcMar>
              <w:top w:w="90" w:type="dxa"/>
              <w:start w:w="100" w:type="dxa"/>
              <w:bottom w:w="90" w:type="dxa"/>
              <w:end w:w="100" w:type="dxa"/>
            </w:tcMar>
          </w:tcPr>
          <w:p>
            <w:pPr>
              <w:spacing w:before="40" w:after="40"/>
            </w:pPr>
            <w:r>
              <w:rPr>
                <w:sz w:val="15"/>
              </w:rPr>
              <w:t>Citizen session issued; immutable citizen_id created.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E2E-002</w:t>
            </w:r>
          </w:p>
        </w:tc>
        <w:tc>
          <w:tcPr>
            <w:tcW w:type="dxa" w:w="1512"/>
            <w:vAlign w:val="center"/>
            <w:tcMar>
              <w:top w:w="90" w:type="dxa"/>
              <w:start w:w="100" w:type="dxa"/>
              <w:bottom w:w="90" w:type="dxa"/>
              <w:end w:w="100" w:type="dxa"/>
            </w:tcMar>
          </w:tcPr>
          <w:p>
            <w:pPr>
              <w:spacing w:before="40" w:after="40"/>
            </w:pPr>
            <w:r>
              <w:rPr>
                <w:sz w:val="15"/>
              </w:rPr>
              <w:t>Identity</w:t>
            </w:r>
          </w:p>
        </w:tc>
        <w:tc>
          <w:tcPr>
            <w:tcW w:type="dxa" w:w="3744"/>
            <w:vAlign w:val="center"/>
            <w:tcMar>
              <w:top w:w="90" w:type="dxa"/>
              <w:start w:w="100" w:type="dxa"/>
              <w:bottom w:w="90" w:type="dxa"/>
              <w:end w:w="100" w:type="dxa"/>
            </w:tcMar>
          </w:tcPr>
          <w:p>
            <w:pPr>
              <w:spacing w:before="40" w:after="40"/>
            </w:pPr>
            <w:r>
              <w:rPr>
                <w:sz w:val="15"/>
              </w:rPr>
              <w:t>Expired OTP</w:t>
            </w:r>
          </w:p>
        </w:tc>
        <w:tc>
          <w:tcPr>
            <w:tcW w:type="dxa" w:w="4320"/>
            <w:vAlign w:val="center"/>
            <w:tcMar>
              <w:top w:w="90" w:type="dxa"/>
              <w:start w:w="100" w:type="dxa"/>
              <w:bottom w:w="90" w:type="dxa"/>
              <w:end w:w="100" w:type="dxa"/>
            </w:tcMar>
          </w:tcPr>
          <w:p>
            <w:pPr>
              <w:spacing w:before="40" w:after="40"/>
            </w:pPr>
            <w:r>
              <w:rPr>
                <w:sz w:val="15"/>
              </w:rPr>
              <w:t>Reject without account takeover; attempt audited/rate limited.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E2E-003</w:t>
            </w:r>
          </w:p>
        </w:tc>
        <w:tc>
          <w:tcPr>
            <w:tcW w:type="dxa" w:w="1512"/>
            <w:vAlign w:val="center"/>
            <w:tcMar>
              <w:top w:w="90" w:type="dxa"/>
              <w:start w:w="100" w:type="dxa"/>
              <w:bottom w:w="90" w:type="dxa"/>
              <w:end w:w="100" w:type="dxa"/>
            </w:tcMar>
          </w:tcPr>
          <w:p>
            <w:pPr>
              <w:spacing w:before="40" w:after="40"/>
            </w:pPr>
            <w:r>
              <w:rPr>
                <w:sz w:val="15"/>
              </w:rPr>
              <w:t>Identity</w:t>
            </w:r>
          </w:p>
        </w:tc>
        <w:tc>
          <w:tcPr>
            <w:tcW w:type="dxa" w:w="3744"/>
            <w:vAlign w:val="center"/>
            <w:tcMar>
              <w:top w:w="90" w:type="dxa"/>
              <w:start w:w="100" w:type="dxa"/>
              <w:bottom w:w="90" w:type="dxa"/>
              <w:end w:w="100" w:type="dxa"/>
            </w:tcMar>
          </w:tcPr>
          <w:p>
            <w:pPr>
              <w:spacing w:before="40" w:after="40"/>
            </w:pPr>
            <w:r>
              <w:rPr>
                <w:sz w:val="15"/>
              </w:rPr>
              <w:t>Repeated wrong OTP</w:t>
            </w:r>
          </w:p>
        </w:tc>
        <w:tc>
          <w:tcPr>
            <w:tcW w:type="dxa" w:w="4320"/>
            <w:vAlign w:val="center"/>
            <w:tcMar>
              <w:top w:w="90" w:type="dxa"/>
              <w:start w:w="100" w:type="dxa"/>
              <w:bottom w:w="90" w:type="dxa"/>
              <w:end w:w="100" w:type="dxa"/>
            </w:tcMar>
          </w:tcPr>
          <w:p>
            <w:pPr>
              <w:spacing w:before="40" w:after="40"/>
            </w:pPr>
            <w:r>
              <w:rPr>
                <w:sz w:val="15"/>
              </w:rPr>
              <w:t>Throttle/lock challenge according to policy.</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E2E-004</w:t>
            </w:r>
          </w:p>
        </w:tc>
        <w:tc>
          <w:tcPr>
            <w:tcW w:type="dxa" w:w="1512"/>
            <w:vAlign w:val="center"/>
            <w:tcMar>
              <w:top w:w="90" w:type="dxa"/>
              <w:start w:w="100" w:type="dxa"/>
              <w:bottom w:w="90" w:type="dxa"/>
              <w:end w:w="100" w:type="dxa"/>
            </w:tcMar>
          </w:tcPr>
          <w:p>
            <w:pPr>
              <w:spacing w:before="40" w:after="40"/>
            </w:pPr>
            <w:r>
              <w:rPr>
                <w:sz w:val="15"/>
              </w:rPr>
              <w:t>Identity</w:t>
            </w:r>
          </w:p>
        </w:tc>
        <w:tc>
          <w:tcPr>
            <w:tcW w:type="dxa" w:w="3744"/>
            <w:vAlign w:val="center"/>
            <w:tcMar>
              <w:top w:w="90" w:type="dxa"/>
              <w:start w:w="100" w:type="dxa"/>
              <w:bottom w:w="90" w:type="dxa"/>
              <w:end w:w="100" w:type="dxa"/>
            </w:tcMar>
          </w:tcPr>
          <w:p>
            <w:pPr>
              <w:spacing w:before="40" w:after="40"/>
            </w:pPr>
            <w:r>
              <w:rPr>
                <w:sz w:val="15"/>
              </w:rPr>
              <w:t>Existing mobile account later uses DigiLocker SSO</w:t>
            </w:r>
          </w:p>
        </w:tc>
        <w:tc>
          <w:tcPr>
            <w:tcW w:type="dxa" w:w="4320"/>
            <w:vAlign w:val="center"/>
            <w:tcMar>
              <w:top w:w="90" w:type="dxa"/>
              <w:start w:w="100" w:type="dxa"/>
              <w:bottom w:w="90" w:type="dxa"/>
              <w:end w:w="100" w:type="dxa"/>
            </w:tcMar>
          </w:tcPr>
          <w:p>
            <w:pPr>
              <w:spacing w:before="40" w:after="40"/>
            </w:pPr>
            <w:r>
              <w:rPr>
                <w:sz w:val="15"/>
              </w:rPr>
              <w:t>Controlled linking to same citizen_id; no duplicate citizen.</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E2E-005</w:t>
            </w:r>
          </w:p>
        </w:tc>
        <w:tc>
          <w:tcPr>
            <w:tcW w:type="dxa" w:w="1512"/>
            <w:vAlign w:val="center"/>
            <w:tcMar>
              <w:top w:w="90" w:type="dxa"/>
              <w:start w:w="100" w:type="dxa"/>
              <w:bottom w:w="90" w:type="dxa"/>
              <w:end w:w="100" w:type="dxa"/>
            </w:tcMar>
          </w:tcPr>
          <w:p>
            <w:pPr>
              <w:spacing w:before="40" w:after="40"/>
            </w:pPr>
            <w:r>
              <w:rPr>
                <w:sz w:val="15"/>
              </w:rPr>
              <w:t>Profile</w:t>
            </w:r>
          </w:p>
        </w:tc>
        <w:tc>
          <w:tcPr>
            <w:tcW w:type="dxa" w:w="3744"/>
            <w:vAlign w:val="center"/>
            <w:tcMar>
              <w:top w:w="90" w:type="dxa"/>
              <w:start w:w="100" w:type="dxa"/>
              <w:bottom w:w="90" w:type="dxa"/>
              <w:end w:w="100" w:type="dxa"/>
            </w:tcMar>
          </w:tcPr>
          <w:p>
            <w:pPr>
              <w:spacing w:before="40" w:after="40"/>
            </w:pPr>
            <w:r>
              <w:rPr>
                <w:sz w:val="15"/>
              </w:rPr>
              <w:t>DigiLocker verified attribute conflicts with self-declared value</w:t>
            </w:r>
          </w:p>
        </w:tc>
        <w:tc>
          <w:tcPr>
            <w:tcW w:type="dxa" w:w="4320"/>
            <w:vAlign w:val="center"/>
            <w:tcMar>
              <w:top w:w="90" w:type="dxa"/>
              <w:start w:w="100" w:type="dxa"/>
              <w:bottom w:w="90" w:type="dxa"/>
              <w:end w:w="100" w:type="dxa"/>
            </w:tcMar>
          </w:tcPr>
          <w:p>
            <w:pPr>
              <w:spacing w:before="40" w:after="40"/>
            </w:pPr>
            <w:r>
              <w:rPr>
                <w:sz w:val="15"/>
              </w:rPr>
              <w:t>Preserve both provenance states; do not silently overwrite.</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E2E-006</w:t>
            </w:r>
          </w:p>
        </w:tc>
        <w:tc>
          <w:tcPr>
            <w:tcW w:type="dxa" w:w="1512"/>
            <w:vAlign w:val="center"/>
            <w:tcMar>
              <w:top w:w="90" w:type="dxa"/>
              <w:start w:w="100" w:type="dxa"/>
              <w:bottom w:w="90" w:type="dxa"/>
              <w:end w:w="100" w:type="dxa"/>
            </w:tcMar>
          </w:tcPr>
          <w:p>
            <w:pPr>
              <w:spacing w:before="40" w:after="40"/>
            </w:pPr>
            <w:r>
              <w:rPr>
                <w:sz w:val="15"/>
              </w:rPr>
              <w:t>Discovery</w:t>
            </w:r>
          </w:p>
        </w:tc>
        <w:tc>
          <w:tcPr>
            <w:tcW w:type="dxa" w:w="3744"/>
            <w:vAlign w:val="center"/>
            <w:tcMar>
              <w:top w:w="90" w:type="dxa"/>
              <w:start w:w="100" w:type="dxa"/>
              <w:bottom w:w="90" w:type="dxa"/>
              <w:end w:w="100" w:type="dxa"/>
            </w:tcMar>
          </w:tcPr>
          <w:p>
            <w:pPr>
              <w:spacing w:before="40" w:after="40"/>
            </w:pPr>
            <w:r>
              <w:rPr>
                <w:sz w:val="15"/>
              </w:rPr>
              <w:t>Search exact service name</w:t>
            </w:r>
          </w:p>
        </w:tc>
        <w:tc>
          <w:tcPr>
            <w:tcW w:type="dxa" w:w="4320"/>
            <w:vAlign w:val="center"/>
            <w:tcMar>
              <w:top w:w="90" w:type="dxa"/>
              <w:start w:w="100" w:type="dxa"/>
              <w:bottom w:w="90" w:type="dxa"/>
              <w:end w:w="100" w:type="dxa"/>
            </w:tcMar>
          </w:tcPr>
          <w:p>
            <w:pPr>
              <w:spacing w:before="40" w:after="40"/>
            </w:pPr>
            <w:r>
              <w:rPr>
                <w:sz w:val="15"/>
              </w:rPr>
              <w:t>Return correct local offering for citizen context.</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E2E-007</w:t>
            </w:r>
          </w:p>
        </w:tc>
        <w:tc>
          <w:tcPr>
            <w:tcW w:type="dxa" w:w="1512"/>
            <w:vAlign w:val="center"/>
            <w:tcMar>
              <w:top w:w="90" w:type="dxa"/>
              <w:start w:w="100" w:type="dxa"/>
              <w:bottom w:w="90" w:type="dxa"/>
              <w:end w:w="100" w:type="dxa"/>
            </w:tcMar>
          </w:tcPr>
          <w:p>
            <w:pPr>
              <w:spacing w:before="40" w:after="40"/>
            </w:pPr>
            <w:r>
              <w:rPr>
                <w:sz w:val="15"/>
              </w:rPr>
              <w:t>Discovery</w:t>
            </w:r>
          </w:p>
        </w:tc>
        <w:tc>
          <w:tcPr>
            <w:tcW w:type="dxa" w:w="3744"/>
            <w:vAlign w:val="center"/>
            <w:tcMar>
              <w:top w:w="90" w:type="dxa"/>
              <w:start w:w="100" w:type="dxa"/>
              <w:bottom w:w="90" w:type="dxa"/>
              <w:end w:w="100" w:type="dxa"/>
            </w:tcMar>
          </w:tcPr>
          <w:p>
            <w:pPr>
              <w:spacing w:before="40" w:after="40"/>
            </w:pPr>
            <w:r>
              <w:rPr>
                <w:sz w:val="15"/>
              </w:rPr>
              <w:t>Natural-language/life-event discovery</w:t>
            </w:r>
          </w:p>
        </w:tc>
        <w:tc>
          <w:tcPr>
            <w:tcW w:type="dxa" w:w="4320"/>
            <w:vAlign w:val="center"/>
            <w:tcMar>
              <w:top w:w="90" w:type="dxa"/>
              <w:start w:w="100" w:type="dxa"/>
              <w:bottom w:w="90" w:type="dxa"/>
              <w:end w:w="100" w:type="dxa"/>
            </w:tcMar>
          </w:tcPr>
          <w:p>
            <w:pPr>
              <w:spacing w:before="40" w:after="40"/>
            </w:pPr>
            <w:r>
              <w:rPr>
                <w:sz w:val="15"/>
              </w:rPr>
              <w:t>Return explainable candidates; no eligibility claim without rules.</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E2E-008</w:t>
            </w:r>
          </w:p>
        </w:tc>
        <w:tc>
          <w:tcPr>
            <w:tcW w:type="dxa" w:w="1512"/>
            <w:vAlign w:val="center"/>
            <w:tcMar>
              <w:top w:w="90" w:type="dxa"/>
              <w:start w:w="100" w:type="dxa"/>
              <w:bottom w:w="90" w:type="dxa"/>
              <w:end w:w="100" w:type="dxa"/>
            </w:tcMar>
          </w:tcPr>
          <w:p>
            <w:pPr>
              <w:spacing w:before="40" w:after="40"/>
            </w:pPr>
            <w:r>
              <w:rPr>
                <w:sz w:val="15"/>
              </w:rPr>
              <w:t>Recommendation</w:t>
            </w:r>
          </w:p>
        </w:tc>
        <w:tc>
          <w:tcPr>
            <w:tcW w:type="dxa" w:w="3744"/>
            <w:vAlign w:val="center"/>
            <w:tcMar>
              <w:top w:w="90" w:type="dxa"/>
              <w:start w:w="100" w:type="dxa"/>
              <w:bottom w:w="90" w:type="dxa"/>
              <w:end w:w="100" w:type="dxa"/>
            </w:tcMar>
          </w:tcPr>
          <w:p>
            <w:pPr>
              <w:spacing w:before="40" w:after="40"/>
            </w:pPr>
            <w:r>
              <w:rPr>
                <w:sz w:val="15"/>
              </w:rPr>
              <w:t>Profile change affects recommendations</w:t>
            </w:r>
          </w:p>
        </w:tc>
        <w:tc>
          <w:tcPr>
            <w:tcW w:type="dxa" w:w="4320"/>
            <w:vAlign w:val="center"/>
            <w:tcMar>
              <w:top w:w="90" w:type="dxa"/>
              <w:start w:w="100" w:type="dxa"/>
              <w:bottom w:w="90" w:type="dxa"/>
              <w:end w:w="100" w:type="dxa"/>
            </w:tcMar>
          </w:tcPr>
          <w:p>
            <w:pPr>
              <w:spacing w:before="40" w:after="40"/>
            </w:pPr>
            <w:r>
              <w:rPr>
                <w:sz w:val="15"/>
              </w:rPr>
              <w:t>Recompute/invalidate recommendations with explanation/version.</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E2E-009</w:t>
            </w:r>
          </w:p>
        </w:tc>
        <w:tc>
          <w:tcPr>
            <w:tcW w:type="dxa" w:w="1512"/>
            <w:vAlign w:val="center"/>
            <w:tcMar>
              <w:top w:w="90" w:type="dxa"/>
              <w:start w:w="100" w:type="dxa"/>
              <w:bottom w:w="90" w:type="dxa"/>
              <w:end w:w="100" w:type="dxa"/>
            </w:tcMar>
          </w:tcPr>
          <w:p>
            <w:pPr>
              <w:spacing w:before="40" w:after="40"/>
            </w:pPr>
            <w:r>
              <w:rPr>
                <w:sz w:val="15"/>
              </w:rPr>
              <w:t>Rules</w:t>
            </w:r>
          </w:p>
        </w:tc>
        <w:tc>
          <w:tcPr>
            <w:tcW w:type="dxa" w:w="3744"/>
            <w:vAlign w:val="center"/>
            <w:tcMar>
              <w:top w:w="90" w:type="dxa"/>
              <w:start w:w="100" w:type="dxa"/>
              <w:bottom w:w="90" w:type="dxa"/>
              <w:end w:w="100" w:type="dxa"/>
            </w:tcMar>
          </w:tcPr>
          <w:p>
            <w:pPr>
              <w:spacing w:before="40" w:after="40"/>
            </w:pPr>
            <w:r>
              <w:rPr>
                <w:sz w:val="15"/>
              </w:rPr>
              <w:t>Eligible citizen</w:t>
            </w:r>
          </w:p>
        </w:tc>
        <w:tc>
          <w:tcPr>
            <w:tcW w:type="dxa" w:w="4320"/>
            <w:vAlign w:val="center"/>
            <w:tcMar>
              <w:top w:w="90" w:type="dxa"/>
              <w:start w:w="100" w:type="dxa"/>
              <w:bottom w:w="90" w:type="dxa"/>
              <w:end w:w="100" w:type="dxa"/>
            </w:tcMar>
          </w:tcPr>
          <w:p>
            <w:pPr>
              <w:spacing w:before="40" w:after="40"/>
            </w:pPr>
            <w:r>
              <w:rPr>
                <w:sz w:val="15"/>
              </w:rPr>
              <w:t>Deterministic result + reason/rule version.</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E2E-010</w:t>
            </w:r>
          </w:p>
        </w:tc>
        <w:tc>
          <w:tcPr>
            <w:tcW w:type="dxa" w:w="1512"/>
            <w:vAlign w:val="center"/>
            <w:tcMar>
              <w:top w:w="90" w:type="dxa"/>
              <w:start w:w="100" w:type="dxa"/>
              <w:bottom w:w="90" w:type="dxa"/>
              <w:end w:w="100" w:type="dxa"/>
            </w:tcMar>
          </w:tcPr>
          <w:p>
            <w:pPr>
              <w:spacing w:before="40" w:after="40"/>
            </w:pPr>
            <w:r>
              <w:rPr>
                <w:sz w:val="15"/>
              </w:rPr>
              <w:t>Rules</w:t>
            </w:r>
          </w:p>
        </w:tc>
        <w:tc>
          <w:tcPr>
            <w:tcW w:type="dxa" w:w="3744"/>
            <w:vAlign w:val="center"/>
            <w:tcMar>
              <w:top w:w="90" w:type="dxa"/>
              <w:start w:w="100" w:type="dxa"/>
              <w:bottom w:w="90" w:type="dxa"/>
              <w:end w:w="100" w:type="dxa"/>
            </w:tcMar>
          </w:tcPr>
          <w:p>
            <w:pPr>
              <w:spacing w:before="40" w:after="40"/>
            </w:pPr>
            <w:r>
              <w:rPr>
                <w:sz w:val="15"/>
              </w:rPr>
              <w:t>Ineligible citizen</w:t>
            </w:r>
          </w:p>
        </w:tc>
        <w:tc>
          <w:tcPr>
            <w:tcW w:type="dxa" w:w="4320"/>
            <w:vAlign w:val="center"/>
            <w:tcMar>
              <w:top w:w="90" w:type="dxa"/>
              <w:start w:w="100" w:type="dxa"/>
              <w:bottom w:w="90" w:type="dxa"/>
              <w:end w:w="100" w:type="dxa"/>
            </w:tcMar>
          </w:tcPr>
          <w:p>
            <w:pPr>
              <w:spacing w:before="40" w:after="40"/>
            </w:pPr>
            <w:r>
              <w:rPr>
                <w:sz w:val="15"/>
              </w:rPr>
              <w:t>Explain failed condition; no LLM-only denial.</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E2E-011</w:t>
            </w:r>
          </w:p>
        </w:tc>
        <w:tc>
          <w:tcPr>
            <w:tcW w:type="dxa" w:w="1512"/>
            <w:vAlign w:val="center"/>
            <w:tcMar>
              <w:top w:w="90" w:type="dxa"/>
              <w:start w:w="100" w:type="dxa"/>
              <w:bottom w:w="90" w:type="dxa"/>
              <w:end w:w="100" w:type="dxa"/>
            </w:tcMar>
          </w:tcPr>
          <w:p>
            <w:pPr>
              <w:spacing w:before="40" w:after="40"/>
            </w:pPr>
            <w:r>
              <w:rPr>
                <w:sz w:val="15"/>
              </w:rPr>
              <w:t>Forms</w:t>
            </w:r>
          </w:p>
        </w:tc>
        <w:tc>
          <w:tcPr>
            <w:tcW w:type="dxa" w:w="3744"/>
            <w:vAlign w:val="center"/>
            <w:tcMar>
              <w:top w:w="90" w:type="dxa"/>
              <w:start w:w="100" w:type="dxa"/>
              <w:bottom w:w="90" w:type="dxa"/>
              <w:end w:w="100" w:type="dxa"/>
            </w:tcMar>
          </w:tcPr>
          <w:p>
            <w:pPr>
              <w:spacing w:before="40" w:after="40"/>
            </w:pPr>
            <w:r>
              <w:rPr>
                <w:sz w:val="15"/>
              </w:rPr>
              <w:t>Conditional field becomes required</w:t>
            </w:r>
          </w:p>
        </w:tc>
        <w:tc>
          <w:tcPr>
            <w:tcW w:type="dxa" w:w="4320"/>
            <w:vAlign w:val="center"/>
            <w:tcMar>
              <w:top w:w="90" w:type="dxa"/>
              <w:start w:w="100" w:type="dxa"/>
              <w:bottom w:w="90" w:type="dxa"/>
              <w:end w:w="100" w:type="dxa"/>
            </w:tcMar>
          </w:tcPr>
          <w:p>
            <w:pPr>
              <w:spacing w:before="40" w:after="40"/>
            </w:pPr>
            <w:r>
              <w:rPr>
                <w:sz w:val="15"/>
              </w:rPr>
              <w:t>Schema/UI rule enforced consistently client and server side.</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E2E-012</w:t>
            </w:r>
          </w:p>
        </w:tc>
        <w:tc>
          <w:tcPr>
            <w:tcW w:type="dxa" w:w="1512"/>
            <w:vAlign w:val="center"/>
            <w:tcMar>
              <w:top w:w="90" w:type="dxa"/>
              <w:start w:w="100" w:type="dxa"/>
              <w:bottom w:w="90" w:type="dxa"/>
              <w:end w:w="100" w:type="dxa"/>
            </w:tcMar>
          </w:tcPr>
          <w:p>
            <w:pPr>
              <w:spacing w:before="40" w:after="40"/>
            </w:pPr>
            <w:r>
              <w:rPr>
                <w:sz w:val="15"/>
              </w:rPr>
              <w:t>Forms</w:t>
            </w:r>
          </w:p>
        </w:tc>
        <w:tc>
          <w:tcPr>
            <w:tcW w:type="dxa" w:w="3744"/>
            <w:vAlign w:val="center"/>
            <w:tcMar>
              <w:top w:w="90" w:type="dxa"/>
              <w:start w:w="100" w:type="dxa"/>
              <w:bottom w:w="90" w:type="dxa"/>
              <w:end w:w="100" w:type="dxa"/>
            </w:tcMar>
          </w:tcPr>
          <w:p>
            <w:pPr>
              <w:spacing w:before="40" w:after="40"/>
            </w:pPr>
            <w:r>
              <w:rPr>
                <w:sz w:val="15"/>
              </w:rPr>
              <w:t>Save draft and resume on another device</w:t>
            </w:r>
          </w:p>
        </w:tc>
        <w:tc>
          <w:tcPr>
            <w:tcW w:type="dxa" w:w="4320"/>
            <w:vAlign w:val="center"/>
            <w:tcMar>
              <w:top w:w="90" w:type="dxa"/>
              <w:start w:w="100" w:type="dxa"/>
              <w:bottom w:w="90" w:type="dxa"/>
              <w:end w:w="100" w:type="dxa"/>
            </w:tcMar>
          </w:tcPr>
          <w:p>
            <w:pPr>
              <w:spacing w:before="40" w:after="40"/>
            </w:pPr>
            <w:r>
              <w:rPr>
                <w:sz w:val="15"/>
              </w:rPr>
              <w:t>Draft restored without advancing application state.</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E2E-013</w:t>
            </w:r>
          </w:p>
        </w:tc>
        <w:tc>
          <w:tcPr>
            <w:tcW w:type="dxa" w:w="1512"/>
            <w:vAlign w:val="center"/>
            <w:tcMar>
              <w:top w:w="90" w:type="dxa"/>
              <w:start w:w="100" w:type="dxa"/>
              <w:bottom w:w="90" w:type="dxa"/>
              <w:end w:w="100" w:type="dxa"/>
            </w:tcMar>
          </w:tcPr>
          <w:p>
            <w:pPr>
              <w:spacing w:before="40" w:after="40"/>
            </w:pPr>
            <w:r>
              <w:rPr>
                <w:sz w:val="15"/>
              </w:rPr>
              <w:t>Forms</w:t>
            </w:r>
          </w:p>
        </w:tc>
        <w:tc>
          <w:tcPr>
            <w:tcW w:type="dxa" w:w="3744"/>
            <w:vAlign w:val="center"/>
            <w:tcMar>
              <w:top w:w="90" w:type="dxa"/>
              <w:start w:w="100" w:type="dxa"/>
              <w:bottom w:w="90" w:type="dxa"/>
              <w:end w:w="100" w:type="dxa"/>
            </w:tcMar>
          </w:tcPr>
          <w:p>
            <w:pPr>
              <w:spacing w:before="40" w:after="40"/>
            </w:pPr>
            <w:r>
              <w:rPr>
                <w:sz w:val="15"/>
              </w:rPr>
              <w:t>Published form version changes while draft exists</w:t>
            </w:r>
          </w:p>
        </w:tc>
        <w:tc>
          <w:tcPr>
            <w:tcW w:type="dxa" w:w="4320"/>
            <w:vAlign w:val="center"/>
            <w:tcMar>
              <w:top w:w="90" w:type="dxa"/>
              <w:start w:w="100" w:type="dxa"/>
              <w:bottom w:w="90" w:type="dxa"/>
              <w:end w:w="100" w:type="dxa"/>
            </w:tcMar>
          </w:tcPr>
          <w:p>
            <w:pPr>
              <w:spacing w:before="40" w:after="40"/>
            </w:pPr>
            <w:r>
              <w:rPr>
                <w:sz w:val="15"/>
              </w:rPr>
              <w:t>Pinned/migration policy applied explicitly; no silent schema corruption.</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E2E-014</w:t>
            </w:r>
          </w:p>
        </w:tc>
        <w:tc>
          <w:tcPr>
            <w:tcW w:type="dxa" w:w="1512"/>
            <w:vAlign w:val="center"/>
            <w:tcMar>
              <w:top w:w="90" w:type="dxa"/>
              <w:start w:w="100" w:type="dxa"/>
              <w:bottom w:w="90" w:type="dxa"/>
              <w:end w:w="100" w:type="dxa"/>
            </w:tcMar>
          </w:tcPr>
          <w:p>
            <w:pPr>
              <w:spacing w:before="40" w:after="40"/>
            </w:pPr>
            <w:r>
              <w:rPr>
                <w:sz w:val="15"/>
              </w:rPr>
              <w:t>Evidence</w:t>
            </w:r>
          </w:p>
        </w:tc>
        <w:tc>
          <w:tcPr>
            <w:tcW w:type="dxa" w:w="3744"/>
            <w:vAlign w:val="center"/>
            <w:tcMar>
              <w:top w:w="90" w:type="dxa"/>
              <w:start w:w="100" w:type="dxa"/>
              <w:bottom w:w="90" w:type="dxa"/>
              <w:end w:w="100" w:type="dxa"/>
            </w:tcMar>
          </w:tcPr>
          <w:p>
            <w:pPr>
              <w:spacing w:before="40" w:after="40"/>
            </w:pPr>
            <w:r>
              <w:rPr>
                <w:sz w:val="15"/>
              </w:rPr>
              <w:t>Valid upload</w:t>
            </w:r>
          </w:p>
        </w:tc>
        <w:tc>
          <w:tcPr>
            <w:tcW w:type="dxa" w:w="4320"/>
            <w:vAlign w:val="center"/>
            <w:tcMar>
              <w:top w:w="90" w:type="dxa"/>
              <w:start w:w="100" w:type="dxa"/>
              <w:bottom w:w="90" w:type="dxa"/>
              <w:end w:w="100" w:type="dxa"/>
            </w:tcMar>
          </w:tcPr>
          <w:p>
            <w:pPr>
              <w:spacing w:before="40" w:after="40"/>
            </w:pPr>
            <w:r>
              <w:rPr>
                <w:sz w:val="15"/>
              </w:rPr>
              <w:t>Quarantine, scan, validate, metadata/hash recorded.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E2E-015</w:t>
            </w:r>
          </w:p>
        </w:tc>
        <w:tc>
          <w:tcPr>
            <w:tcW w:type="dxa" w:w="1512"/>
            <w:vAlign w:val="center"/>
            <w:tcMar>
              <w:top w:w="90" w:type="dxa"/>
              <w:start w:w="100" w:type="dxa"/>
              <w:bottom w:w="90" w:type="dxa"/>
              <w:end w:w="100" w:type="dxa"/>
            </w:tcMar>
          </w:tcPr>
          <w:p>
            <w:pPr>
              <w:spacing w:before="40" w:after="40"/>
            </w:pPr>
            <w:r>
              <w:rPr>
                <w:sz w:val="15"/>
              </w:rPr>
              <w:t>Evidence</w:t>
            </w:r>
          </w:p>
        </w:tc>
        <w:tc>
          <w:tcPr>
            <w:tcW w:type="dxa" w:w="3744"/>
            <w:vAlign w:val="center"/>
            <w:tcMar>
              <w:top w:w="90" w:type="dxa"/>
              <w:start w:w="100" w:type="dxa"/>
              <w:bottom w:w="90" w:type="dxa"/>
              <w:end w:w="100" w:type="dxa"/>
            </w:tcMar>
          </w:tcPr>
          <w:p>
            <w:pPr>
              <w:spacing w:before="40" w:after="40"/>
            </w:pPr>
            <w:r>
              <w:rPr>
                <w:sz w:val="15"/>
              </w:rPr>
              <w:t>Malware/invalid type</w:t>
            </w:r>
          </w:p>
        </w:tc>
        <w:tc>
          <w:tcPr>
            <w:tcW w:type="dxa" w:w="4320"/>
            <w:vAlign w:val="center"/>
            <w:tcMar>
              <w:top w:w="90" w:type="dxa"/>
              <w:start w:w="100" w:type="dxa"/>
              <w:bottom w:w="90" w:type="dxa"/>
              <w:end w:w="100" w:type="dxa"/>
            </w:tcMar>
          </w:tcPr>
          <w:p>
            <w:pPr>
              <w:spacing w:before="40" w:after="40"/>
            </w:pPr>
            <w:r>
              <w:rPr>
                <w:sz w:val="15"/>
              </w:rPr>
              <w:t>Evidence rejected; application data unaffected.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E2E-016</w:t>
            </w:r>
          </w:p>
        </w:tc>
        <w:tc>
          <w:tcPr>
            <w:tcW w:type="dxa" w:w="1512"/>
            <w:vAlign w:val="center"/>
            <w:tcMar>
              <w:top w:w="90" w:type="dxa"/>
              <w:start w:w="100" w:type="dxa"/>
              <w:bottom w:w="90" w:type="dxa"/>
              <w:end w:w="100" w:type="dxa"/>
            </w:tcMar>
          </w:tcPr>
          <w:p>
            <w:pPr>
              <w:spacing w:before="40" w:after="40"/>
            </w:pPr>
            <w:r>
              <w:rPr>
                <w:sz w:val="15"/>
              </w:rPr>
              <w:t>Evidence</w:t>
            </w:r>
          </w:p>
        </w:tc>
        <w:tc>
          <w:tcPr>
            <w:tcW w:type="dxa" w:w="3744"/>
            <w:vAlign w:val="center"/>
            <w:tcMar>
              <w:top w:w="90" w:type="dxa"/>
              <w:start w:w="100" w:type="dxa"/>
              <w:bottom w:w="90" w:type="dxa"/>
              <w:end w:w="100" w:type="dxa"/>
            </w:tcMar>
          </w:tcPr>
          <w:p>
            <w:pPr>
              <w:spacing w:before="40" w:after="40"/>
            </w:pPr>
            <w:r>
              <w:rPr>
                <w:sz w:val="15"/>
              </w:rPr>
              <w:t>Expired evidence</w:t>
            </w:r>
          </w:p>
        </w:tc>
        <w:tc>
          <w:tcPr>
            <w:tcW w:type="dxa" w:w="4320"/>
            <w:vAlign w:val="center"/>
            <w:tcMar>
              <w:top w:w="90" w:type="dxa"/>
              <w:start w:w="100" w:type="dxa"/>
              <w:bottom w:w="90" w:type="dxa"/>
              <w:end w:w="100" w:type="dxa"/>
            </w:tcMar>
          </w:tcPr>
          <w:p>
            <w:pPr>
              <w:spacing w:before="40" w:after="40"/>
            </w:pPr>
            <w:r>
              <w:rPr>
                <w:sz w:val="15"/>
              </w:rPr>
              <w:t>Rule/evidence policy requests replacement or blocks submit as configured.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E2E-017</w:t>
            </w:r>
          </w:p>
        </w:tc>
        <w:tc>
          <w:tcPr>
            <w:tcW w:type="dxa" w:w="1512"/>
            <w:vAlign w:val="center"/>
            <w:tcMar>
              <w:top w:w="90" w:type="dxa"/>
              <w:start w:w="100" w:type="dxa"/>
              <w:bottom w:w="90" w:type="dxa"/>
              <w:end w:w="100" w:type="dxa"/>
            </w:tcMar>
          </w:tcPr>
          <w:p>
            <w:pPr>
              <w:spacing w:before="40" w:after="40"/>
            </w:pPr>
            <w:r>
              <w:rPr>
                <w:sz w:val="15"/>
              </w:rPr>
              <w:t>DigiLocker</w:t>
            </w:r>
          </w:p>
        </w:tc>
        <w:tc>
          <w:tcPr>
            <w:tcW w:type="dxa" w:w="3744"/>
            <w:vAlign w:val="center"/>
            <w:tcMar>
              <w:top w:w="90" w:type="dxa"/>
              <w:start w:w="100" w:type="dxa"/>
              <w:bottom w:w="90" w:type="dxa"/>
              <w:end w:w="100" w:type="dxa"/>
            </w:tcMar>
          </w:tcPr>
          <w:p>
            <w:pPr>
              <w:spacing w:before="40" w:after="40"/>
            </w:pPr>
            <w:r>
              <w:rPr>
                <w:sz w:val="15"/>
              </w:rPr>
              <w:t>Successful evidence retrieval</w:t>
            </w:r>
          </w:p>
        </w:tc>
        <w:tc>
          <w:tcPr>
            <w:tcW w:type="dxa" w:w="4320"/>
            <w:vAlign w:val="center"/>
            <w:tcMar>
              <w:top w:w="90" w:type="dxa"/>
              <w:start w:w="100" w:type="dxa"/>
              <w:bottom w:w="90" w:type="dxa"/>
              <w:end w:w="100" w:type="dxa"/>
            </w:tcMar>
          </w:tcPr>
          <w:p>
            <w:pPr>
              <w:spacing w:before="40" w:after="40"/>
            </w:pPr>
            <w:r>
              <w:rPr>
                <w:sz w:val="15"/>
              </w:rPr>
              <w:t>Evidence linked with source/provenance/consent.</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E2E-018</w:t>
            </w:r>
          </w:p>
        </w:tc>
        <w:tc>
          <w:tcPr>
            <w:tcW w:type="dxa" w:w="1512"/>
            <w:vAlign w:val="center"/>
            <w:tcMar>
              <w:top w:w="90" w:type="dxa"/>
              <w:start w:w="100" w:type="dxa"/>
              <w:bottom w:w="90" w:type="dxa"/>
              <w:end w:w="100" w:type="dxa"/>
            </w:tcMar>
          </w:tcPr>
          <w:p>
            <w:pPr>
              <w:spacing w:before="40" w:after="40"/>
            </w:pPr>
            <w:r>
              <w:rPr>
                <w:sz w:val="15"/>
              </w:rPr>
              <w:t>DigiLocker</w:t>
            </w:r>
          </w:p>
        </w:tc>
        <w:tc>
          <w:tcPr>
            <w:tcW w:type="dxa" w:w="3744"/>
            <w:vAlign w:val="center"/>
            <w:tcMar>
              <w:top w:w="90" w:type="dxa"/>
              <w:start w:w="100" w:type="dxa"/>
              <w:bottom w:w="90" w:type="dxa"/>
              <w:end w:w="100" w:type="dxa"/>
            </w:tcMar>
          </w:tcPr>
          <w:p>
            <w:pPr>
              <w:spacing w:before="40" w:after="40"/>
            </w:pPr>
            <w:r>
              <w:rPr>
                <w:sz w:val="15"/>
              </w:rPr>
              <w:t>Temporary outage</w:t>
            </w:r>
          </w:p>
        </w:tc>
        <w:tc>
          <w:tcPr>
            <w:tcW w:type="dxa" w:w="4320"/>
            <w:vAlign w:val="center"/>
            <w:tcMar>
              <w:top w:w="90" w:type="dxa"/>
              <w:start w:w="100" w:type="dxa"/>
              <w:bottom w:w="90" w:type="dxa"/>
              <w:end w:w="100" w:type="dxa"/>
            </w:tcMar>
          </w:tcPr>
          <w:p>
            <w:pPr>
              <w:spacing w:before="40" w:after="40"/>
            </w:pPr>
            <w:r>
              <w:rPr>
                <w:sz w:val="15"/>
              </w:rPr>
              <w:t>Retry/fallback policy applied; no unexplained application failure.</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E2E-019</w:t>
            </w:r>
          </w:p>
        </w:tc>
        <w:tc>
          <w:tcPr>
            <w:tcW w:type="dxa" w:w="1512"/>
            <w:vAlign w:val="center"/>
            <w:tcMar>
              <w:top w:w="90" w:type="dxa"/>
              <w:start w:w="100" w:type="dxa"/>
              <w:bottom w:w="90" w:type="dxa"/>
              <w:end w:w="100" w:type="dxa"/>
            </w:tcMar>
          </w:tcPr>
          <w:p>
            <w:pPr>
              <w:spacing w:before="40" w:after="40"/>
            </w:pPr>
            <w:r>
              <w:rPr>
                <w:sz w:val="15"/>
              </w:rPr>
              <w:t>DigiLocker</w:t>
            </w:r>
          </w:p>
        </w:tc>
        <w:tc>
          <w:tcPr>
            <w:tcW w:type="dxa" w:w="3744"/>
            <w:vAlign w:val="center"/>
            <w:tcMar>
              <w:top w:w="90" w:type="dxa"/>
              <w:start w:w="100" w:type="dxa"/>
              <w:bottom w:w="90" w:type="dxa"/>
              <w:end w:w="100" w:type="dxa"/>
            </w:tcMar>
          </w:tcPr>
          <w:p>
            <w:pPr>
              <w:spacing w:before="40" w:after="40"/>
            </w:pPr>
            <w:r>
              <w:rPr>
                <w:sz w:val="15"/>
              </w:rPr>
              <w:t>Citizen declines consent</w:t>
            </w:r>
          </w:p>
        </w:tc>
        <w:tc>
          <w:tcPr>
            <w:tcW w:type="dxa" w:w="4320"/>
            <w:vAlign w:val="center"/>
            <w:tcMar>
              <w:top w:w="90" w:type="dxa"/>
              <w:start w:w="100" w:type="dxa"/>
              <w:bottom w:w="90" w:type="dxa"/>
              <w:end w:w="100" w:type="dxa"/>
            </w:tcMar>
          </w:tcPr>
          <w:p>
            <w:pPr>
              <w:spacing w:before="40" w:after="40"/>
            </w:pPr>
            <w:r>
              <w:rPr>
                <w:sz w:val="15"/>
              </w:rPr>
              <w:t>Manual evidence option or configured block is shown transparently.</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E2E-020</w:t>
            </w:r>
          </w:p>
        </w:tc>
        <w:tc>
          <w:tcPr>
            <w:tcW w:type="dxa" w:w="1512"/>
            <w:vAlign w:val="center"/>
            <w:tcMar>
              <w:top w:w="90" w:type="dxa"/>
              <w:start w:w="100" w:type="dxa"/>
              <w:bottom w:w="90" w:type="dxa"/>
              <w:end w:w="100" w:type="dxa"/>
            </w:tcMar>
          </w:tcPr>
          <w:p>
            <w:pPr>
              <w:spacing w:before="40" w:after="40"/>
            </w:pPr>
            <w:r>
              <w:rPr>
                <w:sz w:val="15"/>
              </w:rPr>
              <w:t>Submission</w:t>
            </w:r>
          </w:p>
        </w:tc>
        <w:tc>
          <w:tcPr>
            <w:tcW w:type="dxa" w:w="3744"/>
            <w:vAlign w:val="center"/>
            <w:tcMar>
              <w:top w:w="90" w:type="dxa"/>
              <w:start w:w="100" w:type="dxa"/>
              <w:bottom w:w="90" w:type="dxa"/>
              <w:end w:w="100" w:type="dxa"/>
            </w:tcMar>
          </w:tcPr>
          <w:p>
            <w:pPr>
              <w:spacing w:before="40" w:after="40"/>
            </w:pPr>
            <w:r>
              <w:rPr>
                <w:sz w:val="15"/>
              </w:rPr>
              <w:t>Valid no-fee service</w:t>
            </w:r>
          </w:p>
        </w:tc>
        <w:tc>
          <w:tcPr>
            <w:tcW w:type="dxa" w:w="4320"/>
            <w:vAlign w:val="center"/>
            <w:tcMar>
              <w:top w:w="90" w:type="dxa"/>
              <w:start w:w="100" w:type="dxa"/>
              <w:bottom w:w="90" w:type="dxa"/>
              <w:end w:w="100" w:type="dxa"/>
            </w:tcMar>
          </w:tcPr>
          <w:p>
            <w:pPr>
              <w:spacing w:before="40" w:after="40"/>
            </w:pPr>
            <w:r>
              <w:rPr>
                <w:sz w:val="15"/>
              </w:rPr>
              <w:t>Application created exactly once; workflow initiated.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E2E-021</w:t>
            </w:r>
          </w:p>
        </w:tc>
        <w:tc>
          <w:tcPr>
            <w:tcW w:type="dxa" w:w="1512"/>
            <w:vAlign w:val="center"/>
            <w:tcMar>
              <w:top w:w="90" w:type="dxa"/>
              <w:start w:w="100" w:type="dxa"/>
              <w:bottom w:w="90" w:type="dxa"/>
              <w:end w:w="100" w:type="dxa"/>
            </w:tcMar>
          </w:tcPr>
          <w:p>
            <w:pPr>
              <w:spacing w:before="40" w:after="40"/>
            </w:pPr>
            <w:r>
              <w:rPr>
                <w:sz w:val="15"/>
              </w:rPr>
              <w:t>Submission</w:t>
            </w:r>
          </w:p>
        </w:tc>
        <w:tc>
          <w:tcPr>
            <w:tcW w:type="dxa" w:w="3744"/>
            <w:vAlign w:val="center"/>
            <w:tcMar>
              <w:top w:w="90" w:type="dxa"/>
              <w:start w:w="100" w:type="dxa"/>
              <w:bottom w:w="90" w:type="dxa"/>
              <w:end w:w="100" w:type="dxa"/>
            </w:tcMar>
          </w:tcPr>
          <w:p>
            <w:pPr>
              <w:spacing w:before="40" w:after="40"/>
            </w:pPr>
            <w:r>
              <w:rPr>
                <w:sz w:val="15"/>
              </w:rPr>
              <w:t>Duplicate mobile/network retry</w:t>
            </w:r>
          </w:p>
        </w:tc>
        <w:tc>
          <w:tcPr>
            <w:tcW w:type="dxa" w:w="4320"/>
            <w:vAlign w:val="center"/>
            <w:tcMar>
              <w:top w:w="90" w:type="dxa"/>
              <w:start w:w="100" w:type="dxa"/>
              <w:bottom w:w="90" w:type="dxa"/>
              <w:end w:w="100" w:type="dxa"/>
            </w:tcMar>
          </w:tcPr>
          <w:p>
            <w:pPr>
              <w:spacing w:before="40" w:after="40"/>
            </w:pPr>
            <w:r>
              <w:rPr>
                <w:sz w:val="15"/>
              </w:rPr>
              <w:t>Same idempotency key returns original result; no duplicate application.</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E2E-022</w:t>
            </w:r>
          </w:p>
        </w:tc>
        <w:tc>
          <w:tcPr>
            <w:tcW w:type="dxa" w:w="1512"/>
            <w:vAlign w:val="center"/>
            <w:tcMar>
              <w:top w:w="90" w:type="dxa"/>
              <w:start w:w="100" w:type="dxa"/>
              <w:bottom w:w="90" w:type="dxa"/>
              <w:end w:w="100" w:type="dxa"/>
            </w:tcMar>
          </w:tcPr>
          <w:p>
            <w:pPr>
              <w:spacing w:before="40" w:after="40"/>
            </w:pPr>
            <w:r>
              <w:rPr>
                <w:sz w:val="15"/>
              </w:rPr>
              <w:t>Payment</w:t>
            </w:r>
          </w:p>
        </w:tc>
        <w:tc>
          <w:tcPr>
            <w:tcW w:type="dxa" w:w="3744"/>
            <w:vAlign w:val="center"/>
            <w:tcMar>
              <w:top w:w="90" w:type="dxa"/>
              <w:start w:w="100" w:type="dxa"/>
              <w:bottom w:w="90" w:type="dxa"/>
              <w:end w:w="100" w:type="dxa"/>
            </w:tcMar>
          </w:tcPr>
          <w:p>
            <w:pPr>
              <w:spacing w:before="40" w:after="40"/>
            </w:pPr>
            <w:r>
              <w:rPr>
                <w:sz w:val="15"/>
              </w:rPr>
              <w:t>Successful payment</w:t>
            </w:r>
          </w:p>
        </w:tc>
        <w:tc>
          <w:tcPr>
            <w:tcW w:type="dxa" w:w="4320"/>
            <w:vAlign w:val="center"/>
            <w:tcMar>
              <w:top w:w="90" w:type="dxa"/>
              <w:start w:w="100" w:type="dxa"/>
              <w:bottom w:w="90" w:type="dxa"/>
              <w:end w:w="100" w:type="dxa"/>
            </w:tcMar>
          </w:tcPr>
          <w:p>
            <w:pPr>
              <w:spacing w:before="40" w:after="40"/>
            </w:pPr>
            <w:r>
              <w:rPr>
                <w:sz w:val="15"/>
              </w:rPr>
              <w:t>Ledger reconciled; application advances once.</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E2E-023</w:t>
            </w:r>
          </w:p>
        </w:tc>
        <w:tc>
          <w:tcPr>
            <w:tcW w:type="dxa" w:w="1512"/>
            <w:vAlign w:val="center"/>
            <w:tcMar>
              <w:top w:w="90" w:type="dxa"/>
              <w:start w:w="100" w:type="dxa"/>
              <w:bottom w:w="90" w:type="dxa"/>
              <w:end w:w="100" w:type="dxa"/>
            </w:tcMar>
          </w:tcPr>
          <w:p>
            <w:pPr>
              <w:spacing w:before="40" w:after="40"/>
            </w:pPr>
            <w:r>
              <w:rPr>
                <w:sz w:val="15"/>
              </w:rPr>
              <w:t>Payment</w:t>
            </w:r>
          </w:p>
        </w:tc>
        <w:tc>
          <w:tcPr>
            <w:tcW w:type="dxa" w:w="3744"/>
            <w:vAlign w:val="center"/>
            <w:tcMar>
              <w:top w:w="90" w:type="dxa"/>
              <w:start w:w="100" w:type="dxa"/>
              <w:bottom w:w="90" w:type="dxa"/>
              <w:end w:w="100" w:type="dxa"/>
            </w:tcMar>
          </w:tcPr>
          <w:p>
            <w:pPr>
              <w:spacing w:before="40" w:after="40"/>
            </w:pPr>
            <w:r>
              <w:rPr>
                <w:sz w:val="15"/>
              </w:rPr>
              <w:t>Failed payment</w:t>
            </w:r>
          </w:p>
        </w:tc>
        <w:tc>
          <w:tcPr>
            <w:tcW w:type="dxa" w:w="4320"/>
            <w:vAlign w:val="center"/>
            <w:tcMar>
              <w:top w:w="90" w:type="dxa"/>
              <w:start w:w="100" w:type="dxa"/>
              <w:bottom w:w="90" w:type="dxa"/>
              <w:end w:w="100" w:type="dxa"/>
            </w:tcMar>
          </w:tcPr>
          <w:p>
            <w:pPr>
              <w:spacing w:before="40" w:after="40"/>
            </w:pPr>
            <w:r>
              <w:rPr>
                <w:sz w:val="15"/>
              </w:rPr>
              <w:t>Application remains safe/retryable according to policy.</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E2E-024</w:t>
            </w:r>
          </w:p>
        </w:tc>
        <w:tc>
          <w:tcPr>
            <w:tcW w:type="dxa" w:w="1512"/>
            <w:vAlign w:val="center"/>
            <w:tcMar>
              <w:top w:w="90" w:type="dxa"/>
              <w:start w:w="100" w:type="dxa"/>
              <w:bottom w:w="90" w:type="dxa"/>
              <w:end w:w="100" w:type="dxa"/>
            </w:tcMar>
          </w:tcPr>
          <w:p>
            <w:pPr>
              <w:spacing w:before="40" w:after="40"/>
            </w:pPr>
            <w:r>
              <w:rPr>
                <w:sz w:val="15"/>
              </w:rPr>
              <w:t>Payment</w:t>
            </w:r>
          </w:p>
        </w:tc>
        <w:tc>
          <w:tcPr>
            <w:tcW w:type="dxa" w:w="3744"/>
            <w:vAlign w:val="center"/>
            <w:tcMar>
              <w:top w:w="90" w:type="dxa"/>
              <w:start w:w="100" w:type="dxa"/>
              <w:bottom w:w="90" w:type="dxa"/>
              <w:end w:w="100" w:type="dxa"/>
            </w:tcMar>
          </w:tcPr>
          <w:p>
            <w:pPr>
              <w:spacing w:before="40" w:after="40"/>
            </w:pPr>
            <w:r>
              <w:rPr>
                <w:sz w:val="15"/>
              </w:rPr>
              <w:t>Duplicate gateway callback</w:t>
            </w:r>
          </w:p>
        </w:tc>
        <w:tc>
          <w:tcPr>
            <w:tcW w:type="dxa" w:w="4320"/>
            <w:vAlign w:val="center"/>
            <w:tcMar>
              <w:top w:w="90" w:type="dxa"/>
              <w:start w:w="100" w:type="dxa"/>
              <w:bottom w:w="90" w:type="dxa"/>
              <w:end w:w="100" w:type="dxa"/>
            </w:tcMar>
          </w:tcPr>
          <w:p>
            <w:pPr>
              <w:spacing w:before="40" w:after="40"/>
            </w:pPr>
            <w:r>
              <w:rPr>
                <w:sz w:val="15"/>
              </w:rPr>
              <w:t>No duplicate ledger/application/receipt effects.</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E2E-025</w:t>
            </w:r>
          </w:p>
        </w:tc>
        <w:tc>
          <w:tcPr>
            <w:tcW w:type="dxa" w:w="1512"/>
            <w:vAlign w:val="center"/>
            <w:tcMar>
              <w:top w:w="90" w:type="dxa"/>
              <w:start w:w="100" w:type="dxa"/>
              <w:bottom w:w="90" w:type="dxa"/>
              <w:end w:w="100" w:type="dxa"/>
            </w:tcMar>
          </w:tcPr>
          <w:p>
            <w:pPr>
              <w:spacing w:before="40" w:after="40"/>
            </w:pPr>
            <w:r>
              <w:rPr>
                <w:sz w:val="15"/>
              </w:rPr>
              <w:t>Payment</w:t>
            </w:r>
          </w:p>
        </w:tc>
        <w:tc>
          <w:tcPr>
            <w:tcW w:type="dxa" w:w="3744"/>
            <w:vAlign w:val="center"/>
            <w:tcMar>
              <w:top w:w="90" w:type="dxa"/>
              <w:start w:w="100" w:type="dxa"/>
              <w:bottom w:w="90" w:type="dxa"/>
              <w:end w:w="100" w:type="dxa"/>
            </w:tcMar>
          </w:tcPr>
          <w:p>
            <w:pPr>
              <w:spacing w:before="40" w:after="40"/>
            </w:pPr>
            <w:r>
              <w:rPr>
                <w:sz w:val="15"/>
              </w:rPr>
              <w:t>Payment success arrives late</w:t>
            </w:r>
          </w:p>
        </w:tc>
        <w:tc>
          <w:tcPr>
            <w:tcW w:type="dxa" w:w="4320"/>
            <w:vAlign w:val="center"/>
            <w:tcMar>
              <w:top w:w="90" w:type="dxa"/>
              <w:start w:w="100" w:type="dxa"/>
              <w:bottom w:w="90" w:type="dxa"/>
              <w:end w:w="100" w:type="dxa"/>
            </w:tcMar>
          </w:tcPr>
          <w:p>
            <w:pPr>
              <w:spacing w:before="40" w:after="40"/>
            </w:pPr>
            <w:r>
              <w:rPr>
                <w:sz w:val="15"/>
              </w:rPr>
              <w:t>Reconciliation advances only if transition still valid.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E2E-026</w:t>
            </w:r>
          </w:p>
        </w:tc>
        <w:tc>
          <w:tcPr>
            <w:tcW w:type="dxa" w:w="1512"/>
            <w:vAlign w:val="center"/>
            <w:tcMar>
              <w:top w:w="90" w:type="dxa"/>
              <w:start w:w="100" w:type="dxa"/>
              <w:bottom w:w="90" w:type="dxa"/>
              <w:end w:w="100" w:type="dxa"/>
            </w:tcMar>
          </w:tcPr>
          <w:p>
            <w:pPr>
              <w:spacing w:before="40" w:after="40"/>
            </w:pPr>
            <w:r>
              <w:rPr>
                <w:sz w:val="15"/>
              </w:rPr>
              <w:t>Workflow</w:t>
            </w:r>
          </w:p>
        </w:tc>
        <w:tc>
          <w:tcPr>
            <w:tcW w:type="dxa" w:w="3744"/>
            <w:vAlign w:val="center"/>
            <w:tcMar>
              <w:top w:w="90" w:type="dxa"/>
              <w:start w:w="100" w:type="dxa"/>
              <w:bottom w:w="90" w:type="dxa"/>
              <w:end w:w="100" w:type="dxa"/>
            </w:tcMar>
          </w:tcPr>
          <w:p>
            <w:pPr>
              <w:spacing w:before="40" w:after="40"/>
            </w:pPr>
            <w:r>
              <w:rPr>
                <w:sz w:val="15"/>
              </w:rPr>
              <w:t>Correct office/jurisdiction route</w:t>
            </w:r>
          </w:p>
        </w:tc>
        <w:tc>
          <w:tcPr>
            <w:tcW w:type="dxa" w:w="4320"/>
            <w:vAlign w:val="center"/>
            <w:tcMar>
              <w:top w:w="90" w:type="dxa"/>
              <w:start w:w="100" w:type="dxa"/>
              <w:bottom w:w="90" w:type="dxa"/>
              <w:end w:w="100" w:type="dxa"/>
            </w:tcMar>
          </w:tcPr>
          <w:p>
            <w:pPr>
              <w:spacing w:before="40" w:after="40"/>
            </w:pPr>
            <w:r>
              <w:rPr>
                <w:sz w:val="15"/>
              </w:rPr>
              <w:t>Task lands only in eligible work queue.</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E2E-027</w:t>
            </w:r>
          </w:p>
        </w:tc>
        <w:tc>
          <w:tcPr>
            <w:tcW w:type="dxa" w:w="1512"/>
            <w:vAlign w:val="center"/>
            <w:tcMar>
              <w:top w:w="90" w:type="dxa"/>
              <w:start w:w="100" w:type="dxa"/>
              <w:bottom w:w="90" w:type="dxa"/>
              <w:end w:w="100" w:type="dxa"/>
            </w:tcMar>
          </w:tcPr>
          <w:p>
            <w:pPr>
              <w:spacing w:before="40" w:after="40"/>
            </w:pPr>
            <w:r>
              <w:rPr>
                <w:sz w:val="15"/>
              </w:rPr>
              <w:t>Workflow</w:t>
            </w:r>
          </w:p>
        </w:tc>
        <w:tc>
          <w:tcPr>
            <w:tcW w:type="dxa" w:w="3744"/>
            <w:vAlign w:val="center"/>
            <w:tcMar>
              <w:top w:w="90" w:type="dxa"/>
              <w:start w:w="100" w:type="dxa"/>
              <w:bottom w:w="90" w:type="dxa"/>
              <w:end w:w="100" w:type="dxa"/>
            </w:tcMar>
          </w:tcPr>
          <w:p>
            <w:pPr>
              <w:spacing w:before="40" w:after="40"/>
            </w:pPr>
            <w:r>
              <w:rPr>
                <w:sz w:val="15"/>
              </w:rPr>
              <w:t>Officer transferred after task creation</w:t>
            </w:r>
          </w:p>
        </w:tc>
        <w:tc>
          <w:tcPr>
            <w:tcW w:type="dxa" w:w="4320"/>
            <w:vAlign w:val="center"/>
            <w:tcMar>
              <w:top w:w="90" w:type="dxa"/>
              <w:start w:w="100" w:type="dxa"/>
              <w:bottom w:w="90" w:type="dxa"/>
              <w:end w:w="100" w:type="dxa"/>
            </w:tcMar>
          </w:tcPr>
          <w:p>
            <w:pPr>
              <w:spacing w:before="40" w:after="40"/>
            </w:pPr>
            <w:r>
              <w:rPr>
                <w:sz w:val="15"/>
              </w:rPr>
              <w:t>Task can be reassigned/delegated without workflow redesign.</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E2E-028</w:t>
            </w:r>
          </w:p>
        </w:tc>
        <w:tc>
          <w:tcPr>
            <w:tcW w:type="dxa" w:w="1512"/>
            <w:vAlign w:val="center"/>
            <w:tcMar>
              <w:top w:w="90" w:type="dxa"/>
              <w:start w:w="100" w:type="dxa"/>
              <w:bottom w:w="90" w:type="dxa"/>
              <w:end w:w="100" w:type="dxa"/>
            </w:tcMar>
          </w:tcPr>
          <w:p>
            <w:pPr>
              <w:spacing w:before="40" w:after="40"/>
            </w:pPr>
            <w:r>
              <w:rPr>
                <w:sz w:val="15"/>
              </w:rPr>
              <w:t>Scrutiny</w:t>
            </w:r>
          </w:p>
        </w:tc>
        <w:tc>
          <w:tcPr>
            <w:tcW w:type="dxa" w:w="3744"/>
            <w:vAlign w:val="center"/>
            <w:tcMar>
              <w:top w:w="90" w:type="dxa"/>
              <w:start w:w="100" w:type="dxa"/>
              <w:bottom w:w="90" w:type="dxa"/>
              <w:end w:w="100" w:type="dxa"/>
            </w:tcMar>
          </w:tcPr>
          <w:p>
            <w:pPr>
              <w:spacing w:before="40" w:after="40"/>
            </w:pPr>
            <w:r>
              <w:rPr>
                <w:sz w:val="15"/>
              </w:rPr>
              <w:t>Officer requests deficiency</w:t>
            </w:r>
          </w:p>
        </w:tc>
        <w:tc>
          <w:tcPr>
            <w:tcW w:type="dxa" w:w="4320"/>
            <w:vAlign w:val="center"/>
            <w:tcMar>
              <w:top w:w="90" w:type="dxa"/>
              <w:start w:w="100" w:type="dxa"/>
              <w:bottom w:w="90" w:type="dxa"/>
              <w:end w:w="100" w:type="dxa"/>
            </w:tcMar>
          </w:tcPr>
          <w:p>
            <w:pPr>
              <w:spacing w:before="40" w:after="40"/>
            </w:pPr>
            <w:r>
              <w:rPr>
                <w:sz w:val="15"/>
              </w:rPr>
              <w:t>Citizen notified; application/state/SLA updated atomically.</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E2E-029</w:t>
            </w:r>
          </w:p>
        </w:tc>
        <w:tc>
          <w:tcPr>
            <w:tcW w:type="dxa" w:w="1512"/>
            <w:vAlign w:val="center"/>
            <w:tcMar>
              <w:top w:w="90" w:type="dxa"/>
              <w:start w:w="100" w:type="dxa"/>
              <w:bottom w:w="90" w:type="dxa"/>
              <w:end w:w="100" w:type="dxa"/>
            </w:tcMar>
          </w:tcPr>
          <w:p>
            <w:pPr>
              <w:spacing w:before="40" w:after="40"/>
            </w:pPr>
            <w:r>
              <w:rPr>
                <w:sz w:val="15"/>
              </w:rPr>
              <w:t>Deficiency</w:t>
            </w:r>
          </w:p>
        </w:tc>
        <w:tc>
          <w:tcPr>
            <w:tcW w:type="dxa" w:w="3744"/>
            <w:vAlign w:val="center"/>
            <w:tcMar>
              <w:top w:w="90" w:type="dxa"/>
              <w:start w:w="100" w:type="dxa"/>
              <w:bottom w:w="90" w:type="dxa"/>
              <w:end w:w="100" w:type="dxa"/>
            </w:tcMar>
          </w:tcPr>
          <w:p>
            <w:pPr>
              <w:spacing w:before="40" w:after="40"/>
            </w:pPr>
            <w:r>
              <w:rPr>
                <w:sz w:val="15"/>
              </w:rPr>
              <w:t>Citizen responds once</w:t>
            </w:r>
          </w:p>
        </w:tc>
        <w:tc>
          <w:tcPr>
            <w:tcW w:type="dxa" w:w="4320"/>
            <w:vAlign w:val="center"/>
            <w:tcMar>
              <w:top w:w="90" w:type="dxa"/>
              <w:start w:w="100" w:type="dxa"/>
              <w:bottom w:w="90" w:type="dxa"/>
              <w:end w:w="100" w:type="dxa"/>
            </w:tcMar>
          </w:tcPr>
          <w:p>
            <w:pPr>
              <w:spacing w:before="40" w:after="40"/>
            </w:pPr>
            <w:r>
              <w:rPr>
                <w:sz w:val="15"/>
              </w:rPr>
              <w:t>Response versioned; task returns to scrutiny.</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E2E-030</w:t>
            </w:r>
          </w:p>
        </w:tc>
        <w:tc>
          <w:tcPr>
            <w:tcW w:type="dxa" w:w="1512"/>
            <w:vAlign w:val="center"/>
            <w:tcMar>
              <w:top w:w="90" w:type="dxa"/>
              <w:start w:w="100" w:type="dxa"/>
              <w:bottom w:w="90" w:type="dxa"/>
              <w:end w:w="100" w:type="dxa"/>
            </w:tcMar>
          </w:tcPr>
          <w:p>
            <w:pPr>
              <w:spacing w:before="40" w:after="40"/>
            </w:pPr>
            <w:r>
              <w:rPr>
                <w:sz w:val="15"/>
              </w:rPr>
              <w:t>Deficiency</w:t>
            </w:r>
          </w:p>
        </w:tc>
        <w:tc>
          <w:tcPr>
            <w:tcW w:type="dxa" w:w="3744"/>
            <w:vAlign w:val="center"/>
            <w:tcMar>
              <w:top w:w="90" w:type="dxa"/>
              <w:start w:w="100" w:type="dxa"/>
              <w:bottom w:w="90" w:type="dxa"/>
              <w:end w:w="100" w:type="dxa"/>
            </w:tcMar>
          </w:tcPr>
          <w:p>
            <w:pPr>
              <w:spacing w:before="40" w:after="40"/>
            </w:pPr>
            <w:r>
              <w:rPr>
                <w:sz w:val="15"/>
              </w:rPr>
              <w:t>Multiple deficiency cycles allowed</w:t>
            </w:r>
          </w:p>
        </w:tc>
        <w:tc>
          <w:tcPr>
            <w:tcW w:type="dxa" w:w="4320"/>
            <w:vAlign w:val="center"/>
            <w:tcMar>
              <w:top w:w="90" w:type="dxa"/>
              <w:start w:w="100" w:type="dxa"/>
              <w:bottom w:w="90" w:type="dxa"/>
              <w:end w:w="100" w:type="dxa"/>
            </w:tcMar>
          </w:tcPr>
          <w:p>
            <w:pPr>
              <w:spacing w:before="40" w:after="40"/>
            </w:pPr>
            <w:r>
              <w:rPr>
                <w:sz w:val="15"/>
              </w:rPr>
              <w:t>Each cycle auditable; maximum/legality follows service config.</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E2E-031</w:t>
            </w:r>
          </w:p>
        </w:tc>
        <w:tc>
          <w:tcPr>
            <w:tcW w:type="dxa" w:w="1512"/>
            <w:vAlign w:val="center"/>
            <w:tcMar>
              <w:top w:w="90" w:type="dxa"/>
              <w:start w:w="100" w:type="dxa"/>
              <w:bottom w:w="90" w:type="dxa"/>
              <w:end w:w="100" w:type="dxa"/>
            </w:tcMar>
          </w:tcPr>
          <w:p>
            <w:pPr>
              <w:spacing w:before="40" w:after="40"/>
            </w:pPr>
            <w:r>
              <w:rPr>
                <w:sz w:val="15"/>
              </w:rPr>
              <w:t>Verification</w:t>
            </w:r>
          </w:p>
        </w:tc>
        <w:tc>
          <w:tcPr>
            <w:tcW w:type="dxa" w:w="3744"/>
            <w:vAlign w:val="center"/>
            <w:tcMar>
              <w:top w:w="90" w:type="dxa"/>
              <w:start w:w="100" w:type="dxa"/>
              <w:bottom w:w="90" w:type="dxa"/>
              <w:end w:w="100" w:type="dxa"/>
            </w:tcMar>
          </w:tcPr>
          <w:p>
            <w:pPr>
              <w:spacing w:before="40" w:after="40"/>
            </w:pPr>
            <w:r>
              <w:rPr>
                <w:sz w:val="15"/>
              </w:rPr>
              <w:t>External verification succeeds</w:t>
            </w:r>
          </w:p>
        </w:tc>
        <w:tc>
          <w:tcPr>
            <w:tcW w:type="dxa" w:w="4320"/>
            <w:vAlign w:val="center"/>
            <w:tcMar>
              <w:top w:w="90" w:type="dxa"/>
              <w:start w:w="100" w:type="dxa"/>
              <w:bottom w:w="90" w:type="dxa"/>
              <w:end w:w="100" w:type="dxa"/>
            </w:tcMar>
          </w:tcPr>
          <w:p>
            <w:pPr>
              <w:spacing w:before="40" w:after="40"/>
            </w:pPr>
            <w:r>
              <w:rPr>
                <w:sz w:val="15"/>
              </w:rPr>
              <w:t>Verified result linked with source/time/result.</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E2E-032</w:t>
            </w:r>
          </w:p>
        </w:tc>
        <w:tc>
          <w:tcPr>
            <w:tcW w:type="dxa" w:w="1512"/>
            <w:vAlign w:val="center"/>
            <w:tcMar>
              <w:top w:w="90" w:type="dxa"/>
              <w:start w:w="100" w:type="dxa"/>
              <w:bottom w:w="90" w:type="dxa"/>
              <w:end w:w="100" w:type="dxa"/>
            </w:tcMar>
          </w:tcPr>
          <w:p>
            <w:pPr>
              <w:spacing w:before="40" w:after="40"/>
            </w:pPr>
            <w:r>
              <w:rPr>
                <w:sz w:val="15"/>
              </w:rPr>
              <w:t>Verification</w:t>
            </w:r>
          </w:p>
        </w:tc>
        <w:tc>
          <w:tcPr>
            <w:tcW w:type="dxa" w:w="3744"/>
            <w:vAlign w:val="center"/>
            <w:tcMar>
              <w:top w:w="90" w:type="dxa"/>
              <w:start w:w="100" w:type="dxa"/>
              <w:bottom w:w="90" w:type="dxa"/>
              <w:end w:w="100" w:type="dxa"/>
            </w:tcMar>
          </w:tcPr>
          <w:p>
            <w:pPr>
              <w:spacing w:before="40" w:after="40"/>
            </w:pPr>
            <w:r>
              <w:rPr>
                <w:sz w:val="15"/>
              </w:rPr>
              <w:t>External system unavailable</w:t>
            </w:r>
          </w:p>
        </w:tc>
        <w:tc>
          <w:tcPr>
            <w:tcW w:type="dxa" w:w="4320"/>
            <w:vAlign w:val="center"/>
            <w:tcMar>
              <w:top w:w="90" w:type="dxa"/>
              <w:start w:w="100" w:type="dxa"/>
              <w:bottom w:w="90" w:type="dxa"/>
              <w:end w:w="100" w:type="dxa"/>
            </w:tcMar>
          </w:tcPr>
          <w:p>
            <w:pPr>
              <w:spacing w:before="40" w:after="40"/>
            </w:pPr>
            <w:r>
              <w:rPr>
                <w:sz w:val="15"/>
              </w:rPr>
              <w:t>Retry/circuit breaker; application not corrupted.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E2E-033</w:t>
            </w:r>
          </w:p>
        </w:tc>
        <w:tc>
          <w:tcPr>
            <w:tcW w:type="dxa" w:w="1512"/>
            <w:vAlign w:val="center"/>
            <w:tcMar>
              <w:top w:w="90" w:type="dxa"/>
              <w:start w:w="100" w:type="dxa"/>
              <w:bottom w:w="90" w:type="dxa"/>
              <w:end w:w="100" w:type="dxa"/>
            </w:tcMar>
          </w:tcPr>
          <w:p>
            <w:pPr>
              <w:spacing w:before="40" w:after="40"/>
            </w:pPr>
            <w:r>
              <w:rPr>
                <w:sz w:val="15"/>
              </w:rPr>
              <w:t>Decision</w:t>
            </w:r>
          </w:p>
        </w:tc>
        <w:tc>
          <w:tcPr>
            <w:tcW w:type="dxa" w:w="3744"/>
            <w:vAlign w:val="center"/>
            <w:tcMar>
              <w:top w:w="90" w:type="dxa"/>
              <w:start w:w="100" w:type="dxa"/>
              <w:bottom w:w="90" w:type="dxa"/>
              <w:end w:w="100" w:type="dxa"/>
            </w:tcMar>
          </w:tcPr>
          <w:p>
            <w:pPr>
              <w:spacing w:before="40" w:after="40"/>
            </w:pPr>
            <w:r>
              <w:rPr>
                <w:sz w:val="15"/>
              </w:rPr>
              <w:t>Authorized approval</w:t>
            </w:r>
          </w:p>
        </w:tc>
        <w:tc>
          <w:tcPr>
            <w:tcW w:type="dxa" w:w="4320"/>
            <w:vAlign w:val="center"/>
            <w:tcMar>
              <w:top w:w="90" w:type="dxa"/>
              <w:start w:w="100" w:type="dxa"/>
              <w:bottom w:w="90" w:type="dxa"/>
              <w:end w:w="100" w:type="dxa"/>
            </w:tcMar>
          </w:tcPr>
          <w:p>
            <w:pPr>
              <w:spacing w:before="40" w:after="40"/>
            </w:pPr>
            <w:r>
              <w:rPr>
                <w:sz w:val="15"/>
              </w:rPr>
              <w:t>Decision reason/actor/version captured; issuance starts.</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E2E-034</w:t>
            </w:r>
          </w:p>
        </w:tc>
        <w:tc>
          <w:tcPr>
            <w:tcW w:type="dxa" w:w="1512"/>
            <w:vAlign w:val="center"/>
            <w:tcMar>
              <w:top w:w="90" w:type="dxa"/>
              <w:start w:w="100" w:type="dxa"/>
              <w:bottom w:w="90" w:type="dxa"/>
              <w:end w:w="100" w:type="dxa"/>
            </w:tcMar>
          </w:tcPr>
          <w:p>
            <w:pPr>
              <w:spacing w:before="40" w:after="40"/>
            </w:pPr>
            <w:r>
              <w:rPr>
                <w:sz w:val="15"/>
              </w:rPr>
              <w:t>Decision</w:t>
            </w:r>
          </w:p>
        </w:tc>
        <w:tc>
          <w:tcPr>
            <w:tcW w:type="dxa" w:w="3744"/>
            <w:vAlign w:val="center"/>
            <w:tcMar>
              <w:top w:w="90" w:type="dxa"/>
              <w:start w:w="100" w:type="dxa"/>
              <w:bottom w:w="90" w:type="dxa"/>
              <w:end w:w="100" w:type="dxa"/>
            </w:tcMar>
          </w:tcPr>
          <w:p>
            <w:pPr>
              <w:spacing w:before="40" w:after="40"/>
            </w:pPr>
            <w:r>
              <w:rPr>
                <w:sz w:val="15"/>
              </w:rPr>
              <w:t>Authorized rejection</w:t>
            </w:r>
          </w:p>
        </w:tc>
        <w:tc>
          <w:tcPr>
            <w:tcW w:type="dxa" w:w="4320"/>
            <w:vAlign w:val="center"/>
            <w:tcMar>
              <w:top w:w="90" w:type="dxa"/>
              <w:start w:w="100" w:type="dxa"/>
              <w:bottom w:w="90" w:type="dxa"/>
              <w:end w:w="100" w:type="dxa"/>
            </w:tcMar>
          </w:tcPr>
          <w:p>
            <w:pPr>
              <w:spacing w:before="40" w:after="40"/>
            </w:pPr>
            <w:r>
              <w:rPr>
                <w:sz w:val="15"/>
              </w:rPr>
              <w:t>Reason code/text captured; notification/appeal metadata generated.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E2E-035</w:t>
            </w:r>
          </w:p>
        </w:tc>
        <w:tc>
          <w:tcPr>
            <w:tcW w:type="dxa" w:w="1512"/>
            <w:vAlign w:val="center"/>
            <w:tcMar>
              <w:top w:w="90" w:type="dxa"/>
              <w:start w:w="100" w:type="dxa"/>
              <w:bottom w:w="90" w:type="dxa"/>
              <w:end w:w="100" w:type="dxa"/>
            </w:tcMar>
          </w:tcPr>
          <w:p>
            <w:pPr>
              <w:spacing w:before="40" w:after="40"/>
            </w:pPr>
            <w:r>
              <w:rPr>
                <w:sz w:val="15"/>
              </w:rPr>
              <w:t>Decision</w:t>
            </w:r>
          </w:p>
        </w:tc>
        <w:tc>
          <w:tcPr>
            <w:tcW w:type="dxa" w:w="3744"/>
            <w:vAlign w:val="center"/>
            <w:tcMar>
              <w:top w:w="90" w:type="dxa"/>
              <w:start w:w="100" w:type="dxa"/>
              <w:bottom w:w="90" w:type="dxa"/>
              <w:end w:w="100" w:type="dxa"/>
            </w:tcMar>
          </w:tcPr>
          <w:p>
            <w:pPr>
              <w:spacing w:before="40" w:after="40"/>
            </w:pPr>
            <w:r>
              <w:rPr>
                <w:sz w:val="15"/>
              </w:rPr>
              <w:t>Unauthorized officer attempts approval</w:t>
            </w:r>
          </w:p>
        </w:tc>
        <w:tc>
          <w:tcPr>
            <w:tcW w:type="dxa" w:w="4320"/>
            <w:vAlign w:val="center"/>
            <w:tcMar>
              <w:top w:w="90" w:type="dxa"/>
              <w:start w:w="100" w:type="dxa"/>
              <w:bottom w:w="90" w:type="dxa"/>
              <w:end w:w="100" w:type="dxa"/>
            </w:tcMar>
          </w:tcPr>
          <w:p>
            <w:pPr>
              <w:spacing w:before="40" w:after="40"/>
            </w:pPr>
            <w:r>
              <w:rPr>
                <w:sz w:val="15"/>
              </w:rPr>
              <w:t>Denied by OPA/domain/RLS; security audit generated.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E2E-036</w:t>
            </w:r>
          </w:p>
        </w:tc>
        <w:tc>
          <w:tcPr>
            <w:tcW w:type="dxa" w:w="1512"/>
            <w:vAlign w:val="center"/>
            <w:tcMar>
              <w:top w:w="90" w:type="dxa"/>
              <w:start w:w="100" w:type="dxa"/>
              <w:bottom w:w="90" w:type="dxa"/>
              <w:end w:w="100" w:type="dxa"/>
            </w:tcMar>
          </w:tcPr>
          <w:p>
            <w:pPr>
              <w:spacing w:before="40" w:after="40"/>
            </w:pPr>
            <w:r>
              <w:rPr>
                <w:sz w:val="15"/>
              </w:rPr>
              <w:t>Credential</w:t>
            </w:r>
          </w:p>
        </w:tc>
        <w:tc>
          <w:tcPr>
            <w:tcW w:type="dxa" w:w="3744"/>
            <w:vAlign w:val="center"/>
            <w:tcMar>
              <w:top w:w="90" w:type="dxa"/>
              <w:start w:w="100" w:type="dxa"/>
              <w:bottom w:w="90" w:type="dxa"/>
              <w:end w:w="100" w:type="dxa"/>
            </w:tcMar>
          </w:tcPr>
          <w:p>
            <w:pPr>
              <w:spacing w:before="40" w:after="40"/>
            </w:pPr>
            <w:r>
              <w:rPr>
                <w:sz w:val="15"/>
              </w:rPr>
              <w:t>Signing succeeds</w:t>
            </w:r>
          </w:p>
        </w:tc>
        <w:tc>
          <w:tcPr>
            <w:tcW w:type="dxa" w:w="4320"/>
            <w:vAlign w:val="center"/>
            <w:tcMar>
              <w:top w:w="90" w:type="dxa"/>
              <w:start w:w="100" w:type="dxa"/>
              <w:bottom w:w="90" w:type="dxa"/>
              <w:end w:w="100" w:type="dxa"/>
            </w:tcMar>
          </w:tcPr>
          <w:p>
            <w:pPr>
              <w:spacing w:before="40" w:after="40"/>
            </w:pPr>
            <w:r>
              <w:rPr>
                <w:sz w:val="15"/>
              </w:rPr>
              <w:t>Immutable issued credential + signed object + status endpoint.</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E2E-037</w:t>
            </w:r>
          </w:p>
        </w:tc>
        <w:tc>
          <w:tcPr>
            <w:tcW w:type="dxa" w:w="1512"/>
            <w:vAlign w:val="center"/>
            <w:tcMar>
              <w:top w:w="90" w:type="dxa"/>
              <w:start w:w="100" w:type="dxa"/>
              <w:bottom w:w="90" w:type="dxa"/>
              <w:end w:w="100" w:type="dxa"/>
            </w:tcMar>
          </w:tcPr>
          <w:p>
            <w:pPr>
              <w:spacing w:before="40" w:after="40"/>
            </w:pPr>
            <w:r>
              <w:rPr>
                <w:sz w:val="15"/>
              </w:rPr>
              <w:t>Credential</w:t>
            </w:r>
          </w:p>
        </w:tc>
        <w:tc>
          <w:tcPr>
            <w:tcW w:type="dxa" w:w="3744"/>
            <w:vAlign w:val="center"/>
            <w:tcMar>
              <w:top w:w="90" w:type="dxa"/>
              <w:start w:w="100" w:type="dxa"/>
              <w:bottom w:w="90" w:type="dxa"/>
              <w:end w:w="100" w:type="dxa"/>
            </w:tcMar>
          </w:tcPr>
          <w:p>
            <w:pPr>
              <w:spacing w:before="40" w:after="40"/>
            </w:pPr>
            <w:r>
              <w:rPr>
                <w:sz w:val="15"/>
              </w:rPr>
              <w:t>Signing service temporarily fails</w:t>
            </w:r>
          </w:p>
        </w:tc>
        <w:tc>
          <w:tcPr>
            <w:tcW w:type="dxa" w:w="4320"/>
            <w:vAlign w:val="center"/>
            <w:tcMar>
              <w:top w:w="90" w:type="dxa"/>
              <w:start w:w="100" w:type="dxa"/>
              <w:bottom w:w="90" w:type="dxa"/>
              <w:end w:w="100" w:type="dxa"/>
            </w:tcMar>
          </w:tcPr>
          <w:p>
            <w:pPr>
              <w:spacing w:before="40" w:after="40"/>
            </w:pPr>
            <w:r>
              <w:rPr>
                <w:sz w:val="15"/>
              </w:rPr>
              <w:t>Retry-safe; never issue duplicate credential number.</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E2E-038</w:t>
            </w:r>
          </w:p>
        </w:tc>
        <w:tc>
          <w:tcPr>
            <w:tcW w:type="dxa" w:w="1512"/>
            <w:vAlign w:val="center"/>
            <w:tcMar>
              <w:top w:w="90" w:type="dxa"/>
              <w:start w:w="100" w:type="dxa"/>
              <w:bottom w:w="90" w:type="dxa"/>
              <w:end w:w="100" w:type="dxa"/>
            </w:tcMar>
          </w:tcPr>
          <w:p>
            <w:pPr>
              <w:spacing w:before="40" w:after="40"/>
            </w:pPr>
            <w:r>
              <w:rPr>
                <w:sz w:val="15"/>
              </w:rPr>
              <w:t>Credential</w:t>
            </w:r>
          </w:p>
        </w:tc>
        <w:tc>
          <w:tcPr>
            <w:tcW w:type="dxa" w:w="3744"/>
            <w:vAlign w:val="center"/>
            <w:tcMar>
              <w:top w:w="90" w:type="dxa"/>
              <w:start w:w="100" w:type="dxa"/>
              <w:bottom w:w="90" w:type="dxa"/>
              <w:end w:w="100" w:type="dxa"/>
            </w:tcMar>
          </w:tcPr>
          <w:p>
            <w:pPr>
              <w:spacing w:before="40" w:after="40"/>
            </w:pPr>
            <w:r>
              <w:rPr>
                <w:sz w:val="15"/>
              </w:rPr>
              <w:t>QR verification</w:t>
            </w:r>
          </w:p>
        </w:tc>
        <w:tc>
          <w:tcPr>
            <w:tcW w:type="dxa" w:w="4320"/>
            <w:vAlign w:val="center"/>
            <w:tcMar>
              <w:top w:w="90" w:type="dxa"/>
              <w:start w:w="100" w:type="dxa"/>
              <w:bottom w:w="90" w:type="dxa"/>
              <w:end w:w="100" w:type="dxa"/>
            </w:tcMar>
          </w:tcPr>
          <w:p>
            <w:pPr>
              <w:spacing w:before="40" w:after="40"/>
            </w:pPr>
            <w:r>
              <w:rPr>
                <w:sz w:val="15"/>
              </w:rPr>
              <w:t>Current status returned without exposing unnecessary PII.</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E2E-039</w:t>
            </w:r>
          </w:p>
        </w:tc>
        <w:tc>
          <w:tcPr>
            <w:tcW w:type="dxa" w:w="1512"/>
            <w:vAlign w:val="center"/>
            <w:tcMar>
              <w:top w:w="90" w:type="dxa"/>
              <w:start w:w="100" w:type="dxa"/>
              <w:bottom w:w="90" w:type="dxa"/>
              <w:end w:w="100" w:type="dxa"/>
            </w:tcMar>
          </w:tcPr>
          <w:p>
            <w:pPr>
              <w:spacing w:before="40" w:after="40"/>
            </w:pPr>
            <w:r>
              <w:rPr>
                <w:sz w:val="15"/>
              </w:rPr>
              <w:t>Credential</w:t>
            </w:r>
          </w:p>
        </w:tc>
        <w:tc>
          <w:tcPr>
            <w:tcW w:type="dxa" w:w="3744"/>
            <w:vAlign w:val="center"/>
            <w:tcMar>
              <w:top w:w="90" w:type="dxa"/>
              <w:start w:w="100" w:type="dxa"/>
              <w:bottom w:w="90" w:type="dxa"/>
              <w:end w:w="100" w:type="dxa"/>
            </w:tcMar>
          </w:tcPr>
          <w:p>
            <w:pPr>
              <w:spacing w:before="40" w:after="40"/>
            </w:pPr>
            <w:r>
              <w:rPr>
                <w:sz w:val="15"/>
              </w:rPr>
              <w:t>Revocation/reissue</w:t>
            </w:r>
          </w:p>
        </w:tc>
        <w:tc>
          <w:tcPr>
            <w:tcW w:type="dxa" w:w="4320"/>
            <w:vAlign w:val="center"/>
            <w:tcMar>
              <w:top w:w="90" w:type="dxa"/>
              <w:start w:w="100" w:type="dxa"/>
              <w:bottom w:w="90" w:type="dxa"/>
              <w:end w:w="100" w:type="dxa"/>
            </w:tcMar>
          </w:tcPr>
          <w:p>
            <w:pPr>
              <w:spacing w:before="40" w:after="40"/>
            </w:pPr>
            <w:r>
              <w:rPr>
                <w:sz w:val="15"/>
              </w:rPr>
              <w:t>Status changes through authorized workflow; history preserved.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E2E-040</w:t>
            </w:r>
          </w:p>
        </w:tc>
        <w:tc>
          <w:tcPr>
            <w:tcW w:type="dxa" w:w="1512"/>
            <w:vAlign w:val="center"/>
            <w:tcMar>
              <w:top w:w="90" w:type="dxa"/>
              <w:start w:w="100" w:type="dxa"/>
              <w:bottom w:w="90" w:type="dxa"/>
              <w:end w:w="100" w:type="dxa"/>
            </w:tcMar>
          </w:tcPr>
          <w:p>
            <w:pPr>
              <w:spacing w:before="40" w:after="40"/>
            </w:pPr>
            <w:r>
              <w:rPr>
                <w:sz w:val="15"/>
              </w:rPr>
              <w:t>Notification</w:t>
            </w:r>
          </w:p>
        </w:tc>
        <w:tc>
          <w:tcPr>
            <w:tcW w:type="dxa" w:w="3744"/>
            <w:vAlign w:val="center"/>
            <w:tcMar>
              <w:top w:w="90" w:type="dxa"/>
              <w:start w:w="100" w:type="dxa"/>
              <w:bottom w:w="90" w:type="dxa"/>
              <w:end w:w="100" w:type="dxa"/>
            </w:tcMar>
          </w:tcPr>
          <w:p>
            <w:pPr>
              <w:spacing w:before="40" w:after="40"/>
            </w:pPr>
            <w:r>
              <w:rPr>
                <w:sz w:val="15"/>
              </w:rPr>
              <w:t>SMS/email provider unavailable</w:t>
            </w:r>
          </w:p>
        </w:tc>
        <w:tc>
          <w:tcPr>
            <w:tcW w:type="dxa" w:w="4320"/>
            <w:vAlign w:val="center"/>
            <w:tcMar>
              <w:top w:w="90" w:type="dxa"/>
              <w:start w:w="100" w:type="dxa"/>
              <w:bottom w:w="90" w:type="dxa"/>
              <w:end w:w="100" w:type="dxa"/>
            </w:tcMar>
          </w:tcPr>
          <w:p>
            <w:pPr>
              <w:spacing w:before="40" w:after="40"/>
            </w:pPr>
            <w:r>
              <w:rPr>
                <w:sz w:val="15"/>
              </w:rPr>
              <w:t>Async retries/DLQ; authoritative application state unaffected.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E2E-041</w:t>
            </w:r>
          </w:p>
        </w:tc>
        <w:tc>
          <w:tcPr>
            <w:tcW w:type="dxa" w:w="1512"/>
            <w:vAlign w:val="center"/>
            <w:tcMar>
              <w:top w:w="90" w:type="dxa"/>
              <w:start w:w="100" w:type="dxa"/>
              <w:bottom w:w="90" w:type="dxa"/>
              <w:end w:w="100" w:type="dxa"/>
            </w:tcMar>
          </w:tcPr>
          <w:p>
            <w:pPr>
              <w:spacing w:before="40" w:after="40"/>
            </w:pPr>
            <w:r>
              <w:rPr>
                <w:sz w:val="15"/>
              </w:rPr>
              <w:t>Appeal</w:t>
            </w:r>
          </w:p>
        </w:tc>
        <w:tc>
          <w:tcPr>
            <w:tcW w:type="dxa" w:w="3744"/>
            <w:vAlign w:val="center"/>
            <w:tcMar>
              <w:top w:w="90" w:type="dxa"/>
              <w:start w:w="100" w:type="dxa"/>
              <w:bottom w:w="90" w:type="dxa"/>
              <w:end w:w="100" w:type="dxa"/>
            </w:tcMar>
          </w:tcPr>
          <w:p>
            <w:pPr>
              <w:spacing w:before="40" w:after="40"/>
            </w:pPr>
            <w:r>
              <w:rPr>
                <w:sz w:val="15"/>
              </w:rPr>
              <w:t>Citizen files eligible appeal</w:t>
            </w:r>
          </w:p>
        </w:tc>
        <w:tc>
          <w:tcPr>
            <w:tcW w:type="dxa" w:w="4320"/>
            <w:vAlign w:val="center"/>
            <w:tcMar>
              <w:top w:w="90" w:type="dxa"/>
              <w:start w:w="100" w:type="dxa"/>
              <w:bottom w:w="90" w:type="dxa"/>
              <w:end w:w="100" w:type="dxa"/>
            </w:tcMar>
          </w:tcPr>
          <w:p>
            <w:pPr>
              <w:spacing w:before="40" w:after="40"/>
            </w:pPr>
            <w:r>
              <w:rPr>
                <w:sz w:val="15"/>
              </w:rPr>
              <w:t>Linked appeal case created without modifying original decision history.</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E2E-042</w:t>
            </w:r>
          </w:p>
        </w:tc>
        <w:tc>
          <w:tcPr>
            <w:tcW w:type="dxa" w:w="1512"/>
            <w:vAlign w:val="center"/>
            <w:tcMar>
              <w:top w:w="90" w:type="dxa"/>
              <w:start w:w="100" w:type="dxa"/>
              <w:bottom w:w="90" w:type="dxa"/>
              <w:end w:w="100" w:type="dxa"/>
            </w:tcMar>
          </w:tcPr>
          <w:p>
            <w:pPr>
              <w:spacing w:before="40" w:after="40"/>
            </w:pPr>
            <w:r>
              <w:rPr>
                <w:sz w:val="15"/>
              </w:rPr>
              <w:t>Withdrawal</w:t>
            </w:r>
          </w:p>
        </w:tc>
        <w:tc>
          <w:tcPr>
            <w:tcW w:type="dxa" w:w="3744"/>
            <w:vAlign w:val="center"/>
            <w:tcMar>
              <w:top w:w="90" w:type="dxa"/>
              <w:start w:w="100" w:type="dxa"/>
              <w:bottom w:w="90" w:type="dxa"/>
              <w:end w:w="100" w:type="dxa"/>
            </w:tcMar>
          </w:tcPr>
          <w:p>
            <w:pPr>
              <w:spacing w:before="40" w:after="40"/>
            </w:pPr>
            <w:r>
              <w:rPr>
                <w:sz w:val="15"/>
              </w:rPr>
              <w:t>Citizen withdraws where legally allowed</w:t>
            </w:r>
          </w:p>
        </w:tc>
        <w:tc>
          <w:tcPr>
            <w:tcW w:type="dxa" w:w="4320"/>
            <w:vAlign w:val="center"/>
            <w:tcMar>
              <w:top w:w="90" w:type="dxa"/>
              <w:start w:w="100" w:type="dxa"/>
              <w:bottom w:w="90" w:type="dxa"/>
              <w:end w:w="100" w:type="dxa"/>
            </w:tcMar>
          </w:tcPr>
          <w:p>
            <w:pPr>
              <w:spacing w:before="40" w:after="40"/>
            </w:pPr>
            <w:r>
              <w:rPr>
                <w:sz w:val="15"/>
              </w:rPr>
              <w:t>Only allowed from configured states; reason/audit captured.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E2E-043</w:t>
            </w:r>
          </w:p>
        </w:tc>
        <w:tc>
          <w:tcPr>
            <w:tcW w:type="dxa" w:w="1512"/>
            <w:vAlign w:val="center"/>
            <w:tcMar>
              <w:top w:w="90" w:type="dxa"/>
              <w:start w:w="100" w:type="dxa"/>
              <w:bottom w:w="90" w:type="dxa"/>
              <w:end w:w="100" w:type="dxa"/>
            </w:tcMar>
          </w:tcPr>
          <w:p>
            <w:pPr>
              <w:spacing w:before="40" w:after="40"/>
            </w:pPr>
            <w:r>
              <w:rPr>
                <w:sz w:val="15"/>
              </w:rPr>
              <w:t>Versioning</w:t>
            </w:r>
          </w:p>
        </w:tc>
        <w:tc>
          <w:tcPr>
            <w:tcW w:type="dxa" w:w="3744"/>
            <w:vAlign w:val="center"/>
            <w:tcMar>
              <w:top w:w="90" w:type="dxa"/>
              <w:start w:w="100" w:type="dxa"/>
              <w:bottom w:w="90" w:type="dxa"/>
              <w:end w:w="100" w:type="dxa"/>
            </w:tcMar>
          </w:tcPr>
          <w:p>
            <w:pPr>
              <w:spacing w:before="40" w:after="40"/>
            </w:pPr>
            <w:r>
              <w:rPr>
                <w:sz w:val="15"/>
              </w:rPr>
              <w:t>Rule version changes mid-case</w:t>
            </w:r>
          </w:p>
        </w:tc>
        <w:tc>
          <w:tcPr>
            <w:tcW w:type="dxa" w:w="4320"/>
            <w:vAlign w:val="center"/>
            <w:tcMar>
              <w:top w:w="90" w:type="dxa"/>
              <w:start w:w="100" w:type="dxa"/>
              <w:bottom w:w="90" w:type="dxa"/>
              <w:end w:w="100" w:type="dxa"/>
            </w:tcMar>
          </w:tcPr>
          <w:p>
            <w:pPr>
              <w:spacing w:before="40" w:after="40"/>
            </w:pPr>
            <w:r>
              <w:rPr>
                <w:sz w:val="15"/>
              </w:rPr>
              <w:t>Existing application continues pinned version unless approved migration exists.</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E2E-044</w:t>
            </w:r>
          </w:p>
        </w:tc>
        <w:tc>
          <w:tcPr>
            <w:tcW w:type="dxa" w:w="1512"/>
            <w:vAlign w:val="center"/>
            <w:tcMar>
              <w:top w:w="90" w:type="dxa"/>
              <w:start w:w="100" w:type="dxa"/>
              <w:bottom w:w="90" w:type="dxa"/>
              <w:end w:w="100" w:type="dxa"/>
            </w:tcMar>
          </w:tcPr>
          <w:p>
            <w:pPr>
              <w:spacing w:before="40" w:after="40"/>
            </w:pPr>
            <w:r>
              <w:rPr>
                <w:sz w:val="15"/>
              </w:rPr>
              <w:t>Concurrency</w:t>
            </w:r>
          </w:p>
        </w:tc>
        <w:tc>
          <w:tcPr>
            <w:tcW w:type="dxa" w:w="3744"/>
            <w:vAlign w:val="center"/>
            <w:tcMar>
              <w:top w:w="90" w:type="dxa"/>
              <w:start w:w="100" w:type="dxa"/>
              <w:bottom w:w="90" w:type="dxa"/>
              <w:end w:w="100" w:type="dxa"/>
            </w:tcMar>
          </w:tcPr>
          <w:p>
            <w:pPr>
              <w:spacing w:before="40" w:after="40"/>
            </w:pPr>
            <w:r>
              <w:rPr>
                <w:sz w:val="15"/>
              </w:rPr>
              <w:t>Two officers act on same task concurrently</w:t>
            </w:r>
          </w:p>
        </w:tc>
        <w:tc>
          <w:tcPr>
            <w:tcW w:type="dxa" w:w="4320"/>
            <w:vAlign w:val="center"/>
            <w:tcMar>
              <w:top w:w="90" w:type="dxa"/>
              <w:start w:w="100" w:type="dxa"/>
              <w:bottom w:w="90" w:type="dxa"/>
              <w:end w:w="100" w:type="dxa"/>
            </w:tcMar>
          </w:tcPr>
          <w:p>
            <w:pPr>
              <w:spacing w:before="40" w:after="40"/>
            </w:pPr>
            <w:r>
              <w:rPr>
                <w:sz w:val="15"/>
              </w:rPr>
              <w:t>Optimistic version/state guard permits only one valid transition.</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E2E-045</w:t>
            </w:r>
          </w:p>
        </w:tc>
        <w:tc>
          <w:tcPr>
            <w:tcW w:type="dxa" w:w="1512"/>
            <w:vAlign w:val="center"/>
            <w:tcMar>
              <w:top w:w="90" w:type="dxa"/>
              <w:start w:w="100" w:type="dxa"/>
              <w:bottom w:w="90" w:type="dxa"/>
              <w:end w:w="100" w:type="dxa"/>
            </w:tcMar>
          </w:tcPr>
          <w:p>
            <w:pPr>
              <w:spacing w:before="40" w:after="40"/>
            </w:pPr>
            <w:r>
              <w:rPr>
                <w:sz w:val="15"/>
              </w:rPr>
              <w:t>Recovery</w:t>
            </w:r>
          </w:p>
        </w:tc>
        <w:tc>
          <w:tcPr>
            <w:tcW w:type="dxa" w:w="3744"/>
            <w:vAlign w:val="center"/>
            <w:tcMar>
              <w:top w:w="90" w:type="dxa"/>
              <w:start w:w="100" w:type="dxa"/>
              <w:bottom w:w="90" w:type="dxa"/>
              <w:end w:w="100" w:type="dxa"/>
            </w:tcMar>
          </w:tcPr>
          <w:p>
            <w:pPr>
              <w:spacing w:before="40" w:after="40"/>
            </w:pPr>
            <w:r>
              <w:rPr>
                <w:sz w:val="15"/>
              </w:rPr>
              <w:t>API crashes after DB commit before event publish</w:t>
            </w:r>
          </w:p>
        </w:tc>
        <w:tc>
          <w:tcPr>
            <w:tcW w:type="dxa" w:w="4320"/>
            <w:vAlign w:val="center"/>
            <w:tcMar>
              <w:top w:w="90" w:type="dxa"/>
              <w:start w:w="100" w:type="dxa"/>
              <w:bottom w:w="90" w:type="dxa"/>
              <w:end w:w="100" w:type="dxa"/>
            </w:tcMar>
          </w:tcPr>
          <w:p>
            <w:pPr>
              <w:spacing w:before="40" w:after="40"/>
            </w:pPr>
            <w:r>
              <w:rPr>
                <w:sz w:val="15"/>
              </w:rPr>
              <w:t>Outbox publisher later emits event exactly-effectively once.</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E2E-046</w:t>
            </w:r>
          </w:p>
        </w:tc>
        <w:tc>
          <w:tcPr>
            <w:tcW w:type="dxa" w:w="1512"/>
            <w:vAlign w:val="center"/>
            <w:tcMar>
              <w:top w:w="90" w:type="dxa"/>
              <w:start w:w="100" w:type="dxa"/>
              <w:bottom w:w="90" w:type="dxa"/>
              <w:end w:w="100" w:type="dxa"/>
            </w:tcMar>
          </w:tcPr>
          <w:p>
            <w:pPr>
              <w:spacing w:before="40" w:after="40"/>
            </w:pPr>
            <w:r>
              <w:rPr>
                <w:sz w:val="15"/>
              </w:rPr>
              <w:t>Recovery</w:t>
            </w:r>
          </w:p>
        </w:tc>
        <w:tc>
          <w:tcPr>
            <w:tcW w:type="dxa" w:w="3744"/>
            <w:vAlign w:val="center"/>
            <w:tcMar>
              <w:top w:w="90" w:type="dxa"/>
              <w:start w:w="100" w:type="dxa"/>
              <w:bottom w:w="90" w:type="dxa"/>
              <w:end w:w="100" w:type="dxa"/>
            </w:tcMar>
          </w:tcPr>
          <w:p>
            <w:pPr>
              <w:spacing w:before="40" w:after="40"/>
            </w:pPr>
            <w:r>
              <w:rPr>
                <w:sz w:val="15"/>
              </w:rPr>
              <w:t>Kafka/MSK temporarily unavailable</w:t>
            </w:r>
          </w:p>
        </w:tc>
        <w:tc>
          <w:tcPr>
            <w:tcW w:type="dxa" w:w="4320"/>
            <w:vAlign w:val="center"/>
            <w:tcMar>
              <w:top w:w="90" w:type="dxa"/>
              <w:start w:w="100" w:type="dxa"/>
              <w:bottom w:w="90" w:type="dxa"/>
              <w:end w:w="100" w:type="dxa"/>
            </w:tcMar>
          </w:tcPr>
          <w:p>
            <w:pPr>
              <w:spacing w:before="40" w:after="40"/>
            </w:pPr>
            <w:r>
              <w:rPr>
                <w:sz w:val="15"/>
              </w:rPr>
              <w:t>Outbox backlog retained and replayed; no committed application lost.</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E2E-047</w:t>
            </w:r>
          </w:p>
        </w:tc>
        <w:tc>
          <w:tcPr>
            <w:tcW w:type="dxa" w:w="1512"/>
            <w:vAlign w:val="center"/>
            <w:tcMar>
              <w:top w:w="90" w:type="dxa"/>
              <w:start w:w="100" w:type="dxa"/>
              <w:bottom w:w="90" w:type="dxa"/>
              <w:end w:w="100" w:type="dxa"/>
            </w:tcMar>
          </w:tcPr>
          <w:p>
            <w:pPr>
              <w:spacing w:before="40" w:after="40"/>
            </w:pPr>
            <w:r>
              <w:rPr>
                <w:sz w:val="15"/>
              </w:rPr>
              <w:t>Recovery</w:t>
            </w:r>
          </w:p>
        </w:tc>
        <w:tc>
          <w:tcPr>
            <w:tcW w:type="dxa" w:w="3744"/>
            <w:vAlign w:val="center"/>
            <w:tcMar>
              <w:top w:w="90" w:type="dxa"/>
              <w:start w:w="100" w:type="dxa"/>
              <w:bottom w:w="90" w:type="dxa"/>
              <w:end w:w="100" w:type="dxa"/>
            </w:tcMar>
          </w:tcPr>
          <w:p>
            <w:pPr>
              <w:spacing w:before="40" w:after="40"/>
            </w:pPr>
            <w:r>
              <w:rPr>
                <w:sz w:val="15"/>
              </w:rPr>
              <w:t>Search unavailable</w:t>
            </w:r>
          </w:p>
        </w:tc>
        <w:tc>
          <w:tcPr>
            <w:tcW w:type="dxa" w:w="4320"/>
            <w:vAlign w:val="center"/>
            <w:tcMar>
              <w:top w:w="90" w:type="dxa"/>
              <w:start w:w="100" w:type="dxa"/>
              <w:bottom w:w="90" w:type="dxa"/>
              <w:end w:w="100" w:type="dxa"/>
            </w:tcMar>
          </w:tcPr>
          <w:p>
            <w:pPr>
              <w:spacing w:before="40" w:after="40"/>
            </w:pPr>
            <w:r>
              <w:rPr>
                <w:sz w:val="15"/>
              </w:rPr>
              <w:t>Transactional operations continue; search recovers/rebuilds later.</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E2E-048</w:t>
            </w:r>
          </w:p>
        </w:tc>
        <w:tc>
          <w:tcPr>
            <w:tcW w:type="dxa" w:w="1512"/>
            <w:vAlign w:val="center"/>
            <w:tcMar>
              <w:top w:w="90" w:type="dxa"/>
              <w:start w:w="100" w:type="dxa"/>
              <w:bottom w:w="90" w:type="dxa"/>
              <w:end w:w="100" w:type="dxa"/>
            </w:tcMar>
          </w:tcPr>
          <w:p>
            <w:pPr>
              <w:spacing w:before="40" w:after="40"/>
            </w:pPr>
            <w:r>
              <w:rPr>
                <w:sz w:val="15"/>
              </w:rPr>
              <w:t>Recovery</w:t>
            </w:r>
          </w:p>
        </w:tc>
        <w:tc>
          <w:tcPr>
            <w:tcW w:type="dxa" w:w="3744"/>
            <w:vAlign w:val="center"/>
            <w:tcMar>
              <w:top w:w="90" w:type="dxa"/>
              <w:start w:w="100" w:type="dxa"/>
              <w:bottom w:w="90" w:type="dxa"/>
              <w:end w:w="100" w:type="dxa"/>
            </w:tcMar>
          </w:tcPr>
          <w:p>
            <w:pPr>
              <w:spacing w:before="40" w:after="40"/>
            </w:pPr>
            <w:r>
              <w:rPr>
                <w:sz w:val="15"/>
              </w:rPr>
              <w:t>Valkey cache unavailable</w:t>
            </w:r>
          </w:p>
        </w:tc>
        <w:tc>
          <w:tcPr>
            <w:tcW w:type="dxa" w:w="4320"/>
            <w:vAlign w:val="center"/>
            <w:tcMar>
              <w:top w:w="90" w:type="dxa"/>
              <w:start w:w="100" w:type="dxa"/>
              <w:bottom w:w="90" w:type="dxa"/>
              <w:end w:w="100" w:type="dxa"/>
            </w:tcMar>
          </w:tcPr>
          <w:p>
            <w:pPr>
              <w:spacing w:before="40" w:after="40"/>
            </w:pPr>
            <w:r>
              <w:rPr>
                <w:sz w:val="15"/>
              </w:rPr>
              <w:t>Correctness preserved with degraded performance/fallback.</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E2E-049</w:t>
            </w:r>
          </w:p>
        </w:tc>
        <w:tc>
          <w:tcPr>
            <w:tcW w:type="dxa" w:w="1512"/>
            <w:vAlign w:val="center"/>
            <w:tcMar>
              <w:top w:w="90" w:type="dxa"/>
              <w:start w:w="100" w:type="dxa"/>
              <w:bottom w:w="90" w:type="dxa"/>
              <w:end w:w="100" w:type="dxa"/>
            </w:tcMar>
          </w:tcPr>
          <w:p>
            <w:pPr>
              <w:spacing w:before="40" w:after="40"/>
            </w:pPr>
            <w:r>
              <w:rPr>
                <w:sz w:val="15"/>
              </w:rPr>
              <w:t>Audit</w:t>
            </w:r>
          </w:p>
        </w:tc>
        <w:tc>
          <w:tcPr>
            <w:tcW w:type="dxa" w:w="3744"/>
            <w:vAlign w:val="center"/>
            <w:tcMar>
              <w:top w:w="90" w:type="dxa"/>
              <w:start w:w="100" w:type="dxa"/>
              <w:bottom w:w="90" w:type="dxa"/>
              <w:end w:w="100" w:type="dxa"/>
            </w:tcMar>
          </w:tcPr>
          <w:p>
            <w:pPr>
              <w:spacing w:before="40" w:after="40"/>
            </w:pPr>
            <w:r>
              <w:rPr>
                <w:sz w:val="15"/>
              </w:rPr>
              <w:t>Officer views sensitive evidence</w:t>
            </w:r>
          </w:p>
        </w:tc>
        <w:tc>
          <w:tcPr>
            <w:tcW w:type="dxa" w:w="4320"/>
            <w:vAlign w:val="center"/>
            <w:tcMar>
              <w:top w:w="90" w:type="dxa"/>
              <w:start w:w="100" w:type="dxa"/>
              <w:bottom w:w="90" w:type="dxa"/>
              <w:end w:w="100" w:type="dxa"/>
            </w:tcMar>
          </w:tcPr>
          <w:p>
            <w:pPr>
              <w:spacing w:before="40" w:after="40"/>
            </w:pPr>
            <w:r>
              <w:rPr>
                <w:sz w:val="15"/>
              </w:rPr>
              <w:t>Access purpose/actor/resource/tenant/correlation captured.</w:t>
            </w:r>
          </w:p>
        </w:tc>
      </w:tr>
      <w:tr>
        <w:trPr>
          <w:cantSplit w:val="true"/>
        </w:trPr>
        <w:tc>
          <w:tcPr>
            <w:tcW w:type="dxa" w:w="1008"/>
            <w:vAlign w:val="center"/>
            <w:tcMar>
              <w:top w:w="90" w:type="dxa"/>
              <w:start w:w="100" w:type="dxa"/>
              <w:bottom w:w="90" w:type="dxa"/>
              <w:end w:w="100" w:type="dxa"/>
            </w:tcMar>
            <w:shd w:fill="EAF2F8"/>
          </w:tcPr>
          <w:p>
            <w:pPr>
              <w:spacing w:before="40" w:after="40"/>
            </w:pPr>
            <w:r>
              <w:rPr>
                <w:b/>
                <w:sz w:val="15"/>
              </w:rPr>
              <w:t>E2E-050</w:t>
            </w:r>
          </w:p>
        </w:tc>
        <w:tc>
          <w:tcPr>
            <w:tcW w:type="dxa" w:w="1512"/>
            <w:vAlign w:val="center"/>
            <w:tcMar>
              <w:top w:w="90" w:type="dxa"/>
              <w:start w:w="100" w:type="dxa"/>
              <w:bottom w:w="90" w:type="dxa"/>
              <w:end w:w="100" w:type="dxa"/>
            </w:tcMar>
          </w:tcPr>
          <w:p>
            <w:pPr>
              <w:spacing w:before="40" w:after="40"/>
            </w:pPr>
            <w:r>
              <w:rPr>
                <w:sz w:val="15"/>
              </w:rPr>
              <w:t>Localization</w:t>
            </w:r>
          </w:p>
        </w:tc>
        <w:tc>
          <w:tcPr>
            <w:tcW w:type="dxa" w:w="3744"/>
            <w:vAlign w:val="center"/>
            <w:tcMar>
              <w:top w:w="90" w:type="dxa"/>
              <w:start w:w="100" w:type="dxa"/>
              <w:bottom w:w="90" w:type="dxa"/>
              <w:end w:w="100" w:type="dxa"/>
            </w:tcMar>
          </w:tcPr>
          <w:p>
            <w:pPr>
              <w:spacing w:before="40" w:after="40"/>
            </w:pPr>
            <w:r>
              <w:rPr>
                <w:sz w:val="15"/>
              </w:rPr>
              <w:t>Citizen switches language mid-draft</w:t>
            </w:r>
          </w:p>
        </w:tc>
        <w:tc>
          <w:tcPr>
            <w:tcW w:type="dxa" w:w="4320"/>
            <w:vAlign w:val="center"/>
            <w:tcMar>
              <w:top w:w="90" w:type="dxa"/>
              <w:start w:w="100" w:type="dxa"/>
              <w:bottom w:w="90" w:type="dxa"/>
              <w:end w:w="100" w:type="dxa"/>
            </w:tcMar>
          </w:tcPr>
          <w:p>
            <w:pPr>
              <w:spacing w:before="40" w:after="40"/>
            </w:pPr>
            <w:r>
              <w:rPr>
                <w:sz w:val="15"/>
              </w:rPr>
              <w:t>Data remains same; labels/content change by locale.</w:t>
            </w:r>
          </w:p>
        </w:tc>
      </w:tr>
    </w:tbl>
    <w:p>
      <w:pPr>
        <w:pStyle w:val="Heading2"/>
      </w:pPr>
      <w:r>
        <w:t>18.5 Tenant isolation and security test suite</w:t>
      </w:r>
    </w:p>
    <w:tbl>
      <w:tblPr>
        <w:tblW w:type="auto" w:w="0"/>
        <w:tblLayout w:type="autofit"/>
        <w:tblLook w:firstColumn="1" w:firstRow="1" w:lastColumn="0" w:lastRow="0" w:noHBand="0" w:noVBand="1" w:val="04A0"/>
      </w:tblPr>
      <w:tblGrid>
        <w:gridCol w:w="3389"/>
        <w:gridCol w:w="3389"/>
        <w:gridCol w:w="3389"/>
      </w:tblGrid>
      <w:tr>
        <w:trPr>
          <w:tblHeader w:val="true"/>
          <w:cantSplit w:val="true"/>
        </w:trPr>
        <w:tc>
          <w:tcPr>
            <w:tcW w:type="dxa" w:w="1440"/>
            <w:vAlign w:val="center"/>
            <w:tcMar>
              <w:top w:w="90" w:type="dxa"/>
              <w:start w:w="100" w:type="dxa"/>
              <w:bottom w:w="90" w:type="dxa"/>
              <w:end w:w="100" w:type="dxa"/>
            </w:tcMar>
            <w:shd w:fill="1F4E78"/>
          </w:tcPr>
          <w:p>
            <w:pPr>
              <w:spacing w:before="40" w:after="40"/>
            </w:pPr>
            <w:r>
              <w:rPr>
                <w:b/>
                <w:color w:val="FFFFFF"/>
                <w:sz w:val="16"/>
              </w:rPr>
              <w:t>ID</w:t>
            </w:r>
          </w:p>
        </w:tc>
        <w:tc>
          <w:tcPr>
            <w:tcW w:type="dxa" w:w="4608"/>
            <w:vAlign w:val="center"/>
            <w:tcMar>
              <w:top w:w="90" w:type="dxa"/>
              <w:start w:w="100" w:type="dxa"/>
              <w:bottom w:w="90" w:type="dxa"/>
              <w:end w:w="100" w:type="dxa"/>
            </w:tcMar>
            <w:shd w:fill="1F4E78"/>
          </w:tcPr>
          <w:p>
            <w:pPr>
              <w:spacing w:before="40" w:after="40"/>
            </w:pPr>
            <w:r>
              <w:rPr>
                <w:b/>
                <w:color w:val="FFFFFF"/>
                <w:sz w:val="16"/>
              </w:rPr>
              <w:t>Attack / negative test</w:t>
            </w:r>
          </w:p>
        </w:tc>
        <w:tc>
          <w:tcPr>
            <w:tcW w:type="dxa" w:w="4320"/>
            <w:vAlign w:val="center"/>
            <w:tcMar>
              <w:top w:w="90" w:type="dxa"/>
              <w:start w:w="100" w:type="dxa"/>
              <w:bottom w:w="90" w:type="dxa"/>
              <w:end w:w="100" w:type="dxa"/>
            </w:tcMar>
            <w:shd w:fill="1F4E78"/>
          </w:tcPr>
          <w:p>
            <w:pPr>
              <w:spacing w:before="40" w:after="40"/>
            </w:pPr>
            <w:r>
              <w:rPr>
                <w:b/>
                <w:color w:val="FFFFFF"/>
                <w:sz w:val="16"/>
              </w:rPr>
              <w:t>Required result</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SEC-TEN-001</w:t>
            </w:r>
          </w:p>
        </w:tc>
        <w:tc>
          <w:tcPr>
            <w:tcW w:type="dxa" w:w="4608"/>
            <w:vAlign w:val="center"/>
            <w:tcMar>
              <w:top w:w="90" w:type="dxa"/>
              <w:start w:w="100" w:type="dxa"/>
              <w:bottom w:w="90" w:type="dxa"/>
              <w:end w:w="100" w:type="dxa"/>
            </w:tcMar>
          </w:tcPr>
          <w:p>
            <w:pPr>
              <w:spacing w:before="40" w:after="40"/>
            </w:pPr>
            <w:r>
              <w:rPr>
                <w:sz w:val="16"/>
              </w:rPr>
              <w:t>Tenant A officer requests Tenant B application ID</w:t>
            </w:r>
          </w:p>
        </w:tc>
        <w:tc>
          <w:tcPr>
            <w:tcW w:type="dxa" w:w="4320"/>
            <w:vAlign w:val="center"/>
            <w:tcMar>
              <w:top w:w="90" w:type="dxa"/>
              <w:start w:w="100" w:type="dxa"/>
              <w:bottom w:w="90" w:type="dxa"/>
              <w:end w:w="100" w:type="dxa"/>
            </w:tcMar>
          </w:tcPr>
          <w:p>
            <w:pPr>
              <w:spacing w:before="40" w:after="40"/>
            </w:pPr>
            <w:r>
              <w:rPr>
                <w:sz w:val="16"/>
              </w:rPr>
              <w:t>403/404 according to API disclosure policy; zero row/data leakage.</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SEC-TEN-002</w:t>
            </w:r>
          </w:p>
        </w:tc>
        <w:tc>
          <w:tcPr>
            <w:tcW w:type="dxa" w:w="4608"/>
            <w:vAlign w:val="center"/>
            <w:tcMar>
              <w:top w:w="90" w:type="dxa"/>
              <w:start w:w="100" w:type="dxa"/>
              <w:bottom w:w="90" w:type="dxa"/>
              <w:end w:w="100" w:type="dxa"/>
            </w:tcMar>
          </w:tcPr>
          <w:p>
            <w:pPr>
              <w:spacing w:before="40" w:after="40"/>
            </w:pPr>
            <w:r>
              <w:rPr>
                <w:sz w:val="16"/>
              </w:rPr>
              <w:t>Repository accidentally omits tenant predicate</w:t>
            </w:r>
          </w:p>
        </w:tc>
        <w:tc>
          <w:tcPr>
            <w:tcW w:type="dxa" w:w="4320"/>
            <w:vAlign w:val="center"/>
            <w:tcMar>
              <w:top w:w="90" w:type="dxa"/>
              <w:start w:w="100" w:type="dxa"/>
              <w:bottom w:w="90" w:type="dxa"/>
              <w:end w:w="100" w:type="dxa"/>
            </w:tcMar>
          </w:tcPr>
          <w:p>
            <w:pPr>
              <w:spacing w:before="40" w:after="40"/>
            </w:pPr>
            <w:r>
              <w:rPr>
                <w:sz w:val="16"/>
              </w:rPr>
              <w:t>PostgreSQL FORCE RLS still hides Tenant B rows.</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SEC-TEN-003</w:t>
            </w:r>
          </w:p>
        </w:tc>
        <w:tc>
          <w:tcPr>
            <w:tcW w:type="dxa" w:w="4608"/>
            <w:vAlign w:val="center"/>
            <w:tcMar>
              <w:top w:w="90" w:type="dxa"/>
              <w:start w:w="100" w:type="dxa"/>
              <w:bottom w:w="90" w:type="dxa"/>
              <w:end w:w="100" w:type="dxa"/>
            </w:tcMar>
          </w:tcPr>
          <w:p>
            <w:pPr>
              <w:spacing w:before="40" w:after="40"/>
            </w:pPr>
            <w:r>
              <w:rPr>
                <w:sz w:val="16"/>
              </w:rPr>
              <w:t>Client changes X-Tenant-ID/header/body tenant</w:t>
            </w:r>
          </w:p>
        </w:tc>
        <w:tc>
          <w:tcPr>
            <w:tcW w:type="dxa" w:w="4320"/>
            <w:vAlign w:val="center"/>
            <w:tcMar>
              <w:top w:w="90" w:type="dxa"/>
              <w:start w:w="100" w:type="dxa"/>
              <w:bottom w:w="90" w:type="dxa"/>
              <w:end w:w="100" w:type="dxa"/>
            </w:tcMar>
          </w:tcPr>
          <w:p>
            <w:pPr>
              <w:spacing w:before="40" w:after="40"/>
            </w:pPr>
            <w:r>
              <w:rPr>
                <w:sz w:val="16"/>
              </w:rPr>
              <w:t>Ignored/rejected; server-derived tenant remains authoritative.</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SEC-TEN-004</w:t>
            </w:r>
          </w:p>
        </w:tc>
        <w:tc>
          <w:tcPr>
            <w:tcW w:type="dxa" w:w="4608"/>
            <w:vAlign w:val="center"/>
            <w:tcMar>
              <w:top w:w="90" w:type="dxa"/>
              <w:start w:w="100" w:type="dxa"/>
              <w:bottom w:w="90" w:type="dxa"/>
              <w:end w:w="100" w:type="dxa"/>
            </w:tcMar>
          </w:tcPr>
          <w:p>
            <w:pPr>
              <w:spacing w:before="40" w:after="40"/>
            </w:pPr>
            <w:r>
              <w:rPr>
                <w:sz w:val="16"/>
              </w:rPr>
              <w:t>Officer has tenant but wrong jurisdiction</w:t>
            </w:r>
          </w:p>
        </w:tc>
        <w:tc>
          <w:tcPr>
            <w:tcW w:type="dxa" w:w="4320"/>
            <w:vAlign w:val="center"/>
            <w:tcMar>
              <w:top w:w="90" w:type="dxa"/>
              <w:start w:w="100" w:type="dxa"/>
              <w:bottom w:w="90" w:type="dxa"/>
              <w:end w:w="100" w:type="dxa"/>
            </w:tcMar>
          </w:tcPr>
          <w:p>
            <w:pPr>
              <w:spacing w:before="40" w:after="40"/>
            </w:pPr>
            <w:r>
              <w:rPr>
                <w:sz w:val="16"/>
              </w:rPr>
              <w:t>OPA/domain authorization denies access/action.</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SEC-TEN-005</w:t>
            </w:r>
          </w:p>
        </w:tc>
        <w:tc>
          <w:tcPr>
            <w:tcW w:type="dxa" w:w="4608"/>
            <w:vAlign w:val="center"/>
            <w:tcMar>
              <w:top w:w="90" w:type="dxa"/>
              <w:start w:w="100" w:type="dxa"/>
              <w:bottom w:w="90" w:type="dxa"/>
              <w:end w:w="100" w:type="dxa"/>
            </w:tcMar>
          </w:tcPr>
          <w:p>
            <w:pPr>
              <w:spacing w:before="40" w:after="40"/>
            </w:pPr>
            <w:r>
              <w:rPr>
                <w:sz w:val="16"/>
              </w:rPr>
              <w:t>Officer has jurisdiction but wrong service role</w:t>
            </w:r>
          </w:p>
        </w:tc>
        <w:tc>
          <w:tcPr>
            <w:tcW w:type="dxa" w:w="4320"/>
            <w:vAlign w:val="center"/>
            <w:tcMar>
              <w:top w:w="90" w:type="dxa"/>
              <w:start w:w="100" w:type="dxa"/>
              <w:bottom w:w="90" w:type="dxa"/>
              <w:end w:w="100" w:type="dxa"/>
            </w:tcMar>
          </w:tcPr>
          <w:p>
            <w:pPr>
              <w:spacing w:before="40" w:after="40"/>
            </w:pPr>
            <w:r>
              <w:rPr>
                <w:sz w:val="16"/>
              </w:rPr>
              <w:t>Action denied.</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SEC-TEN-006</w:t>
            </w:r>
          </w:p>
        </w:tc>
        <w:tc>
          <w:tcPr>
            <w:tcW w:type="dxa" w:w="4608"/>
            <w:vAlign w:val="center"/>
            <w:tcMar>
              <w:top w:w="90" w:type="dxa"/>
              <w:start w:w="100" w:type="dxa"/>
              <w:bottom w:w="90" w:type="dxa"/>
              <w:end w:w="100" w:type="dxa"/>
            </w:tcMar>
          </w:tcPr>
          <w:p>
            <w:pPr>
              <w:spacing w:before="40" w:after="40"/>
            </w:pPr>
            <w:r>
              <w:rPr>
                <w:sz w:val="16"/>
              </w:rPr>
              <w:t>Background job starts without tenant context</w:t>
            </w:r>
          </w:p>
        </w:tc>
        <w:tc>
          <w:tcPr>
            <w:tcW w:type="dxa" w:w="4320"/>
            <w:vAlign w:val="center"/>
            <w:tcMar>
              <w:top w:w="90" w:type="dxa"/>
              <w:start w:w="100" w:type="dxa"/>
              <w:bottom w:w="90" w:type="dxa"/>
              <w:end w:w="100" w:type="dxa"/>
            </w:tcMar>
          </w:tcPr>
          <w:p>
            <w:pPr>
              <w:spacing w:before="40" w:after="40"/>
            </w:pPr>
            <w:r>
              <w:rPr>
                <w:sz w:val="16"/>
              </w:rPr>
              <w:t>Fail closed; job not allowed to query tenant-scoped repositories.</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SEC-TEN-007</w:t>
            </w:r>
          </w:p>
        </w:tc>
        <w:tc>
          <w:tcPr>
            <w:tcW w:type="dxa" w:w="4608"/>
            <w:vAlign w:val="center"/>
            <w:tcMar>
              <w:top w:w="90" w:type="dxa"/>
              <w:start w:w="100" w:type="dxa"/>
              <w:bottom w:w="90" w:type="dxa"/>
              <w:end w:w="100" w:type="dxa"/>
            </w:tcMar>
          </w:tcPr>
          <w:p>
            <w:pPr>
              <w:spacing w:before="40" w:after="40"/>
            </w:pPr>
            <w:r>
              <w:rPr>
                <w:sz w:val="16"/>
              </w:rPr>
              <w:t>Cross-tenant cache key collision attempt</w:t>
            </w:r>
          </w:p>
        </w:tc>
        <w:tc>
          <w:tcPr>
            <w:tcW w:type="dxa" w:w="4320"/>
            <w:vAlign w:val="center"/>
            <w:tcMar>
              <w:top w:w="90" w:type="dxa"/>
              <w:start w:w="100" w:type="dxa"/>
              <w:bottom w:w="90" w:type="dxa"/>
              <w:end w:w="100" w:type="dxa"/>
            </w:tcMar>
          </w:tcPr>
          <w:p>
            <w:pPr>
              <w:spacing w:before="40" w:after="40"/>
            </w:pPr>
            <w:r>
              <w:rPr>
                <w:sz w:val="16"/>
              </w:rPr>
              <w:t>Tenant namespace prevents collision/read.</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SEC-TEN-008</w:t>
            </w:r>
          </w:p>
        </w:tc>
        <w:tc>
          <w:tcPr>
            <w:tcW w:type="dxa" w:w="4608"/>
            <w:vAlign w:val="center"/>
            <w:tcMar>
              <w:top w:w="90" w:type="dxa"/>
              <w:start w:w="100" w:type="dxa"/>
              <w:bottom w:w="90" w:type="dxa"/>
              <w:end w:w="100" w:type="dxa"/>
            </w:tcMar>
          </w:tcPr>
          <w:p>
            <w:pPr>
              <w:spacing w:before="40" w:after="40"/>
            </w:pPr>
            <w:r>
              <w:rPr>
                <w:sz w:val="16"/>
              </w:rPr>
              <w:t>Cross-tenant OpenSearch filter tampering</w:t>
            </w:r>
          </w:p>
        </w:tc>
        <w:tc>
          <w:tcPr>
            <w:tcW w:type="dxa" w:w="4320"/>
            <w:vAlign w:val="center"/>
            <w:tcMar>
              <w:top w:w="90" w:type="dxa"/>
              <w:start w:w="100" w:type="dxa"/>
              <w:bottom w:w="90" w:type="dxa"/>
              <w:end w:w="100" w:type="dxa"/>
            </w:tcMar>
          </w:tcPr>
          <w:p>
            <w:pPr>
              <w:spacing w:before="40" w:after="40"/>
            </w:pPr>
            <w:r>
              <w:rPr>
                <w:sz w:val="16"/>
              </w:rPr>
              <w:t>Server injects tenant/jurisdiction filters; foreign hits never returned.</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SEC-TEN-009</w:t>
            </w:r>
          </w:p>
        </w:tc>
        <w:tc>
          <w:tcPr>
            <w:tcW w:type="dxa" w:w="4608"/>
            <w:vAlign w:val="center"/>
            <w:tcMar>
              <w:top w:w="90" w:type="dxa"/>
              <w:start w:w="100" w:type="dxa"/>
              <w:bottom w:w="90" w:type="dxa"/>
              <w:end w:w="100" w:type="dxa"/>
            </w:tcMar>
          </w:tcPr>
          <w:p>
            <w:pPr>
              <w:spacing w:before="40" w:after="40"/>
            </w:pPr>
            <w:r>
              <w:rPr>
                <w:sz w:val="16"/>
              </w:rPr>
              <w:t>Cross-tenant S3 object key guessed</w:t>
            </w:r>
          </w:p>
        </w:tc>
        <w:tc>
          <w:tcPr>
            <w:tcW w:type="dxa" w:w="4320"/>
            <w:vAlign w:val="center"/>
            <w:tcMar>
              <w:top w:w="90" w:type="dxa"/>
              <w:start w:w="100" w:type="dxa"/>
              <w:bottom w:w="90" w:type="dxa"/>
              <w:end w:w="100" w:type="dxa"/>
            </w:tcMar>
          </w:tcPr>
          <w:p>
            <w:pPr>
              <w:spacing w:before="40" w:after="40"/>
            </w:pPr>
            <w:r>
              <w:rPr>
                <w:sz w:val="16"/>
              </w:rPr>
              <w:t>No direct access; presigned URL issued only after authorization.</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SEC-TEN-010</w:t>
            </w:r>
          </w:p>
        </w:tc>
        <w:tc>
          <w:tcPr>
            <w:tcW w:type="dxa" w:w="4608"/>
            <w:vAlign w:val="center"/>
            <w:tcMar>
              <w:top w:w="90" w:type="dxa"/>
              <w:start w:w="100" w:type="dxa"/>
              <w:bottom w:w="90" w:type="dxa"/>
              <w:end w:w="100" w:type="dxa"/>
            </w:tcMar>
          </w:tcPr>
          <w:p>
            <w:pPr>
              <w:spacing w:before="40" w:after="40"/>
            </w:pPr>
            <w:r>
              <w:rPr>
                <w:sz w:val="16"/>
              </w:rPr>
              <w:t>Cross-tenant event consumed by wrong worker context</w:t>
            </w:r>
          </w:p>
        </w:tc>
        <w:tc>
          <w:tcPr>
            <w:tcW w:type="dxa" w:w="4320"/>
            <w:vAlign w:val="center"/>
            <w:tcMar>
              <w:top w:w="90" w:type="dxa"/>
              <w:start w:w="100" w:type="dxa"/>
              <w:bottom w:w="90" w:type="dxa"/>
              <w:end w:w="100" w:type="dxa"/>
            </w:tcMar>
          </w:tcPr>
          <w:p>
            <w:pPr>
              <w:spacing w:before="40" w:after="40"/>
            </w:pPr>
            <w:r>
              <w:rPr>
                <w:sz w:val="16"/>
              </w:rPr>
              <w:t>Consumer validates tenant/cell/aggregate ownership and rejects mismatch.</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SEC-TEN-011</w:t>
            </w:r>
          </w:p>
        </w:tc>
        <w:tc>
          <w:tcPr>
            <w:tcW w:type="dxa" w:w="4608"/>
            <w:vAlign w:val="center"/>
            <w:tcMar>
              <w:top w:w="90" w:type="dxa"/>
              <w:start w:w="100" w:type="dxa"/>
              <w:bottom w:w="90" w:type="dxa"/>
              <w:end w:w="100" w:type="dxa"/>
            </w:tcMar>
          </w:tcPr>
          <w:p>
            <w:pPr>
              <w:spacing w:before="40" w:after="40"/>
            </w:pPr>
            <w:r>
              <w:rPr>
                <w:sz w:val="16"/>
              </w:rPr>
              <w:t>Support/admin attempts unrestricted tenant browse</w:t>
            </w:r>
          </w:p>
        </w:tc>
        <w:tc>
          <w:tcPr>
            <w:tcW w:type="dxa" w:w="4320"/>
            <w:vAlign w:val="center"/>
            <w:tcMar>
              <w:top w:w="90" w:type="dxa"/>
              <w:start w:w="100" w:type="dxa"/>
              <w:bottom w:w="90" w:type="dxa"/>
              <w:end w:w="100" w:type="dxa"/>
            </w:tcMar>
          </w:tcPr>
          <w:p>
            <w:pPr>
              <w:spacing w:before="40" w:after="40"/>
            </w:pPr>
            <w:r>
              <w:rPr>
                <w:sz w:val="16"/>
              </w:rPr>
              <w:t>Denied unless explicit privileged/break-glass workflow is active and audited.</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SEC-TEN-012</w:t>
            </w:r>
          </w:p>
        </w:tc>
        <w:tc>
          <w:tcPr>
            <w:tcW w:type="dxa" w:w="4608"/>
            <w:vAlign w:val="center"/>
            <w:tcMar>
              <w:top w:w="90" w:type="dxa"/>
              <w:start w:w="100" w:type="dxa"/>
              <w:bottom w:w="90" w:type="dxa"/>
              <w:end w:w="100" w:type="dxa"/>
            </w:tcMar>
          </w:tcPr>
          <w:p>
            <w:pPr>
              <w:spacing w:before="40" w:after="40"/>
            </w:pPr>
            <w:r>
              <w:rPr>
                <w:sz w:val="16"/>
              </w:rPr>
              <w:t>Dedicated tenant moved between cells</w:t>
            </w:r>
          </w:p>
        </w:tc>
        <w:tc>
          <w:tcPr>
            <w:tcW w:type="dxa" w:w="4320"/>
            <w:vAlign w:val="center"/>
            <w:tcMar>
              <w:top w:w="90" w:type="dxa"/>
              <w:start w:w="100" w:type="dxa"/>
              <w:bottom w:w="90" w:type="dxa"/>
              <w:end w:w="100" w:type="dxa"/>
            </w:tcMar>
          </w:tcPr>
          <w:p>
            <w:pPr>
              <w:spacing w:before="40" w:after="40"/>
            </w:pPr>
            <w:r>
              <w:rPr>
                <w:sz w:val="16"/>
              </w:rPr>
              <w:t>Isolation preserved; migration validation confirms no foreign rows/objects/events.</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SEC-AUTH-001</w:t>
            </w:r>
          </w:p>
        </w:tc>
        <w:tc>
          <w:tcPr>
            <w:tcW w:type="dxa" w:w="4608"/>
            <w:vAlign w:val="center"/>
            <w:tcMar>
              <w:top w:w="90" w:type="dxa"/>
              <w:start w:w="100" w:type="dxa"/>
              <w:bottom w:w="90" w:type="dxa"/>
              <w:end w:w="100" w:type="dxa"/>
            </w:tcMar>
          </w:tcPr>
          <w:p>
            <w:pPr>
              <w:spacing w:before="40" w:after="40"/>
            </w:pPr>
            <w:r>
              <w:rPr>
                <w:sz w:val="16"/>
              </w:rPr>
              <w:t>Expired/forged officer JWT</w:t>
            </w:r>
          </w:p>
        </w:tc>
        <w:tc>
          <w:tcPr>
            <w:tcW w:type="dxa" w:w="4320"/>
            <w:vAlign w:val="center"/>
            <w:tcMar>
              <w:top w:w="90" w:type="dxa"/>
              <w:start w:w="100" w:type="dxa"/>
              <w:bottom w:w="90" w:type="dxa"/>
              <w:end w:w="100" w:type="dxa"/>
            </w:tcMar>
          </w:tcPr>
          <w:p>
            <w:pPr>
              <w:spacing w:before="40" w:after="40"/>
            </w:pPr>
            <w:r>
              <w:rPr>
                <w:sz w:val="16"/>
              </w:rPr>
              <w:t>Rejected before tenant resolution.</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SEC-AUTH-002</w:t>
            </w:r>
          </w:p>
        </w:tc>
        <w:tc>
          <w:tcPr>
            <w:tcW w:type="dxa" w:w="4608"/>
            <w:vAlign w:val="center"/>
            <w:tcMar>
              <w:top w:w="90" w:type="dxa"/>
              <w:start w:w="100" w:type="dxa"/>
              <w:bottom w:w="90" w:type="dxa"/>
              <w:end w:w="100" w:type="dxa"/>
            </w:tcMar>
          </w:tcPr>
          <w:p>
            <w:pPr>
              <w:spacing w:before="40" w:after="40"/>
            </w:pPr>
            <w:r>
              <w:rPr>
                <w:sz w:val="16"/>
              </w:rPr>
              <w:t>Citizen tries officer API</w:t>
            </w:r>
          </w:p>
        </w:tc>
        <w:tc>
          <w:tcPr>
            <w:tcW w:type="dxa" w:w="4320"/>
            <w:vAlign w:val="center"/>
            <w:tcMar>
              <w:top w:w="90" w:type="dxa"/>
              <w:start w:w="100" w:type="dxa"/>
              <w:bottom w:w="90" w:type="dxa"/>
              <w:end w:w="100" w:type="dxa"/>
            </w:tcMar>
          </w:tcPr>
          <w:p>
            <w:pPr>
              <w:spacing w:before="40" w:after="40"/>
            </w:pPr>
            <w:r>
              <w:rPr>
                <w:sz w:val="16"/>
              </w:rPr>
              <w:t>Denied by identity/audience/authorization policy.</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SEC-IDOR-001</w:t>
            </w:r>
          </w:p>
        </w:tc>
        <w:tc>
          <w:tcPr>
            <w:tcW w:type="dxa" w:w="4608"/>
            <w:vAlign w:val="center"/>
            <w:tcMar>
              <w:top w:w="90" w:type="dxa"/>
              <w:start w:w="100" w:type="dxa"/>
              <w:bottom w:w="90" w:type="dxa"/>
              <w:end w:w="100" w:type="dxa"/>
            </w:tcMar>
          </w:tcPr>
          <w:p>
            <w:pPr>
              <w:spacing w:before="40" w:after="40"/>
            </w:pPr>
            <w:r>
              <w:rPr>
                <w:sz w:val="16"/>
              </w:rPr>
              <w:t>Citizen changes application_id to another citizen record</w:t>
            </w:r>
          </w:p>
        </w:tc>
        <w:tc>
          <w:tcPr>
            <w:tcW w:type="dxa" w:w="4320"/>
            <w:vAlign w:val="center"/>
            <w:tcMar>
              <w:top w:w="90" w:type="dxa"/>
              <w:start w:w="100" w:type="dxa"/>
              <w:bottom w:w="90" w:type="dxa"/>
              <w:end w:w="100" w:type="dxa"/>
            </w:tcMar>
          </w:tcPr>
          <w:p>
            <w:pPr>
              <w:spacing w:before="40" w:after="40"/>
            </w:pPr>
            <w:r>
              <w:rPr>
                <w:sz w:val="16"/>
              </w:rPr>
              <w:t>Ownership/authorized-relation check denies access.</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SEC-LOG-001</w:t>
            </w:r>
          </w:p>
        </w:tc>
        <w:tc>
          <w:tcPr>
            <w:tcW w:type="dxa" w:w="4608"/>
            <w:vAlign w:val="center"/>
            <w:tcMar>
              <w:top w:w="90" w:type="dxa"/>
              <w:start w:w="100" w:type="dxa"/>
              <w:bottom w:w="90" w:type="dxa"/>
              <w:end w:w="100" w:type="dxa"/>
            </w:tcMar>
          </w:tcPr>
          <w:p>
            <w:pPr>
              <w:spacing w:before="40" w:after="40"/>
            </w:pPr>
            <w:r>
              <w:rPr>
                <w:sz w:val="16"/>
              </w:rPr>
              <w:t>Sensitive input causes exception</w:t>
            </w:r>
          </w:p>
        </w:tc>
        <w:tc>
          <w:tcPr>
            <w:tcW w:type="dxa" w:w="4320"/>
            <w:vAlign w:val="center"/>
            <w:tcMar>
              <w:top w:w="90" w:type="dxa"/>
              <w:start w:w="100" w:type="dxa"/>
              <w:bottom w:w="90" w:type="dxa"/>
              <w:end w:w="100" w:type="dxa"/>
            </w:tcMar>
          </w:tcPr>
          <w:p>
            <w:pPr>
              <w:spacing w:before="40" w:after="40"/>
            </w:pPr>
            <w:r>
              <w:rPr>
                <w:sz w:val="16"/>
              </w:rPr>
              <w:t>No PII/evidence/token appears in logs.</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SEC-API-001</w:t>
            </w:r>
          </w:p>
        </w:tc>
        <w:tc>
          <w:tcPr>
            <w:tcW w:type="dxa" w:w="4608"/>
            <w:vAlign w:val="center"/>
            <w:tcMar>
              <w:top w:w="90" w:type="dxa"/>
              <w:start w:w="100" w:type="dxa"/>
              <w:bottom w:w="90" w:type="dxa"/>
              <w:end w:w="100" w:type="dxa"/>
            </w:tcMar>
          </w:tcPr>
          <w:p>
            <w:pPr>
              <w:spacing w:before="40" w:after="40"/>
            </w:pPr>
            <w:r>
              <w:rPr>
                <w:sz w:val="16"/>
              </w:rPr>
              <w:t>Mass assignment of protected fields</w:t>
            </w:r>
          </w:p>
        </w:tc>
        <w:tc>
          <w:tcPr>
            <w:tcW w:type="dxa" w:w="4320"/>
            <w:vAlign w:val="center"/>
            <w:tcMar>
              <w:top w:w="90" w:type="dxa"/>
              <w:start w:w="100" w:type="dxa"/>
              <w:bottom w:w="90" w:type="dxa"/>
              <w:end w:w="100" w:type="dxa"/>
            </w:tcMar>
          </w:tcPr>
          <w:p>
            <w:pPr>
              <w:spacing w:before="40" w:after="40"/>
            </w:pPr>
            <w:r>
              <w:rPr>
                <w:sz w:val="16"/>
              </w:rPr>
              <w:t>Server ignores/rejects non-contract fields.</w:t>
            </w:r>
          </w:p>
        </w:tc>
      </w:tr>
      <w:tr>
        <w:trPr>
          <w:cantSplit w:val="true"/>
        </w:trPr>
        <w:tc>
          <w:tcPr>
            <w:tcW w:type="dxa" w:w="1440"/>
            <w:vAlign w:val="center"/>
            <w:tcMar>
              <w:top w:w="90" w:type="dxa"/>
              <w:start w:w="100" w:type="dxa"/>
              <w:bottom w:w="90" w:type="dxa"/>
              <w:end w:w="100" w:type="dxa"/>
            </w:tcMar>
            <w:shd w:fill="EAF2F8"/>
          </w:tcPr>
          <w:p>
            <w:pPr>
              <w:spacing w:before="40" w:after="40"/>
            </w:pPr>
            <w:r>
              <w:rPr>
                <w:b/>
                <w:sz w:val="16"/>
              </w:rPr>
              <w:t>SEC-AI-001</w:t>
            </w:r>
          </w:p>
        </w:tc>
        <w:tc>
          <w:tcPr>
            <w:tcW w:type="dxa" w:w="4608"/>
            <w:vAlign w:val="center"/>
            <w:tcMar>
              <w:top w:w="90" w:type="dxa"/>
              <w:start w:w="100" w:type="dxa"/>
              <w:bottom w:w="90" w:type="dxa"/>
              <w:end w:w="100" w:type="dxa"/>
            </w:tcMar>
          </w:tcPr>
          <w:p>
            <w:pPr>
              <w:spacing w:before="40" w:after="40"/>
            </w:pPr>
            <w:r>
              <w:rPr>
                <w:sz w:val="16"/>
              </w:rPr>
              <w:t>Prompt injection in uploaded evidence</w:t>
            </w:r>
          </w:p>
        </w:tc>
        <w:tc>
          <w:tcPr>
            <w:tcW w:type="dxa" w:w="4320"/>
            <w:vAlign w:val="center"/>
            <w:tcMar>
              <w:top w:w="90" w:type="dxa"/>
              <w:start w:w="100" w:type="dxa"/>
              <w:bottom w:w="90" w:type="dxa"/>
              <w:end w:w="100" w:type="dxa"/>
            </w:tcMar>
          </w:tcPr>
          <w:p>
            <w:pPr>
              <w:spacing w:before="40" w:after="40"/>
            </w:pPr>
            <w:r>
              <w:rPr>
                <w:sz w:val="16"/>
              </w:rPr>
              <w:t>AI output cannot bypass authorization/rules/workflow; content treated as untrusted.</w:t>
            </w:r>
          </w:p>
        </w:tc>
      </w:tr>
    </w:tbl>
    <w:p>
      <w:pPr>
        <w:jc w:val="center"/>
      </w:pPr>
      <w:r>
        <w:drawing>
          <wp:inline xmlns:a="http://schemas.openxmlformats.org/drawingml/2006/main" xmlns:pic="http://schemas.openxmlformats.org/drawingml/2006/picture">
            <wp:extent cx="3108960" cy="4327337"/>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108960" cy="4327337"/>
                    </a:xfrm>
                    <a:prstGeom prst="rect"/>
                  </pic:spPr>
                </pic:pic>
              </a:graphicData>
            </a:graphic>
          </wp:inline>
        </w:drawing>
      </w:r>
    </w:p>
    <w:p>
      <w:pPr>
        <w:jc w:val="center"/>
      </w:pPr>
      <w:r>
        <w:rPr>
          <w:i/>
          <w:color w:val="5A5A5A"/>
          <w:sz w:val="17"/>
        </w:rPr>
        <w:t>Figure 18-2. Required verification layers. Higher layers do not replace lower layers.</w:t>
      </w:r>
    </w:p>
    <w:p>
      <w:pPr>
        <w:pStyle w:val="Heading2"/>
      </w:pPr>
      <w:r>
        <w:t>18.6 Failure, retry and idempotency contract</w:t>
      </w:r>
    </w:p>
    <w:tbl>
      <w:tblPr>
        <w:tblW w:type="auto" w:w="0"/>
        <w:tblLayout w:type="autofit"/>
        <w:tblLook w:firstColumn="1" w:firstRow="1" w:lastColumn="0" w:lastRow="0" w:noHBand="0" w:noVBand="1" w:val="04A0"/>
      </w:tblPr>
      <w:tblGrid>
        <w:gridCol w:w="3389"/>
        <w:gridCol w:w="3389"/>
        <w:gridCol w:w="3389"/>
      </w:tblGrid>
      <w:tr>
        <w:trPr>
          <w:tblHeader w:val="true"/>
          <w:cantSplit w:val="true"/>
        </w:trPr>
        <w:tc>
          <w:tcPr>
            <w:tcW w:type="dxa" w:w="2304"/>
            <w:vAlign w:val="center"/>
            <w:tcMar>
              <w:top w:w="90" w:type="dxa"/>
              <w:start w:w="100" w:type="dxa"/>
              <w:bottom w:w="90" w:type="dxa"/>
              <w:end w:w="100" w:type="dxa"/>
            </w:tcMar>
            <w:shd w:fill="1F4E78"/>
          </w:tcPr>
          <w:p>
            <w:pPr>
              <w:spacing w:before="40" w:after="40"/>
            </w:pPr>
            <w:r>
              <w:rPr>
                <w:b/>
                <w:color w:val="FFFFFF"/>
                <w:sz w:val="16"/>
              </w:rPr>
              <w:t>Failure</w:t>
            </w:r>
          </w:p>
        </w:tc>
        <w:tc>
          <w:tcPr>
            <w:tcW w:type="dxa" w:w="4464"/>
            <w:vAlign w:val="center"/>
            <w:tcMar>
              <w:top w:w="90" w:type="dxa"/>
              <w:start w:w="100" w:type="dxa"/>
              <w:bottom w:w="90" w:type="dxa"/>
              <w:end w:w="100" w:type="dxa"/>
            </w:tcMar>
            <w:shd w:fill="1F4E78"/>
          </w:tcPr>
          <w:p>
            <w:pPr>
              <w:spacing w:before="40" w:after="40"/>
            </w:pPr>
            <w:r>
              <w:rPr>
                <w:b/>
                <w:color w:val="FFFFFF"/>
                <w:sz w:val="16"/>
              </w:rPr>
              <w:t>Required behavior</w:t>
            </w:r>
          </w:p>
        </w:tc>
        <w:tc>
          <w:tcPr>
            <w:tcW w:type="dxa" w:w="3600"/>
            <w:vAlign w:val="center"/>
            <w:tcMar>
              <w:top w:w="90" w:type="dxa"/>
              <w:start w:w="100" w:type="dxa"/>
              <w:bottom w:w="90" w:type="dxa"/>
              <w:end w:w="100" w:type="dxa"/>
            </w:tcMar>
            <w:shd w:fill="1F4E78"/>
          </w:tcPr>
          <w:p>
            <w:pPr>
              <w:spacing w:before="40" w:after="40"/>
            </w:pPr>
            <w:r>
              <w:rPr>
                <w:b/>
                <w:color w:val="FFFFFF"/>
                <w:sz w:val="16"/>
              </w:rPr>
              <w:t>Engineering mechanism</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PostgreSQL transient failure</w:t>
            </w:r>
          </w:p>
        </w:tc>
        <w:tc>
          <w:tcPr>
            <w:tcW w:type="dxa" w:w="4464"/>
            <w:vAlign w:val="center"/>
            <w:tcMar>
              <w:top w:w="90" w:type="dxa"/>
              <w:start w:w="100" w:type="dxa"/>
              <w:bottom w:w="90" w:type="dxa"/>
              <w:end w:w="100" w:type="dxa"/>
            </w:tcMar>
          </w:tcPr>
          <w:p>
            <w:pPr>
              <w:spacing w:before="40" w:after="40"/>
            </w:pPr>
            <w:r>
              <w:rPr>
                <w:sz w:val="16"/>
              </w:rPr>
              <w:t>Retry only safe reads or explicitly retryable transactions; no blind duplicate writes.</w:t>
            </w:r>
          </w:p>
        </w:tc>
        <w:tc>
          <w:tcPr>
            <w:tcW w:type="dxa" w:w="3600"/>
            <w:vAlign w:val="center"/>
            <w:tcMar>
              <w:top w:w="90" w:type="dxa"/>
              <w:start w:w="100" w:type="dxa"/>
              <w:bottom w:w="90" w:type="dxa"/>
              <w:end w:w="100" w:type="dxa"/>
            </w:tcMar>
          </w:tcPr>
          <w:p>
            <w:pPr>
              <w:spacing w:before="40" w:after="40"/>
            </w:pPr>
            <w:r>
              <w:rPr>
                <w:sz w:val="16"/>
              </w:rPr>
              <w:t>Transaction boundaries + idempotency key.</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API instance dies after commit</w:t>
            </w:r>
          </w:p>
        </w:tc>
        <w:tc>
          <w:tcPr>
            <w:tcW w:type="dxa" w:w="4464"/>
            <w:vAlign w:val="center"/>
            <w:tcMar>
              <w:top w:w="90" w:type="dxa"/>
              <w:start w:w="100" w:type="dxa"/>
              <w:bottom w:w="90" w:type="dxa"/>
              <w:end w:w="100" w:type="dxa"/>
            </w:tcMar>
          </w:tcPr>
          <w:p>
            <w:pPr>
              <w:spacing w:before="40" w:after="40"/>
            </w:pPr>
            <w:r>
              <w:rPr>
                <w:sz w:val="16"/>
              </w:rPr>
              <w:t>Client retry returns same result.</w:t>
            </w:r>
          </w:p>
        </w:tc>
        <w:tc>
          <w:tcPr>
            <w:tcW w:type="dxa" w:w="3600"/>
            <w:vAlign w:val="center"/>
            <w:tcMar>
              <w:top w:w="90" w:type="dxa"/>
              <w:start w:w="100" w:type="dxa"/>
              <w:bottom w:w="90" w:type="dxa"/>
              <w:end w:w="100" w:type="dxa"/>
            </w:tcMar>
          </w:tcPr>
          <w:p>
            <w:pPr>
              <w:spacing w:before="40" w:after="40"/>
            </w:pPr>
            <w:r>
              <w:rPr>
                <w:sz w:val="16"/>
              </w:rPr>
              <w:t>Transactional outbox + idempotency store/table.</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MSK unavailable</w:t>
            </w:r>
          </w:p>
        </w:tc>
        <w:tc>
          <w:tcPr>
            <w:tcW w:type="dxa" w:w="4464"/>
            <w:vAlign w:val="center"/>
            <w:tcMar>
              <w:top w:w="90" w:type="dxa"/>
              <w:start w:w="100" w:type="dxa"/>
              <w:bottom w:w="90" w:type="dxa"/>
              <w:end w:w="100" w:type="dxa"/>
            </w:tcMar>
          </w:tcPr>
          <w:p>
            <w:pPr>
              <w:spacing w:before="40" w:after="40"/>
            </w:pPr>
            <w:r>
              <w:rPr>
                <w:sz w:val="16"/>
              </w:rPr>
              <w:t>Keep outbox rows pending; resume publishing after recovery.</w:t>
            </w:r>
          </w:p>
        </w:tc>
        <w:tc>
          <w:tcPr>
            <w:tcW w:type="dxa" w:w="3600"/>
            <w:vAlign w:val="center"/>
            <w:tcMar>
              <w:top w:w="90" w:type="dxa"/>
              <w:start w:w="100" w:type="dxa"/>
              <w:bottom w:w="90" w:type="dxa"/>
              <w:end w:w="100" w:type="dxa"/>
            </w:tcMar>
          </w:tcPr>
          <w:p>
            <w:pPr>
              <w:spacing w:before="40" w:after="40"/>
            </w:pPr>
            <w:r>
              <w:rPr>
                <w:sz w:val="16"/>
              </w:rPr>
              <w:t>No committed state depends on immediate broker availability.</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Temporal worker dies</w:t>
            </w:r>
          </w:p>
        </w:tc>
        <w:tc>
          <w:tcPr>
            <w:tcW w:type="dxa" w:w="4464"/>
            <w:vAlign w:val="center"/>
            <w:tcMar>
              <w:top w:w="90" w:type="dxa"/>
              <w:start w:w="100" w:type="dxa"/>
              <w:bottom w:w="90" w:type="dxa"/>
              <w:end w:w="100" w:type="dxa"/>
            </w:tcMar>
          </w:tcPr>
          <w:p>
            <w:pPr>
              <w:spacing w:before="40" w:after="40"/>
            </w:pPr>
            <w:r>
              <w:rPr>
                <w:sz w:val="16"/>
              </w:rPr>
              <w:t>Workflow resumes on another worker.</w:t>
            </w:r>
          </w:p>
        </w:tc>
        <w:tc>
          <w:tcPr>
            <w:tcW w:type="dxa" w:w="3600"/>
            <w:vAlign w:val="center"/>
            <w:tcMar>
              <w:top w:w="90" w:type="dxa"/>
              <w:start w:w="100" w:type="dxa"/>
              <w:bottom w:w="90" w:type="dxa"/>
              <w:end w:w="100" w:type="dxa"/>
            </w:tcMar>
          </w:tcPr>
          <w:p>
            <w:pPr>
              <w:spacing w:before="40" w:after="40"/>
            </w:pPr>
            <w:r>
              <w:rPr>
                <w:sz w:val="16"/>
              </w:rPr>
              <w:t>Activities idempotent; heartbeat/timeouts configured.</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External department API timeout</w:t>
            </w:r>
          </w:p>
        </w:tc>
        <w:tc>
          <w:tcPr>
            <w:tcW w:type="dxa" w:w="4464"/>
            <w:vAlign w:val="center"/>
            <w:tcMar>
              <w:top w:w="90" w:type="dxa"/>
              <w:start w:w="100" w:type="dxa"/>
              <w:bottom w:w="90" w:type="dxa"/>
              <w:end w:w="100" w:type="dxa"/>
            </w:tcMar>
          </w:tcPr>
          <w:p>
            <w:pPr>
              <w:spacing w:before="40" w:after="40"/>
            </w:pPr>
            <w:r>
              <w:rPr>
                <w:sz w:val="16"/>
              </w:rPr>
              <w:t>Circuit breaker + bounded retry + async/manual fallback per integration policy.</w:t>
            </w:r>
          </w:p>
        </w:tc>
        <w:tc>
          <w:tcPr>
            <w:tcW w:type="dxa" w:w="3600"/>
            <w:vAlign w:val="center"/>
            <w:tcMar>
              <w:top w:w="90" w:type="dxa"/>
              <w:start w:w="100" w:type="dxa"/>
              <w:bottom w:w="90" w:type="dxa"/>
              <w:end w:w="100" w:type="dxa"/>
            </w:tcMar>
          </w:tcPr>
          <w:p>
            <w:pPr>
              <w:spacing w:before="40" w:after="40"/>
            </w:pPr>
            <w:r>
              <w:rPr>
                <w:sz w:val="16"/>
              </w:rPr>
              <w:t>Do not keep DB transaction open while waiting.</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DigiLocker outage</w:t>
            </w:r>
          </w:p>
        </w:tc>
        <w:tc>
          <w:tcPr>
            <w:tcW w:type="dxa" w:w="4464"/>
            <w:vAlign w:val="center"/>
            <w:tcMar>
              <w:top w:w="90" w:type="dxa"/>
              <w:start w:w="100" w:type="dxa"/>
              <w:bottom w:w="90" w:type="dxa"/>
              <w:end w:w="100" w:type="dxa"/>
            </w:tcMar>
          </w:tcPr>
          <w:p>
            <w:pPr>
              <w:spacing w:before="40" w:after="40"/>
            </w:pPr>
            <w:r>
              <w:rPr>
                <w:sz w:val="16"/>
              </w:rPr>
              <w:t>Service-specific retry/manual-evidence/block policy.</w:t>
            </w:r>
          </w:p>
        </w:tc>
        <w:tc>
          <w:tcPr>
            <w:tcW w:type="dxa" w:w="3600"/>
            <w:vAlign w:val="center"/>
            <w:tcMar>
              <w:top w:w="90" w:type="dxa"/>
              <w:start w:w="100" w:type="dxa"/>
              <w:bottom w:w="90" w:type="dxa"/>
              <w:end w:w="100" w:type="dxa"/>
            </w:tcMar>
          </w:tcPr>
          <w:p>
            <w:pPr>
              <w:spacing w:before="40" w:after="40"/>
            </w:pPr>
            <w:r>
              <w:rPr>
                <w:sz w:val="16"/>
              </w:rPr>
              <w:t>Citizen receives actionable state, not generic 500.</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Payment gateway callback duplication</w:t>
            </w:r>
          </w:p>
        </w:tc>
        <w:tc>
          <w:tcPr>
            <w:tcW w:type="dxa" w:w="4464"/>
            <w:vAlign w:val="center"/>
            <w:tcMar>
              <w:top w:w="90" w:type="dxa"/>
              <w:start w:w="100" w:type="dxa"/>
              <w:bottom w:w="90" w:type="dxa"/>
              <w:end w:w="100" w:type="dxa"/>
            </w:tcMar>
          </w:tcPr>
          <w:p>
            <w:pPr>
              <w:spacing w:before="40" w:after="40"/>
            </w:pPr>
            <w:r>
              <w:rPr>
                <w:sz w:val="16"/>
              </w:rPr>
              <w:t>Process once by provider transaction ID/idempotency key.</w:t>
            </w:r>
          </w:p>
        </w:tc>
        <w:tc>
          <w:tcPr>
            <w:tcW w:type="dxa" w:w="3600"/>
            <w:vAlign w:val="center"/>
            <w:tcMar>
              <w:top w:w="90" w:type="dxa"/>
              <w:start w:w="100" w:type="dxa"/>
              <w:bottom w:w="90" w:type="dxa"/>
              <w:end w:w="100" w:type="dxa"/>
            </w:tcMar>
          </w:tcPr>
          <w:p>
            <w:pPr>
              <w:spacing w:before="40" w:after="40"/>
            </w:pPr>
            <w:r>
              <w:rPr>
                <w:sz w:val="16"/>
              </w:rPr>
              <w:t>Unique constraints + reconciliation.</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eSign/signing outage</w:t>
            </w:r>
          </w:p>
        </w:tc>
        <w:tc>
          <w:tcPr>
            <w:tcW w:type="dxa" w:w="4464"/>
            <w:vAlign w:val="center"/>
            <w:tcMar>
              <w:top w:w="90" w:type="dxa"/>
              <w:start w:w="100" w:type="dxa"/>
              <w:bottom w:w="90" w:type="dxa"/>
              <w:end w:w="100" w:type="dxa"/>
            </w:tcMar>
          </w:tcPr>
          <w:p>
            <w:pPr>
              <w:spacing w:before="40" w:after="40"/>
            </w:pPr>
            <w:r>
              <w:rPr>
                <w:sz w:val="16"/>
              </w:rPr>
              <w:t>Credential stays SIGNING_PENDING; retry safely.</w:t>
            </w:r>
          </w:p>
        </w:tc>
        <w:tc>
          <w:tcPr>
            <w:tcW w:type="dxa" w:w="3600"/>
            <w:vAlign w:val="center"/>
            <w:tcMar>
              <w:top w:w="90" w:type="dxa"/>
              <w:start w:w="100" w:type="dxa"/>
              <w:bottom w:w="90" w:type="dxa"/>
              <w:end w:w="100" w:type="dxa"/>
            </w:tcMar>
          </w:tcPr>
          <w:p>
            <w:pPr>
              <w:spacing w:before="40" w:after="40"/>
            </w:pPr>
            <w:r>
              <w:rPr>
                <w:sz w:val="16"/>
              </w:rPr>
              <w:t>Credential number/sign operation duplicate-safe.</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SMS/email outage</w:t>
            </w:r>
          </w:p>
        </w:tc>
        <w:tc>
          <w:tcPr>
            <w:tcW w:type="dxa" w:w="4464"/>
            <w:vAlign w:val="center"/>
            <w:tcMar>
              <w:top w:w="90" w:type="dxa"/>
              <w:start w:w="100" w:type="dxa"/>
              <w:bottom w:w="90" w:type="dxa"/>
              <w:end w:w="100" w:type="dxa"/>
            </w:tcMar>
          </w:tcPr>
          <w:p>
            <w:pPr>
              <w:spacing w:before="40" w:after="40"/>
            </w:pPr>
            <w:r>
              <w:rPr>
                <w:sz w:val="16"/>
              </w:rPr>
              <w:t>Queue/DLQ and retry.</w:t>
            </w:r>
          </w:p>
        </w:tc>
        <w:tc>
          <w:tcPr>
            <w:tcW w:type="dxa" w:w="3600"/>
            <w:vAlign w:val="center"/>
            <w:tcMar>
              <w:top w:w="90" w:type="dxa"/>
              <w:start w:w="100" w:type="dxa"/>
              <w:bottom w:w="90" w:type="dxa"/>
              <w:end w:w="100" w:type="dxa"/>
            </w:tcMar>
          </w:tcPr>
          <w:p>
            <w:pPr>
              <w:spacing w:before="40" w:after="40"/>
            </w:pPr>
            <w:r>
              <w:rPr>
                <w:sz w:val="16"/>
              </w:rPr>
              <w:t>Application decision remains authoritative regardless of notification delivery.</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OpenSearch outage</w:t>
            </w:r>
          </w:p>
        </w:tc>
        <w:tc>
          <w:tcPr>
            <w:tcW w:type="dxa" w:w="4464"/>
            <w:vAlign w:val="center"/>
            <w:tcMar>
              <w:top w:w="90" w:type="dxa"/>
              <w:start w:w="100" w:type="dxa"/>
              <w:bottom w:w="90" w:type="dxa"/>
              <w:end w:w="100" w:type="dxa"/>
            </w:tcMar>
          </w:tcPr>
          <w:p>
            <w:pPr>
              <w:spacing w:before="40" w:after="40"/>
            </w:pPr>
            <w:r>
              <w:rPr>
                <w:sz w:val="16"/>
              </w:rPr>
              <w:t>Degrade discovery/search; transactional APIs remain available.</w:t>
            </w:r>
          </w:p>
        </w:tc>
        <w:tc>
          <w:tcPr>
            <w:tcW w:type="dxa" w:w="3600"/>
            <w:vAlign w:val="center"/>
            <w:tcMar>
              <w:top w:w="90" w:type="dxa"/>
              <w:start w:w="100" w:type="dxa"/>
              <w:bottom w:w="90" w:type="dxa"/>
              <w:end w:w="100" w:type="dxa"/>
            </w:tcMar>
          </w:tcPr>
          <w:p>
            <w:pPr>
              <w:spacing w:before="40" w:after="40"/>
            </w:pPr>
            <w:r>
              <w:rPr>
                <w:sz w:val="16"/>
              </w:rPr>
              <w:t>Reindex/replay from authoritative source/events.</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Valkey outage</w:t>
            </w:r>
          </w:p>
        </w:tc>
        <w:tc>
          <w:tcPr>
            <w:tcW w:type="dxa" w:w="4464"/>
            <w:vAlign w:val="center"/>
            <w:tcMar>
              <w:top w:w="90" w:type="dxa"/>
              <w:start w:w="100" w:type="dxa"/>
              <w:bottom w:w="90" w:type="dxa"/>
              <w:end w:w="100" w:type="dxa"/>
            </w:tcMar>
          </w:tcPr>
          <w:p>
            <w:pPr>
              <w:spacing w:before="40" w:after="40"/>
            </w:pPr>
            <w:r>
              <w:rPr>
                <w:sz w:val="16"/>
              </w:rPr>
              <w:t>Fall back to source/safer degraded path.</w:t>
            </w:r>
          </w:p>
        </w:tc>
        <w:tc>
          <w:tcPr>
            <w:tcW w:type="dxa" w:w="3600"/>
            <w:vAlign w:val="center"/>
            <w:tcMar>
              <w:top w:w="90" w:type="dxa"/>
              <w:start w:w="100" w:type="dxa"/>
              <w:bottom w:w="90" w:type="dxa"/>
              <w:end w:w="100" w:type="dxa"/>
            </w:tcMar>
          </w:tcPr>
          <w:p>
            <w:pPr>
              <w:spacing w:before="40" w:after="40"/>
            </w:pPr>
            <w:r>
              <w:rPr>
                <w:sz w:val="16"/>
              </w:rPr>
              <w:t>No correctness or authorization dependency solely on cache.</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6"/>
              </w:rPr>
              <w:t>S3 temporary failure</w:t>
            </w:r>
          </w:p>
        </w:tc>
        <w:tc>
          <w:tcPr>
            <w:tcW w:type="dxa" w:w="4464"/>
            <w:vAlign w:val="center"/>
            <w:tcMar>
              <w:top w:w="90" w:type="dxa"/>
              <w:start w:w="100" w:type="dxa"/>
              <w:bottom w:w="90" w:type="dxa"/>
              <w:end w:w="100" w:type="dxa"/>
            </w:tcMar>
          </w:tcPr>
          <w:p>
            <w:pPr>
              <w:spacing w:before="40" w:after="40"/>
            </w:pPr>
            <w:r>
              <w:rPr>
                <w:sz w:val="16"/>
              </w:rPr>
              <w:t>Retry upload/fetch safely; metadata state reflects incomplete object operation.</w:t>
            </w:r>
          </w:p>
        </w:tc>
        <w:tc>
          <w:tcPr>
            <w:tcW w:type="dxa" w:w="3600"/>
            <w:vAlign w:val="center"/>
            <w:tcMar>
              <w:top w:w="90" w:type="dxa"/>
              <w:start w:w="100" w:type="dxa"/>
              <w:bottom w:w="90" w:type="dxa"/>
              <w:end w:w="100" w:type="dxa"/>
            </w:tcMar>
          </w:tcPr>
          <w:p>
            <w:pPr>
              <w:spacing w:before="40" w:after="40"/>
            </w:pPr>
            <w:r>
              <w:rPr>
                <w:sz w:val="16"/>
              </w:rPr>
              <w:t>Hash/object existence verified before evidence accepted.</w:t>
            </w:r>
          </w:p>
        </w:tc>
      </w:tr>
    </w:tbl>
    <w:p>
      <w:pPr>
        <w:pStyle w:val="Heading2"/>
      </w:pPr>
      <w:r>
        <w:t>18.7 Performance, soak and scalability certification</w:t>
      </w:r>
    </w:p>
    <w:tbl>
      <w:tblPr>
        <w:tblW w:type="auto" w:w="0"/>
        <w:tblLayout w:type="autofit"/>
        <w:tblLook w:firstColumn="1" w:firstRow="1" w:lastColumn="0" w:lastRow="0" w:noHBand="0" w:noVBand="1" w:val="04A0"/>
      </w:tblPr>
      <w:tblGrid>
        <w:gridCol w:w="2541"/>
        <w:gridCol w:w="2541"/>
        <w:gridCol w:w="2541"/>
        <w:gridCol w:w="2541"/>
      </w:tblGrid>
      <w:tr>
        <w:trPr>
          <w:tblHeader w:val="true"/>
          <w:cantSplit w:val="true"/>
        </w:trPr>
        <w:tc>
          <w:tcPr>
            <w:tcW w:type="dxa" w:w="1728"/>
            <w:vAlign w:val="center"/>
            <w:tcMar>
              <w:top w:w="90" w:type="dxa"/>
              <w:start w:w="100" w:type="dxa"/>
              <w:bottom w:w="90" w:type="dxa"/>
              <w:end w:w="100" w:type="dxa"/>
            </w:tcMar>
            <w:shd w:fill="1F4E78"/>
          </w:tcPr>
          <w:p>
            <w:pPr>
              <w:spacing w:before="40" w:after="40"/>
            </w:pPr>
            <w:r>
              <w:rPr>
                <w:b/>
                <w:color w:val="FFFFFF"/>
                <w:sz w:val="16"/>
              </w:rPr>
              <w:t>Stage</w:t>
            </w:r>
          </w:p>
        </w:tc>
        <w:tc>
          <w:tcPr>
            <w:tcW w:type="dxa" w:w="2160"/>
            <w:vAlign w:val="center"/>
            <w:tcMar>
              <w:top w:w="90" w:type="dxa"/>
              <w:start w:w="100" w:type="dxa"/>
              <w:bottom w:w="90" w:type="dxa"/>
              <w:end w:w="100" w:type="dxa"/>
            </w:tcMar>
            <w:shd w:fill="1F4E78"/>
          </w:tcPr>
          <w:p>
            <w:pPr>
              <w:spacing w:before="40" w:after="40"/>
            </w:pPr>
            <w:r>
              <w:rPr>
                <w:b/>
                <w:color w:val="FFFFFF"/>
                <w:sz w:val="16"/>
              </w:rPr>
              <w:t>Load</w:t>
            </w:r>
          </w:p>
        </w:tc>
        <w:tc>
          <w:tcPr>
            <w:tcW w:type="dxa" w:w="1656"/>
            <w:vAlign w:val="center"/>
            <w:tcMar>
              <w:top w:w="90" w:type="dxa"/>
              <w:start w:w="100" w:type="dxa"/>
              <w:bottom w:w="90" w:type="dxa"/>
              <w:end w:w="100" w:type="dxa"/>
            </w:tcMar>
            <w:shd w:fill="1F4E78"/>
          </w:tcPr>
          <w:p>
            <w:pPr>
              <w:spacing w:before="40" w:after="40"/>
            </w:pPr>
            <w:r>
              <w:rPr>
                <w:b/>
                <w:color w:val="FFFFFF"/>
                <w:sz w:val="16"/>
              </w:rPr>
              <w:t>Duration</w:t>
            </w:r>
          </w:p>
        </w:tc>
        <w:tc>
          <w:tcPr>
            <w:tcW w:type="dxa" w:w="4824"/>
            <w:vAlign w:val="center"/>
            <w:tcMar>
              <w:top w:w="90" w:type="dxa"/>
              <w:start w:w="100" w:type="dxa"/>
              <w:bottom w:w="90" w:type="dxa"/>
              <w:end w:w="100" w:type="dxa"/>
            </w:tcMar>
            <w:shd w:fill="1F4E78"/>
          </w:tcPr>
          <w:p>
            <w:pPr>
              <w:spacing w:before="40" w:after="40"/>
            </w:pPr>
            <w:r>
              <w:rPr>
                <w:b/>
                <w:color w:val="FFFFFF"/>
                <w:sz w:val="16"/>
              </w:rPr>
              <w:t>Pass intent</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DEV sanity</w:t>
            </w:r>
          </w:p>
        </w:tc>
        <w:tc>
          <w:tcPr>
            <w:tcW w:type="dxa" w:w="2160"/>
            <w:vAlign w:val="center"/>
            <w:tcMar>
              <w:top w:w="90" w:type="dxa"/>
              <w:start w:w="100" w:type="dxa"/>
              <w:bottom w:w="90" w:type="dxa"/>
              <w:end w:w="100" w:type="dxa"/>
            </w:tcMar>
          </w:tcPr>
          <w:p>
            <w:pPr>
              <w:spacing w:before="40" w:after="40"/>
            </w:pPr>
            <w:r>
              <w:rPr>
                <w:sz w:val="16"/>
              </w:rPr>
              <w:t>100 RPS</w:t>
            </w:r>
          </w:p>
        </w:tc>
        <w:tc>
          <w:tcPr>
            <w:tcW w:type="dxa" w:w="1656"/>
            <w:vAlign w:val="center"/>
            <w:tcMar>
              <w:top w:w="90" w:type="dxa"/>
              <w:start w:w="100" w:type="dxa"/>
              <w:bottom w:w="90" w:type="dxa"/>
              <w:end w:w="100" w:type="dxa"/>
            </w:tcMar>
          </w:tcPr>
          <w:p>
            <w:pPr>
              <w:spacing w:before="40" w:after="40"/>
            </w:pPr>
            <w:r>
              <w:rPr>
                <w:sz w:val="16"/>
              </w:rPr>
              <w:t>10 min</w:t>
            </w:r>
          </w:p>
        </w:tc>
        <w:tc>
          <w:tcPr>
            <w:tcW w:type="dxa" w:w="4824"/>
            <w:vAlign w:val="center"/>
            <w:tcMar>
              <w:top w:w="90" w:type="dxa"/>
              <w:start w:w="100" w:type="dxa"/>
              <w:bottom w:w="90" w:type="dxa"/>
              <w:end w:w="100" w:type="dxa"/>
            </w:tcMar>
          </w:tcPr>
          <w:p>
            <w:pPr>
              <w:spacing w:before="40" w:after="40"/>
            </w:pPr>
            <w:r>
              <w:rPr>
                <w:sz w:val="16"/>
              </w:rPr>
              <w:t>Basic functional/concurrency signal; zero correctness errors.</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Integration</w:t>
            </w:r>
          </w:p>
        </w:tc>
        <w:tc>
          <w:tcPr>
            <w:tcW w:type="dxa" w:w="2160"/>
            <w:vAlign w:val="center"/>
            <w:tcMar>
              <w:top w:w="90" w:type="dxa"/>
              <w:start w:w="100" w:type="dxa"/>
              <w:bottom w:w="90" w:type="dxa"/>
              <w:end w:w="100" w:type="dxa"/>
            </w:tcMar>
          </w:tcPr>
          <w:p>
            <w:pPr>
              <w:spacing w:before="40" w:after="40"/>
            </w:pPr>
            <w:r>
              <w:rPr>
                <w:sz w:val="16"/>
              </w:rPr>
              <w:t>500 RPS</w:t>
            </w:r>
          </w:p>
        </w:tc>
        <w:tc>
          <w:tcPr>
            <w:tcW w:type="dxa" w:w="1656"/>
            <w:vAlign w:val="center"/>
            <w:tcMar>
              <w:top w:w="90" w:type="dxa"/>
              <w:start w:w="100" w:type="dxa"/>
              <w:bottom w:w="90" w:type="dxa"/>
              <w:end w:w="100" w:type="dxa"/>
            </w:tcMar>
          </w:tcPr>
          <w:p>
            <w:pPr>
              <w:spacing w:before="40" w:after="40"/>
            </w:pPr>
            <w:r>
              <w:rPr>
                <w:sz w:val="16"/>
              </w:rPr>
              <w:t>30 min</w:t>
            </w:r>
          </w:p>
        </w:tc>
        <w:tc>
          <w:tcPr>
            <w:tcW w:type="dxa" w:w="4824"/>
            <w:vAlign w:val="center"/>
            <w:tcMar>
              <w:top w:w="90" w:type="dxa"/>
              <w:start w:w="100" w:type="dxa"/>
              <w:bottom w:w="90" w:type="dxa"/>
              <w:end w:w="100" w:type="dxa"/>
            </w:tcMar>
          </w:tcPr>
          <w:p>
            <w:pPr>
              <w:spacing w:before="40" w:after="40"/>
            </w:pPr>
            <w:r>
              <w:rPr>
                <w:sz w:val="16"/>
              </w:rPr>
              <w:t>Stable latency/error rate; no connection exhaustion.</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Baseline load</w:t>
            </w:r>
          </w:p>
        </w:tc>
        <w:tc>
          <w:tcPr>
            <w:tcW w:type="dxa" w:w="2160"/>
            <w:vAlign w:val="center"/>
            <w:tcMar>
              <w:top w:w="90" w:type="dxa"/>
              <w:start w:w="100" w:type="dxa"/>
              <w:bottom w:w="90" w:type="dxa"/>
              <w:end w:w="100" w:type="dxa"/>
            </w:tcMar>
          </w:tcPr>
          <w:p>
            <w:pPr>
              <w:spacing w:before="40" w:after="40"/>
            </w:pPr>
            <w:r>
              <w:rPr>
                <w:sz w:val="16"/>
              </w:rPr>
              <w:t>1,000 RPS</w:t>
            </w:r>
          </w:p>
        </w:tc>
        <w:tc>
          <w:tcPr>
            <w:tcW w:type="dxa" w:w="1656"/>
            <w:vAlign w:val="center"/>
            <w:tcMar>
              <w:top w:w="90" w:type="dxa"/>
              <w:start w:w="100" w:type="dxa"/>
              <w:bottom w:w="90" w:type="dxa"/>
              <w:end w:w="100" w:type="dxa"/>
            </w:tcMar>
          </w:tcPr>
          <w:p>
            <w:pPr>
              <w:spacing w:before="40" w:after="40"/>
            </w:pPr>
            <w:r>
              <w:rPr>
                <w:sz w:val="16"/>
              </w:rPr>
              <w:t>60 min</w:t>
            </w:r>
          </w:p>
        </w:tc>
        <w:tc>
          <w:tcPr>
            <w:tcW w:type="dxa" w:w="4824"/>
            <w:vAlign w:val="center"/>
            <w:tcMar>
              <w:top w:w="90" w:type="dxa"/>
              <w:start w:w="100" w:type="dxa"/>
              <w:bottom w:w="90" w:type="dxa"/>
              <w:end w:w="100" w:type="dxa"/>
            </w:tcMar>
          </w:tcPr>
          <w:p>
            <w:pPr>
              <w:spacing w:before="40" w:after="40"/>
            </w:pPr>
            <w:r>
              <w:rPr>
                <w:sz w:val="16"/>
              </w:rPr>
              <w:t>Measure p50/p95/p99 and downstream utilization.</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Scale</w:t>
            </w:r>
          </w:p>
        </w:tc>
        <w:tc>
          <w:tcPr>
            <w:tcW w:type="dxa" w:w="2160"/>
            <w:vAlign w:val="center"/>
            <w:tcMar>
              <w:top w:w="90" w:type="dxa"/>
              <w:start w:w="100" w:type="dxa"/>
              <w:bottom w:w="90" w:type="dxa"/>
              <w:end w:w="100" w:type="dxa"/>
            </w:tcMar>
          </w:tcPr>
          <w:p>
            <w:pPr>
              <w:spacing w:before="40" w:after="40"/>
            </w:pPr>
            <w:r>
              <w:rPr>
                <w:sz w:val="16"/>
              </w:rPr>
              <w:t>2,500 RPS</w:t>
            </w:r>
          </w:p>
        </w:tc>
        <w:tc>
          <w:tcPr>
            <w:tcW w:type="dxa" w:w="1656"/>
            <w:vAlign w:val="center"/>
            <w:tcMar>
              <w:top w:w="90" w:type="dxa"/>
              <w:start w:w="100" w:type="dxa"/>
              <w:bottom w:w="90" w:type="dxa"/>
              <w:end w:w="100" w:type="dxa"/>
            </w:tcMar>
          </w:tcPr>
          <w:p>
            <w:pPr>
              <w:spacing w:before="40" w:after="40"/>
            </w:pPr>
            <w:r>
              <w:rPr>
                <w:sz w:val="16"/>
              </w:rPr>
              <w:t>60 min</w:t>
            </w:r>
          </w:p>
        </w:tc>
        <w:tc>
          <w:tcPr>
            <w:tcW w:type="dxa" w:w="4824"/>
            <w:vAlign w:val="center"/>
            <w:tcMar>
              <w:top w:w="90" w:type="dxa"/>
              <w:start w:w="100" w:type="dxa"/>
              <w:bottom w:w="90" w:type="dxa"/>
              <w:end w:w="100" w:type="dxa"/>
            </w:tcMar>
          </w:tcPr>
          <w:p>
            <w:pPr>
              <w:spacing w:before="40" w:after="40"/>
            </w:pPr>
            <w:r>
              <w:rPr>
                <w:sz w:val="16"/>
              </w:rPr>
              <w:t>Horizontal scaling proven; no hot lock/index path.</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High load</w:t>
            </w:r>
          </w:p>
        </w:tc>
        <w:tc>
          <w:tcPr>
            <w:tcW w:type="dxa" w:w="2160"/>
            <w:vAlign w:val="center"/>
            <w:tcMar>
              <w:top w:w="90" w:type="dxa"/>
              <w:start w:w="100" w:type="dxa"/>
              <w:bottom w:w="90" w:type="dxa"/>
              <w:end w:w="100" w:type="dxa"/>
            </w:tcMar>
          </w:tcPr>
          <w:p>
            <w:pPr>
              <w:spacing w:before="40" w:after="40"/>
            </w:pPr>
            <w:r>
              <w:rPr>
                <w:sz w:val="16"/>
              </w:rPr>
              <w:t>5,000 RPS</w:t>
            </w:r>
          </w:p>
        </w:tc>
        <w:tc>
          <w:tcPr>
            <w:tcW w:type="dxa" w:w="1656"/>
            <w:vAlign w:val="center"/>
            <w:tcMar>
              <w:top w:w="90" w:type="dxa"/>
              <w:start w:w="100" w:type="dxa"/>
              <w:bottom w:w="90" w:type="dxa"/>
              <w:end w:w="100" w:type="dxa"/>
            </w:tcMar>
          </w:tcPr>
          <w:p>
            <w:pPr>
              <w:spacing w:before="40" w:after="40"/>
            </w:pPr>
            <w:r>
              <w:rPr>
                <w:sz w:val="16"/>
              </w:rPr>
              <w:t>60 min</w:t>
            </w:r>
          </w:p>
        </w:tc>
        <w:tc>
          <w:tcPr>
            <w:tcW w:type="dxa" w:w="4824"/>
            <w:vAlign w:val="center"/>
            <w:tcMar>
              <w:top w:w="90" w:type="dxa"/>
              <w:start w:w="100" w:type="dxa"/>
              <w:bottom w:w="90" w:type="dxa"/>
              <w:end w:w="100" w:type="dxa"/>
            </w:tcMar>
          </w:tcPr>
          <w:p>
            <w:pPr>
              <w:spacing w:before="40" w:after="40"/>
            </w:pPr>
            <w:r>
              <w:rPr>
                <w:sz w:val="16"/>
              </w:rPr>
              <w:t>DB/workflow/event backpressure within designed limits.</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Required capacity</w:t>
            </w:r>
          </w:p>
        </w:tc>
        <w:tc>
          <w:tcPr>
            <w:tcW w:type="dxa" w:w="2160"/>
            <w:vAlign w:val="center"/>
            <w:tcMar>
              <w:top w:w="90" w:type="dxa"/>
              <w:start w:w="100" w:type="dxa"/>
              <w:bottom w:w="90" w:type="dxa"/>
              <w:end w:w="100" w:type="dxa"/>
            </w:tcMar>
          </w:tcPr>
          <w:p>
            <w:pPr>
              <w:spacing w:before="40" w:after="40"/>
            </w:pPr>
            <w:r>
              <w:rPr>
                <w:sz w:val="16"/>
              </w:rPr>
              <w:t>10,000 external RPS</w:t>
            </w:r>
          </w:p>
        </w:tc>
        <w:tc>
          <w:tcPr>
            <w:tcW w:type="dxa" w:w="1656"/>
            <w:vAlign w:val="center"/>
            <w:tcMar>
              <w:top w:w="90" w:type="dxa"/>
              <w:start w:w="100" w:type="dxa"/>
              <w:bottom w:w="90" w:type="dxa"/>
              <w:end w:w="100" w:type="dxa"/>
            </w:tcMar>
          </w:tcPr>
          <w:p>
            <w:pPr>
              <w:spacing w:before="40" w:after="40"/>
            </w:pPr>
            <w:r>
              <w:rPr>
                <w:sz w:val="16"/>
              </w:rPr>
              <w:t>60 min minimum</w:t>
            </w:r>
          </w:p>
        </w:tc>
        <w:tc>
          <w:tcPr>
            <w:tcW w:type="dxa" w:w="4824"/>
            <w:vAlign w:val="center"/>
            <w:tcMar>
              <w:top w:w="90" w:type="dxa"/>
              <w:start w:w="100" w:type="dxa"/>
              <w:bottom w:w="90" w:type="dxa"/>
              <w:end w:w="100" w:type="dxa"/>
            </w:tcMar>
          </w:tcPr>
          <w:p>
            <w:pPr>
              <w:spacing w:before="40" w:after="40"/>
            </w:pPr>
            <w:r>
              <w:rPr>
                <w:sz w:val="16"/>
              </w:rPr>
              <w:t>Error &lt;0.1% excluding injected faults; zero lost committed applications; p95 submission ACK target &lt;=2s; read p95 target &lt;=500ms where applicable.</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Burst</w:t>
            </w:r>
          </w:p>
        </w:tc>
        <w:tc>
          <w:tcPr>
            <w:tcW w:type="dxa" w:w="2160"/>
            <w:vAlign w:val="center"/>
            <w:tcMar>
              <w:top w:w="90" w:type="dxa"/>
              <w:start w:w="100" w:type="dxa"/>
              <w:bottom w:w="90" w:type="dxa"/>
              <w:end w:w="100" w:type="dxa"/>
            </w:tcMar>
          </w:tcPr>
          <w:p>
            <w:pPr>
              <w:spacing w:before="40" w:after="40"/>
            </w:pPr>
            <w:r>
              <w:rPr>
                <w:sz w:val="16"/>
              </w:rPr>
              <w:t>20,000 external RPS</w:t>
            </w:r>
          </w:p>
        </w:tc>
        <w:tc>
          <w:tcPr>
            <w:tcW w:type="dxa" w:w="1656"/>
            <w:vAlign w:val="center"/>
            <w:tcMar>
              <w:top w:w="90" w:type="dxa"/>
              <w:start w:w="100" w:type="dxa"/>
              <w:bottom w:w="90" w:type="dxa"/>
              <w:end w:w="100" w:type="dxa"/>
            </w:tcMar>
          </w:tcPr>
          <w:p>
            <w:pPr>
              <w:spacing w:before="40" w:after="40"/>
            </w:pPr>
            <w:r>
              <w:rPr>
                <w:sz w:val="16"/>
              </w:rPr>
              <w:t>15 min</w:t>
            </w:r>
          </w:p>
        </w:tc>
        <w:tc>
          <w:tcPr>
            <w:tcW w:type="dxa" w:w="4824"/>
            <w:vAlign w:val="center"/>
            <w:tcMar>
              <w:top w:w="90" w:type="dxa"/>
              <w:start w:w="100" w:type="dxa"/>
              <w:bottom w:w="90" w:type="dxa"/>
              <w:end w:w="100" w:type="dxa"/>
            </w:tcMar>
          </w:tcPr>
          <w:p>
            <w:pPr>
              <w:spacing w:before="40" w:after="40"/>
            </w:pPr>
            <w:r>
              <w:rPr>
                <w:sz w:val="16"/>
              </w:rPr>
              <w:t>No cascading failure; autoscaling/backpressure works.</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Stress</w:t>
            </w:r>
          </w:p>
        </w:tc>
        <w:tc>
          <w:tcPr>
            <w:tcW w:type="dxa" w:w="2160"/>
            <w:vAlign w:val="center"/>
            <w:tcMar>
              <w:top w:w="90" w:type="dxa"/>
              <w:start w:w="100" w:type="dxa"/>
              <w:bottom w:w="90" w:type="dxa"/>
              <w:end w:w="100" w:type="dxa"/>
            </w:tcMar>
          </w:tcPr>
          <w:p>
            <w:pPr>
              <w:spacing w:before="40" w:after="40"/>
            </w:pPr>
            <w:r>
              <w:rPr>
                <w:sz w:val="16"/>
              </w:rPr>
              <w:t>30,000 external RPS</w:t>
            </w:r>
          </w:p>
        </w:tc>
        <w:tc>
          <w:tcPr>
            <w:tcW w:type="dxa" w:w="1656"/>
            <w:vAlign w:val="center"/>
            <w:tcMar>
              <w:top w:w="90" w:type="dxa"/>
              <w:start w:w="100" w:type="dxa"/>
              <w:bottom w:w="90" w:type="dxa"/>
              <w:end w:w="100" w:type="dxa"/>
            </w:tcMar>
          </w:tcPr>
          <w:p>
            <w:pPr>
              <w:spacing w:before="40" w:after="40"/>
            </w:pPr>
            <w:r>
              <w:rPr>
                <w:sz w:val="16"/>
              </w:rPr>
              <w:t>Controlled</w:t>
            </w:r>
          </w:p>
        </w:tc>
        <w:tc>
          <w:tcPr>
            <w:tcW w:type="dxa" w:w="4824"/>
            <w:vAlign w:val="center"/>
            <w:tcMar>
              <w:top w:w="90" w:type="dxa"/>
              <w:start w:w="100" w:type="dxa"/>
              <w:bottom w:w="90" w:type="dxa"/>
              <w:end w:w="100" w:type="dxa"/>
            </w:tcMar>
          </w:tcPr>
          <w:p>
            <w:pPr>
              <w:spacing w:before="40" w:after="40"/>
            </w:pPr>
            <w:r>
              <w:rPr>
                <w:sz w:val="16"/>
              </w:rPr>
              <w:t>Graceful degradation/rejection; no corruption or tenant leakage.</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Soak</w:t>
            </w:r>
          </w:p>
        </w:tc>
        <w:tc>
          <w:tcPr>
            <w:tcW w:type="dxa" w:w="2160"/>
            <w:vAlign w:val="center"/>
            <w:tcMar>
              <w:top w:w="90" w:type="dxa"/>
              <w:start w:w="100" w:type="dxa"/>
              <w:bottom w:w="90" w:type="dxa"/>
              <w:end w:w="100" w:type="dxa"/>
            </w:tcMar>
          </w:tcPr>
          <w:p>
            <w:pPr>
              <w:spacing w:before="40" w:after="40"/>
            </w:pPr>
            <w:r>
              <w:rPr>
                <w:sz w:val="16"/>
              </w:rPr>
              <w:t>Representative 30-50% peak</w:t>
            </w:r>
          </w:p>
        </w:tc>
        <w:tc>
          <w:tcPr>
            <w:tcW w:type="dxa" w:w="1656"/>
            <w:vAlign w:val="center"/>
            <w:tcMar>
              <w:top w:w="90" w:type="dxa"/>
              <w:start w:w="100" w:type="dxa"/>
              <w:bottom w:w="90" w:type="dxa"/>
              <w:end w:w="100" w:type="dxa"/>
            </w:tcMar>
          </w:tcPr>
          <w:p>
            <w:pPr>
              <w:spacing w:before="40" w:after="40"/>
            </w:pPr>
            <w:r>
              <w:rPr>
                <w:sz w:val="16"/>
              </w:rPr>
              <w:t>8-24 h</w:t>
            </w:r>
          </w:p>
        </w:tc>
        <w:tc>
          <w:tcPr>
            <w:tcW w:type="dxa" w:w="4824"/>
            <w:vAlign w:val="center"/>
            <w:tcMar>
              <w:top w:w="90" w:type="dxa"/>
              <w:start w:w="100" w:type="dxa"/>
              <w:bottom w:w="90" w:type="dxa"/>
              <w:end w:w="100" w:type="dxa"/>
            </w:tcMar>
          </w:tcPr>
          <w:p>
            <w:pPr>
              <w:spacing w:before="40" w:after="40"/>
            </w:pPr>
            <w:r>
              <w:rPr>
                <w:sz w:val="16"/>
              </w:rPr>
              <w:t>No memory/connection/resource leak; stable queues and latency.</w:t>
            </w:r>
          </w:p>
        </w:tc>
      </w:tr>
      <w:tr>
        <w:trPr>
          <w:cantSplit w:val="true"/>
        </w:trPr>
        <w:tc>
          <w:tcPr>
            <w:tcW w:type="dxa" w:w="1728"/>
            <w:vAlign w:val="center"/>
            <w:tcMar>
              <w:top w:w="90" w:type="dxa"/>
              <w:start w:w="100" w:type="dxa"/>
              <w:bottom w:w="90" w:type="dxa"/>
              <w:end w:w="100" w:type="dxa"/>
            </w:tcMar>
            <w:shd w:fill="EAF2F8"/>
          </w:tcPr>
          <w:p>
            <w:pPr>
              <w:spacing w:before="40" w:after="40"/>
            </w:pPr>
            <w:r>
              <w:rPr>
                <w:b/>
                <w:sz w:val="16"/>
              </w:rPr>
              <w:t>Chaos under load</w:t>
            </w:r>
          </w:p>
        </w:tc>
        <w:tc>
          <w:tcPr>
            <w:tcW w:type="dxa" w:w="2160"/>
            <w:vAlign w:val="center"/>
            <w:tcMar>
              <w:top w:w="90" w:type="dxa"/>
              <w:start w:w="100" w:type="dxa"/>
              <w:bottom w:w="90" w:type="dxa"/>
              <w:end w:w="100" w:type="dxa"/>
            </w:tcMar>
          </w:tcPr>
          <w:p>
            <w:pPr>
              <w:spacing w:before="40" w:after="40"/>
            </w:pPr>
            <w:r>
              <w:rPr>
                <w:sz w:val="16"/>
              </w:rPr>
              <w:t>10,000 RPS + injected failure</w:t>
            </w:r>
          </w:p>
        </w:tc>
        <w:tc>
          <w:tcPr>
            <w:tcW w:type="dxa" w:w="1656"/>
            <w:vAlign w:val="center"/>
            <w:tcMar>
              <w:top w:w="90" w:type="dxa"/>
              <w:start w:w="100" w:type="dxa"/>
              <w:bottom w:w="90" w:type="dxa"/>
              <w:end w:w="100" w:type="dxa"/>
            </w:tcMar>
          </w:tcPr>
          <w:p>
            <w:pPr>
              <w:spacing w:before="40" w:after="40"/>
            </w:pPr>
            <w:r>
              <w:rPr>
                <w:sz w:val="16"/>
              </w:rPr>
              <w:t>Scenario-specific</w:t>
            </w:r>
          </w:p>
        </w:tc>
        <w:tc>
          <w:tcPr>
            <w:tcW w:type="dxa" w:w="4824"/>
            <w:vAlign w:val="center"/>
            <w:tcMar>
              <w:top w:w="90" w:type="dxa"/>
              <w:start w:w="100" w:type="dxa"/>
              <w:bottom w:w="90" w:type="dxa"/>
              <w:end w:w="100" w:type="dxa"/>
            </w:tcMar>
          </w:tcPr>
          <w:p>
            <w:pPr>
              <w:spacing w:before="40" w:after="40"/>
            </w:pPr>
            <w:r>
              <w:rPr>
                <w:sz w:val="16"/>
              </w:rPr>
              <w:t>Node/AZ/dependency loss does not lose committed applications or break tenant isolation.</w:t>
            </w:r>
          </w:p>
        </w:tc>
      </w:tr>
    </w:tbl>
    <w:tbl>
      <w:tblPr>
        <w:tblW w:type="auto" w:w="0"/>
        <w:tblLook w:firstColumn="1" w:firstRow="1" w:lastColumn="0" w:lastRow="0" w:noHBand="0" w:noVBand="1" w:val="04A0"/>
      </w:tblPr>
      <w:tblGrid>
        <w:gridCol w:w="10166"/>
      </w:tblGrid>
      <w:tr>
        <w:tc>
          <w:tcPr>
            <w:tcW w:type="dxa" w:w="10166"/>
            <w:shd w:fill="FFF2CC"/>
            <w:tcMar>
              <w:top w:w="120" w:type="dxa"/>
              <w:start w:w="130" w:type="dxa"/>
              <w:bottom w:w="120" w:type="dxa"/>
              <w:end w:w="130" w:type="dxa"/>
            </w:tcMar>
          </w:tcPr>
          <w:p>
            <w:r/>
            <w:r>
              <w:rPr>
                <w:b/>
                <w:sz w:val="19"/>
              </w:rPr>
              <w:t>Performance targets are certification objectives for the built system, not claims that an unimplemented design has already achieved these numbers.</w:t>
            </w:r>
          </w:p>
        </w:tc>
      </w:tr>
    </w:tbl>
    <w:p>
      <w:pPr>
        <w:pStyle w:val="Heading2"/>
      </w:pPr>
      <w:r>
        <w:t>18.8 Chaos, backup, restore and DR scenarios</w:t>
      </w:r>
    </w:p>
    <w:tbl>
      <w:tblPr>
        <w:tblW w:type="auto" w:w="0"/>
        <w:tblLayout w:type="autofit"/>
        <w:tblLook w:firstColumn="1" w:firstRow="1" w:lastColumn="0" w:lastRow="0" w:noHBand="0" w:noVBand="1" w:val="04A0"/>
      </w:tblPr>
      <w:tblGrid>
        <w:gridCol w:w="3389"/>
        <w:gridCol w:w="3389"/>
        <w:gridCol w:w="3389"/>
      </w:tblGrid>
      <w:tr>
        <w:trPr>
          <w:tblHeader w:val="true"/>
          <w:cantSplit w:val="true"/>
        </w:trPr>
        <w:tc>
          <w:tcPr>
            <w:tcW w:type="dxa" w:w="1224"/>
            <w:vAlign w:val="center"/>
            <w:tcMar>
              <w:top w:w="90" w:type="dxa"/>
              <w:start w:w="100" w:type="dxa"/>
              <w:bottom w:w="90" w:type="dxa"/>
              <w:end w:w="100" w:type="dxa"/>
            </w:tcMar>
            <w:shd w:fill="1F4E78"/>
          </w:tcPr>
          <w:p>
            <w:pPr>
              <w:spacing w:before="40" w:after="40"/>
            </w:pPr>
            <w:r>
              <w:rPr>
                <w:b/>
                <w:color w:val="FFFFFF"/>
                <w:sz w:val="16"/>
              </w:rPr>
              <w:t>ID</w:t>
            </w:r>
          </w:p>
        </w:tc>
        <w:tc>
          <w:tcPr>
            <w:tcW w:type="dxa" w:w="4824"/>
            <w:vAlign w:val="center"/>
            <w:tcMar>
              <w:top w:w="90" w:type="dxa"/>
              <w:start w:w="100" w:type="dxa"/>
              <w:bottom w:w="90" w:type="dxa"/>
              <w:end w:w="100" w:type="dxa"/>
            </w:tcMar>
            <w:shd w:fill="1F4E78"/>
          </w:tcPr>
          <w:p>
            <w:pPr>
              <w:spacing w:before="40" w:after="40"/>
            </w:pPr>
            <w:r>
              <w:rPr>
                <w:b/>
                <w:color w:val="FFFFFF"/>
                <w:sz w:val="16"/>
              </w:rPr>
              <w:t>Scenario</w:t>
            </w:r>
          </w:p>
        </w:tc>
        <w:tc>
          <w:tcPr>
            <w:tcW w:type="dxa" w:w="4320"/>
            <w:vAlign w:val="center"/>
            <w:tcMar>
              <w:top w:w="90" w:type="dxa"/>
              <w:start w:w="100" w:type="dxa"/>
              <w:bottom w:w="90" w:type="dxa"/>
              <w:end w:w="100" w:type="dxa"/>
            </w:tcMar>
            <w:shd w:fill="1F4E78"/>
          </w:tcPr>
          <w:p>
            <w:pPr>
              <w:spacing w:before="40" w:after="40"/>
            </w:pPr>
            <w:r>
              <w:rPr>
                <w:b/>
                <w:color w:val="FFFFFF"/>
                <w:sz w:val="16"/>
              </w:rPr>
              <w:t>Pass condition</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CHAOS-001</w:t>
            </w:r>
          </w:p>
        </w:tc>
        <w:tc>
          <w:tcPr>
            <w:tcW w:type="dxa" w:w="4824"/>
            <w:vAlign w:val="center"/>
            <w:tcMar>
              <w:top w:w="90" w:type="dxa"/>
              <w:start w:w="100" w:type="dxa"/>
              <w:bottom w:w="90" w:type="dxa"/>
              <w:end w:w="100" w:type="dxa"/>
            </w:tcMar>
          </w:tcPr>
          <w:p>
            <w:pPr>
              <w:spacing w:before="40" w:after="40"/>
            </w:pPr>
            <w:r>
              <w:rPr>
                <w:sz w:val="16"/>
              </w:rPr>
              <w:t>Terminate 25% of API pods during 10K load</w:t>
            </w:r>
          </w:p>
        </w:tc>
        <w:tc>
          <w:tcPr>
            <w:tcW w:type="dxa" w:w="4320"/>
            <w:vAlign w:val="center"/>
            <w:tcMar>
              <w:top w:w="90" w:type="dxa"/>
              <w:start w:w="100" w:type="dxa"/>
              <w:bottom w:w="90" w:type="dxa"/>
              <w:end w:w="100" w:type="dxa"/>
            </w:tcMar>
          </w:tcPr>
          <w:p>
            <w:pPr>
              <w:spacing w:before="40" w:after="40"/>
            </w:pPr>
            <w:r>
              <w:rPr>
                <w:sz w:val="16"/>
              </w:rPr>
              <w:t>Requests rebalance; no committed data lost.</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CHAOS-002</w:t>
            </w:r>
          </w:p>
        </w:tc>
        <w:tc>
          <w:tcPr>
            <w:tcW w:type="dxa" w:w="4824"/>
            <w:vAlign w:val="center"/>
            <w:tcMar>
              <w:top w:w="90" w:type="dxa"/>
              <w:start w:w="100" w:type="dxa"/>
              <w:bottom w:w="90" w:type="dxa"/>
              <w:end w:w="100" w:type="dxa"/>
            </w:tcMar>
          </w:tcPr>
          <w:p>
            <w:pPr>
              <w:spacing w:before="40" w:after="40"/>
            </w:pPr>
            <w:r>
              <w:rPr>
                <w:sz w:val="16"/>
              </w:rPr>
              <w:t>Drain/lose one EKS node group/AZ capacity</w:t>
            </w:r>
          </w:p>
        </w:tc>
        <w:tc>
          <w:tcPr>
            <w:tcW w:type="dxa" w:w="4320"/>
            <w:vAlign w:val="center"/>
            <w:tcMar>
              <w:top w:w="90" w:type="dxa"/>
              <w:start w:w="100" w:type="dxa"/>
              <w:bottom w:w="90" w:type="dxa"/>
              <w:end w:w="100" w:type="dxa"/>
            </w:tcMar>
          </w:tcPr>
          <w:p>
            <w:pPr>
              <w:spacing w:before="40" w:after="40"/>
            </w:pPr>
            <w:r>
              <w:rPr>
                <w:sz w:val="16"/>
              </w:rPr>
              <w:t>Workloads reschedule; SLO impact within approved window.</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CHAOS-003</w:t>
            </w:r>
          </w:p>
        </w:tc>
        <w:tc>
          <w:tcPr>
            <w:tcW w:type="dxa" w:w="4824"/>
            <w:vAlign w:val="center"/>
            <w:tcMar>
              <w:top w:w="90" w:type="dxa"/>
              <w:start w:w="100" w:type="dxa"/>
              <w:bottom w:w="90" w:type="dxa"/>
              <w:end w:w="100" w:type="dxa"/>
            </w:tcMar>
          </w:tcPr>
          <w:p>
            <w:pPr>
              <w:spacing w:before="40" w:after="40"/>
            </w:pPr>
            <w:r>
              <w:rPr>
                <w:sz w:val="16"/>
              </w:rPr>
              <w:t>Aurora writer failover</w:t>
            </w:r>
          </w:p>
        </w:tc>
        <w:tc>
          <w:tcPr>
            <w:tcW w:type="dxa" w:w="4320"/>
            <w:vAlign w:val="center"/>
            <w:tcMar>
              <w:top w:w="90" w:type="dxa"/>
              <w:start w:w="100" w:type="dxa"/>
              <w:bottom w:w="90" w:type="dxa"/>
              <w:end w:w="100" w:type="dxa"/>
            </w:tcMar>
          </w:tcPr>
          <w:p>
            <w:pPr>
              <w:spacing w:before="40" w:after="40"/>
            </w:pPr>
            <w:r>
              <w:rPr>
                <w:sz w:val="16"/>
              </w:rPr>
              <w:t>Client/pool recovers; no split-brain/duplicate decisions.</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CHAOS-004</w:t>
            </w:r>
          </w:p>
        </w:tc>
        <w:tc>
          <w:tcPr>
            <w:tcW w:type="dxa" w:w="4824"/>
            <w:vAlign w:val="center"/>
            <w:tcMar>
              <w:top w:w="90" w:type="dxa"/>
              <w:start w:w="100" w:type="dxa"/>
              <w:bottom w:w="90" w:type="dxa"/>
              <w:end w:w="100" w:type="dxa"/>
            </w:tcMar>
          </w:tcPr>
          <w:p>
            <w:pPr>
              <w:spacing w:before="40" w:after="40"/>
            </w:pPr>
            <w:r>
              <w:rPr>
                <w:sz w:val="16"/>
              </w:rPr>
              <w:t>MSK broker/service disruption</w:t>
            </w:r>
          </w:p>
        </w:tc>
        <w:tc>
          <w:tcPr>
            <w:tcW w:type="dxa" w:w="4320"/>
            <w:vAlign w:val="center"/>
            <w:tcMar>
              <w:top w:w="90" w:type="dxa"/>
              <w:start w:w="100" w:type="dxa"/>
              <w:bottom w:w="90" w:type="dxa"/>
              <w:end w:w="100" w:type="dxa"/>
            </w:tcMar>
          </w:tcPr>
          <w:p>
            <w:pPr>
              <w:spacing w:before="40" w:after="40"/>
            </w:pPr>
            <w:r>
              <w:rPr>
                <w:sz w:val="16"/>
              </w:rPr>
              <w:t>Outbox accumulates/replays; no event-driven side effect lost.</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CHAOS-005</w:t>
            </w:r>
          </w:p>
        </w:tc>
        <w:tc>
          <w:tcPr>
            <w:tcW w:type="dxa" w:w="4824"/>
            <w:vAlign w:val="center"/>
            <w:tcMar>
              <w:top w:w="90" w:type="dxa"/>
              <w:start w:w="100" w:type="dxa"/>
              <w:bottom w:w="90" w:type="dxa"/>
              <w:end w:w="100" w:type="dxa"/>
            </w:tcMar>
          </w:tcPr>
          <w:p>
            <w:pPr>
              <w:spacing w:before="40" w:after="40"/>
            </w:pPr>
            <w:r>
              <w:rPr>
                <w:sz w:val="16"/>
              </w:rPr>
              <w:t>Temporal worker fleet loss</w:t>
            </w:r>
          </w:p>
        </w:tc>
        <w:tc>
          <w:tcPr>
            <w:tcW w:type="dxa" w:w="4320"/>
            <w:vAlign w:val="center"/>
            <w:tcMar>
              <w:top w:w="90" w:type="dxa"/>
              <w:start w:w="100" w:type="dxa"/>
              <w:bottom w:w="90" w:type="dxa"/>
              <w:end w:w="100" w:type="dxa"/>
            </w:tcMar>
          </w:tcPr>
          <w:p>
            <w:pPr>
              <w:spacing w:before="40" w:after="40"/>
            </w:pPr>
            <w:r>
              <w:rPr>
                <w:sz w:val="16"/>
              </w:rPr>
              <w:t>Durable workflows resume after worker replacement.</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CHAOS-006</w:t>
            </w:r>
          </w:p>
        </w:tc>
        <w:tc>
          <w:tcPr>
            <w:tcW w:type="dxa" w:w="4824"/>
            <w:vAlign w:val="center"/>
            <w:tcMar>
              <w:top w:w="90" w:type="dxa"/>
              <w:start w:w="100" w:type="dxa"/>
              <w:bottom w:w="90" w:type="dxa"/>
              <w:end w:w="100" w:type="dxa"/>
            </w:tcMar>
          </w:tcPr>
          <w:p>
            <w:pPr>
              <w:spacing w:before="40" w:after="40"/>
            </w:pPr>
            <w:r>
              <w:rPr>
                <w:sz w:val="16"/>
              </w:rPr>
              <w:t>OpenSearch unavailable for 30 min</w:t>
            </w:r>
          </w:p>
        </w:tc>
        <w:tc>
          <w:tcPr>
            <w:tcW w:type="dxa" w:w="4320"/>
            <w:vAlign w:val="center"/>
            <w:tcMar>
              <w:top w:w="90" w:type="dxa"/>
              <w:start w:w="100" w:type="dxa"/>
              <w:bottom w:w="90" w:type="dxa"/>
              <w:end w:w="100" w:type="dxa"/>
            </w:tcMar>
          </w:tcPr>
          <w:p>
            <w:pPr>
              <w:spacing w:before="40" w:after="40"/>
            </w:pPr>
            <w:r>
              <w:rPr>
                <w:sz w:val="16"/>
              </w:rPr>
              <w:t>Core transactions continue; search later catches up.</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CHAOS-007</w:t>
            </w:r>
          </w:p>
        </w:tc>
        <w:tc>
          <w:tcPr>
            <w:tcW w:type="dxa" w:w="4824"/>
            <w:vAlign w:val="center"/>
            <w:tcMar>
              <w:top w:w="90" w:type="dxa"/>
              <w:start w:w="100" w:type="dxa"/>
              <w:bottom w:w="90" w:type="dxa"/>
              <w:end w:w="100" w:type="dxa"/>
            </w:tcMar>
          </w:tcPr>
          <w:p>
            <w:pPr>
              <w:spacing w:before="40" w:after="40"/>
            </w:pPr>
            <w:r>
              <w:rPr>
                <w:sz w:val="16"/>
              </w:rPr>
              <w:t>Valkey unavailable</w:t>
            </w:r>
          </w:p>
        </w:tc>
        <w:tc>
          <w:tcPr>
            <w:tcW w:type="dxa" w:w="4320"/>
            <w:vAlign w:val="center"/>
            <w:tcMar>
              <w:top w:w="90" w:type="dxa"/>
              <w:start w:w="100" w:type="dxa"/>
              <w:bottom w:w="90" w:type="dxa"/>
              <w:end w:w="100" w:type="dxa"/>
            </w:tcMar>
          </w:tcPr>
          <w:p>
            <w:pPr>
              <w:spacing w:before="40" w:after="40"/>
            </w:pPr>
            <w:r>
              <w:rPr>
                <w:sz w:val="16"/>
              </w:rPr>
              <w:t>Correctness retained; latency degradation measurable.</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CHAOS-008</w:t>
            </w:r>
          </w:p>
        </w:tc>
        <w:tc>
          <w:tcPr>
            <w:tcW w:type="dxa" w:w="4824"/>
            <w:vAlign w:val="center"/>
            <w:tcMar>
              <w:top w:w="90" w:type="dxa"/>
              <w:start w:w="100" w:type="dxa"/>
              <w:bottom w:w="90" w:type="dxa"/>
              <w:end w:w="100" w:type="dxa"/>
            </w:tcMar>
          </w:tcPr>
          <w:p>
            <w:pPr>
              <w:spacing w:before="40" w:after="40"/>
            </w:pPr>
            <w:r>
              <w:rPr>
                <w:sz w:val="16"/>
              </w:rPr>
              <w:t>DigiLocker/payment/notification dependency outage</w:t>
            </w:r>
          </w:p>
        </w:tc>
        <w:tc>
          <w:tcPr>
            <w:tcW w:type="dxa" w:w="4320"/>
            <w:vAlign w:val="center"/>
            <w:tcMar>
              <w:top w:w="90" w:type="dxa"/>
              <w:start w:w="100" w:type="dxa"/>
              <w:bottom w:w="90" w:type="dxa"/>
              <w:end w:w="100" w:type="dxa"/>
            </w:tcMar>
          </w:tcPr>
          <w:p>
            <w:pPr>
              <w:spacing w:before="40" w:after="40"/>
            </w:pPr>
            <w:r>
              <w:rPr>
                <w:sz w:val="16"/>
              </w:rPr>
              <w:t>Circuit breakers and fallback policies prevent cascade.</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BKP-001</w:t>
            </w:r>
          </w:p>
        </w:tc>
        <w:tc>
          <w:tcPr>
            <w:tcW w:type="dxa" w:w="4824"/>
            <w:vAlign w:val="center"/>
            <w:tcMar>
              <w:top w:w="90" w:type="dxa"/>
              <w:start w:w="100" w:type="dxa"/>
              <w:bottom w:w="90" w:type="dxa"/>
              <w:end w:w="100" w:type="dxa"/>
            </w:tcMar>
          </w:tcPr>
          <w:p>
            <w:pPr>
              <w:spacing w:before="40" w:after="40"/>
            </w:pPr>
            <w:r>
              <w:rPr>
                <w:sz w:val="16"/>
              </w:rPr>
              <w:t>Restore Aurora from PITR/backup into isolated environment</w:t>
            </w:r>
          </w:p>
        </w:tc>
        <w:tc>
          <w:tcPr>
            <w:tcW w:type="dxa" w:w="4320"/>
            <w:vAlign w:val="center"/>
            <w:tcMar>
              <w:top w:w="90" w:type="dxa"/>
              <w:start w:w="100" w:type="dxa"/>
              <w:bottom w:w="90" w:type="dxa"/>
              <w:end w:w="100" w:type="dxa"/>
            </w:tcMar>
          </w:tcPr>
          <w:p>
            <w:pPr>
              <w:spacing w:before="40" w:after="40"/>
            </w:pPr>
            <w:r>
              <w:rPr>
                <w:sz w:val="16"/>
              </w:rPr>
              <w:t>Data/audit/outbox consistency checks pass.</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BKP-002</w:t>
            </w:r>
          </w:p>
        </w:tc>
        <w:tc>
          <w:tcPr>
            <w:tcW w:type="dxa" w:w="4824"/>
            <w:vAlign w:val="center"/>
            <w:tcMar>
              <w:top w:w="90" w:type="dxa"/>
              <w:start w:w="100" w:type="dxa"/>
              <w:bottom w:w="90" w:type="dxa"/>
              <w:end w:w="100" w:type="dxa"/>
            </w:tcMar>
          </w:tcPr>
          <w:p>
            <w:pPr>
              <w:spacing w:before="40" w:after="40"/>
            </w:pPr>
            <w:r>
              <w:rPr>
                <w:sz w:val="16"/>
              </w:rPr>
              <w:t>Recover S3 evidence metadata/object references</w:t>
            </w:r>
          </w:p>
        </w:tc>
        <w:tc>
          <w:tcPr>
            <w:tcW w:type="dxa" w:w="4320"/>
            <w:vAlign w:val="center"/>
            <w:tcMar>
              <w:top w:w="90" w:type="dxa"/>
              <w:start w:w="100" w:type="dxa"/>
              <w:bottom w:w="90" w:type="dxa"/>
              <w:end w:w="100" w:type="dxa"/>
            </w:tcMar>
          </w:tcPr>
          <w:p>
            <w:pPr>
              <w:spacing w:before="40" w:after="40"/>
            </w:pPr>
            <w:r>
              <w:rPr>
                <w:sz w:val="16"/>
              </w:rPr>
              <w:t>Hashes and ownership references reconcile.</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DR-001</w:t>
            </w:r>
          </w:p>
        </w:tc>
        <w:tc>
          <w:tcPr>
            <w:tcW w:type="dxa" w:w="4824"/>
            <w:vAlign w:val="center"/>
            <w:tcMar>
              <w:top w:w="90" w:type="dxa"/>
              <w:start w:w="100" w:type="dxa"/>
              <w:bottom w:w="90" w:type="dxa"/>
              <w:end w:w="100" w:type="dxa"/>
            </w:tcMar>
          </w:tcPr>
          <w:p>
            <w:pPr>
              <w:spacing w:before="40" w:after="40"/>
            </w:pPr>
            <w:r>
              <w:rPr>
                <w:sz w:val="16"/>
              </w:rPr>
              <w:t>Execute documented regional/cell recovery exercise</w:t>
            </w:r>
          </w:p>
        </w:tc>
        <w:tc>
          <w:tcPr>
            <w:tcW w:type="dxa" w:w="4320"/>
            <w:vAlign w:val="center"/>
            <w:tcMar>
              <w:top w:w="90" w:type="dxa"/>
              <w:start w:w="100" w:type="dxa"/>
              <w:bottom w:w="90" w:type="dxa"/>
              <w:end w:w="100" w:type="dxa"/>
            </w:tcMar>
          </w:tcPr>
          <w:p>
            <w:pPr>
              <w:spacing w:before="40" w:after="40"/>
            </w:pPr>
            <w:r>
              <w:rPr>
                <w:sz w:val="16"/>
              </w:rPr>
              <w:t>RTO/RPO measured against service tier, not assumed.</w:t>
            </w:r>
          </w:p>
        </w:tc>
      </w:tr>
      <w:tr>
        <w:trPr>
          <w:cantSplit w:val="true"/>
        </w:trPr>
        <w:tc>
          <w:tcPr>
            <w:tcW w:type="dxa" w:w="1224"/>
            <w:vAlign w:val="center"/>
            <w:tcMar>
              <w:top w:w="90" w:type="dxa"/>
              <w:start w:w="100" w:type="dxa"/>
              <w:bottom w:w="90" w:type="dxa"/>
              <w:end w:w="100" w:type="dxa"/>
            </w:tcMar>
            <w:shd w:fill="EAF2F8"/>
          </w:tcPr>
          <w:p>
            <w:pPr>
              <w:spacing w:before="40" w:after="40"/>
            </w:pPr>
            <w:r>
              <w:rPr>
                <w:b/>
                <w:sz w:val="16"/>
              </w:rPr>
              <w:t>DR-002</w:t>
            </w:r>
          </w:p>
        </w:tc>
        <w:tc>
          <w:tcPr>
            <w:tcW w:type="dxa" w:w="4824"/>
            <w:vAlign w:val="center"/>
            <w:tcMar>
              <w:top w:w="90" w:type="dxa"/>
              <w:start w:w="100" w:type="dxa"/>
              <w:bottom w:w="90" w:type="dxa"/>
              <w:end w:w="100" w:type="dxa"/>
            </w:tcMar>
          </w:tcPr>
          <w:p>
            <w:pPr>
              <w:spacing w:before="40" w:after="40"/>
            </w:pPr>
            <w:r>
              <w:rPr>
                <w:sz w:val="16"/>
              </w:rPr>
              <w:t>Replay pending events/jobs after recovery</w:t>
            </w:r>
          </w:p>
        </w:tc>
        <w:tc>
          <w:tcPr>
            <w:tcW w:type="dxa" w:w="4320"/>
            <w:vAlign w:val="center"/>
            <w:tcMar>
              <w:top w:w="90" w:type="dxa"/>
              <w:start w:w="100" w:type="dxa"/>
              <w:bottom w:w="90" w:type="dxa"/>
              <w:end w:w="100" w:type="dxa"/>
            </w:tcMar>
          </w:tcPr>
          <w:p>
            <w:pPr>
              <w:spacing w:before="40" w:after="40"/>
            </w:pPr>
            <w:r>
              <w:rPr>
                <w:sz w:val="16"/>
              </w:rPr>
              <w:t>Idempotency prevents duplicate payments/credentials/notifications.</w:t>
            </w:r>
          </w:p>
        </w:tc>
      </w:tr>
    </w:tbl>
    <w:p>
      <w:pPr>
        <w:pStyle w:val="Heading2"/>
      </w:pPr>
      <w:r>
        <w:t>18.9 Test automation architecture and environments</w:t>
      </w:r>
    </w:p>
    <w:tbl>
      <w:tblPr>
        <w:tblW w:type="auto" w:w="0"/>
        <w:tblLayout w:type="autofit"/>
        <w:tblLook w:firstColumn="1" w:firstRow="1" w:lastColumn="0" w:lastRow="0" w:noHBand="0" w:noVBand="1" w:val="04A0"/>
      </w:tblPr>
      <w:tblGrid>
        <w:gridCol w:w="3389"/>
        <w:gridCol w:w="3389"/>
        <w:gridCol w:w="3389"/>
      </w:tblGrid>
      <w:tr>
        <w:trPr>
          <w:tblHeader w:val="true"/>
          <w:cantSplit w:val="true"/>
        </w:trPr>
        <w:tc>
          <w:tcPr>
            <w:tcW w:type="dxa" w:w="1656"/>
            <w:vAlign w:val="center"/>
            <w:tcMar>
              <w:top w:w="90" w:type="dxa"/>
              <w:start w:w="100" w:type="dxa"/>
              <w:bottom w:w="90" w:type="dxa"/>
              <w:end w:w="100" w:type="dxa"/>
            </w:tcMar>
            <w:shd w:fill="1F4E78"/>
          </w:tcPr>
          <w:p>
            <w:pPr>
              <w:spacing w:before="40" w:after="40"/>
            </w:pPr>
            <w:r>
              <w:rPr>
                <w:b/>
                <w:color w:val="FFFFFF"/>
                <w:sz w:val="16"/>
              </w:rPr>
              <w:t>Environment</w:t>
            </w:r>
          </w:p>
        </w:tc>
        <w:tc>
          <w:tcPr>
            <w:tcW w:type="dxa" w:w="3456"/>
            <w:vAlign w:val="center"/>
            <w:tcMar>
              <w:top w:w="90" w:type="dxa"/>
              <w:start w:w="100" w:type="dxa"/>
              <w:bottom w:w="90" w:type="dxa"/>
              <w:end w:w="100" w:type="dxa"/>
            </w:tcMar>
            <w:shd w:fill="1F4E78"/>
          </w:tcPr>
          <w:p>
            <w:pPr>
              <w:spacing w:before="40" w:after="40"/>
            </w:pPr>
            <w:r>
              <w:rPr>
                <w:b/>
                <w:color w:val="FFFFFF"/>
                <w:sz w:val="16"/>
              </w:rPr>
              <w:t>Purpose</w:t>
            </w:r>
          </w:p>
        </w:tc>
        <w:tc>
          <w:tcPr>
            <w:tcW w:type="dxa" w:w="5256"/>
            <w:vAlign w:val="center"/>
            <w:tcMar>
              <w:top w:w="90" w:type="dxa"/>
              <w:start w:w="100" w:type="dxa"/>
              <w:bottom w:w="90" w:type="dxa"/>
              <w:end w:w="100" w:type="dxa"/>
            </w:tcMar>
            <w:shd w:fill="1F4E78"/>
          </w:tcPr>
          <w:p>
            <w:pPr>
              <w:spacing w:before="40" w:after="40"/>
            </w:pPr>
            <w:r>
              <w:rPr>
                <w:b/>
                <w:color w:val="FFFFFF"/>
                <w:sz w:val="16"/>
              </w:rPr>
              <w:t>Rules</w:t>
            </w:r>
          </w:p>
        </w:tc>
      </w:tr>
      <w:tr>
        <w:trPr>
          <w:cantSplit w:val="true"/>
        </w:trPr>
        <w:tc>
          <w:tcPr>
            <w:tcW w:type="dxa" w:w="1656"/>
            <w:vAlign w:val="center"/>
            <w:tcMar>
              <w:top w:w="90" w:type="dxa"/>
              <w:start w:w="100" w:type="dxa"/>
              <w:bottom w:w="90" w:type="dxa"/>
              <w:end w:w="100" w:type="dxa"/>
            </w:tcMar>
            <w:shd w:fill="EAF2F8"/>
          </w:tcPr>
          <w:p>
            <w:pPr>
              <w:spacing w:before="40" w:after="40"/>
            </w:pPr>
            <w:r>
              <w:rPr>
                <w:b/>
                <w:sz w:val="16"/>
              </w:rPr>
              <w:t>Local</w:t>
            </w:r>
          </w:p>
        </w:tc>
        <w:tc>
          <w:tcPr>
            <w:tcW w:type="dxa" w:w="3456"/>
            <w:vAlign w:val="center"/>
            <w:tcMar>
              <w:top w:w="90" w:type="dxa"/>
              <w:start w:w="100" w:type="dxa"/>
              <w:bottom w:w="90" w:type="dxa"/>
              <w:end w:w="100" w:type="dxa"/>
            </w:tcMar>
          </w:tcPr>
          <w:p>
            <w:pPr>
              <w:spacing w:before="40" w:after="40"/>
            </w:pPr>
            <w:r>
              <w:rPr>
                <w:sz w:val="16"/>
              </w:rPr>
              <w:t>Developer + containerized dependencies/mocks</w:t>
            </w:r>
          </w:p>
        </w:tc>
        <w:tc>
          <w:tcPr>
            <w:tcW w:type="dxa" w:w="5256"/>
            <w:vAlign w:val="center"/>
            <w:tcMar>
              <w:top w:w="90" w:type="dxa"/>
              <w:start w:w="100" w:type="dxa"/>
              <w:bottom w:w="90" w:type="dxa"/>
              <w:end w:w="100" w:type="dxa"/>
            </w:tcMar>
          </w:tcPr>
          <w:p>
            <w:pPr>
              <w:spacing w:before="40" w:after="40"/>
            </w:pPr>
            <w:r>
              <w:rPr>
                <w:sz w:val="16"/>
              </w:rPr>
              <w:t>Fast unit/component tests; never substitute for AWS integration tests.</w:t>
            </w:r>
          </w:p>
        </w:tc>
      </w:tr>
      <w:tr>
        <w:trPr>
          <w:cantSplit w:val="true"/>
        </w:trPr>
        <w:tc>
          <w:tcPr>
            <w:tcW w:type="dxa" w:w="1656"/>
            <w:vAlign w:val="center"/>
            <w:tcMar>
              <w:top w:w="90" w:type="dxa"/>
              <w:start w:w="100" w:type="dxa"/>
              <w:bottom w:w="90" w:type="dxa"/>
              <w:end w:w="100" w:type="dxa"/>
            </w:tcMar>
            <w:shd w:fill="EAF2F8"/>
          </w:tcPr>
          <w:p>
            <w:pPr>
              <w:spacing w:before="40" w:after="40"/>
            </w:pPr>
            <w:r>
              <w:rPr>
                <w:b/>
                <w:sz w:val="16"/>
              </w:rPr>
              <w:t>CI ephemeral</w:t>
            </w:r>
          </w:p>
        </w:tc>
        <w:tc>
          <w:tcPr>
            <w:tcW w:type="dxa" w:w="3456"/>
            <w:vAlign w:val="center"/>
            <w:tcMar>
              <w:top w:w="90" w:type="dxa"/>
              <w:start w:w="100" w:type="dxa"/>
              <w:bottom w:w="90" w:type="dxa"/>
              <w:end w:w="100" w:type="dxa"/>
            </w:tcMar>
          </w:tcPr>
          <w:p>
            <w:pPr>
              <w:spacing w:before="40" w:after="40"/>
            </w:pPr>
            <w:r>
              <w:rPr>
                <w:sz w:val="16"/>
              </w:rPr>
              <w:t>Per-PR services where practical</w:t>
            </w:r>
          </w:p>
        </w:tc>
        <w:tc>
          <w:tcPr>
            <w:tcW w:type="dxa" w:w="5256"/>
            <w:vAlign w:val="center"/>
            <w:tcMar>
              <w:top w:w="90" w:type="dxa"/>
              <w:start w:w="100" w:type="dxa"/>
              <w:bottom w:w="90" w:type="dxa"/>
              <w:end w:w="100" w:type="dxa"/>
            </w:tcMar>
          </w:tcPr>
          <w:p>
            <w:pPr>
              <w:spacing w:before="40" w:after="40"/>
            </w:pPr>
            <w:r>
              <w:rPr>
                <w:sz w:val="16"/>
              </w:rPr>
              <w:t>Schema, lint, unit, contract, migration, state-machine and security static gates.</w:t>
            </w:r>
          </w:p>
        </w:tc>
      </w:tr>
      <w:tr>
        <w:trPr>
          <w:cantSplit w:val="true"/>
        </w:trPr>
        <w:tc>
          <w:tcPr>
            <w:tcW w:type="dxa" w:w="1656"/>
            <w:vAlign w:val="center"/>
            <w:tcMar>
              <w:top w:w="90" w:type="dxa"/>
              <w:start w:w="100" w:type="dxa"/>
              <w:bottom w:w="90" w:type="dxa"/>
              <w:end w:w="100" w:type="dxa"/>
            </w:tcMar>
            <w:shd w:fill="EAF2F8"/>
          </w:tcPr>
          <w:p>
            <w:pPr>
              <w:spacing w:before="40" w:after="40"/>
            </w:pPr>
            <w:r>
              <w:rPr>
                <w:b/>
                <w:sz w:val="16"/>
              </w:rPr>
              <w:t>Integration</w:t>
            </w:r>
          </w:p>
        </w:tc>
        <w:tc>
          <w:tcPr>
            <w:tcW w:type="dxa" w:w="3456"/>
            <w:vAlign w:val="center"/>
            <w:tcMar>
              <w:top w:w="90" w:type="dxa"/>
              <w:start w:w="100" w:type="dxa"/>
              <w:bottom w:w="90" w:type="dxa"/>
              <w:end w:w="100" w:type="dxa"/>
            </w:tcMar>
          </w:tcPr>
          <w:p>
            <w:pPr>
              <w:spacing w:before="40" w:after="40"/>
            </w:pPr>
            <w:r>
              <w:rPr>
                <w:sz w:val="16"/>
              </w:rPr>
              <w:t>Shared isolated non-prod AWS environment</w:t>
            </w:r>
          </w:p>
        </w:tc>
        <w:tc>
          <w:tcPr>
            <w:tcW w:type="dxa" w:w="5256"/>
            <w:vAlign w:val="center"/>
            <w:tcMar>
              <w:top w:w="90" w:type="dxa"/>
              <w:start w:w="100" w:type="dxa"/>
              <w:bottom w:w="90" w:type="dxa"/>
              <w:end w:w="100" w:type="dxa"/>
            </w:tcMar>
          </w:tcPr>
          <w:p>
            <w:pPr>
              <w:spacing w:before="40" w:after="40"/>
            </w:pPr>
            <w:r>
              <w:rPr>
                <w:sz w:val="16"/>
              </w:rPr>
              <w:t>Real Aurora/S3/Keycloak/Temporal/MSK or approved equivalents; synthetic data only.</w:t>
            </w:r>
          </w:p>
        </w:tc>
      </w:tr>
      <w:tr>
        <w:trPr>
          <w:cantSplit w:val="true"/>
        </w:trPr>
        <w:tc>
          <w:tcPr>
            <w:tcW w:type="dxa" w:w="1656"/>
            <w:vAlign w:val="center"/>
            <w:tcMar>
              <w:top w:w="90" w:type="dxa"/>
              <w:start w:w="100" w:type="dxa"/>
              <w:bottom w:w="90" w:type="dxa"/>
              <w:end w:w="100" w:type="dxa"/>
            </w:tcMar>
            <w:shd w:fill="EAF2F8"/>
          </w:tcPr>
          <w:p>
            <w:pPr>
              <w:spacing w:before="40" w:after="40"/>
            </w:pPr>
            <w:r>
              <w:rPr>
                <w:b/>
                <w:sz w:val="16"/>
              </w:rPr>
              <w:t>Performance</w:t>
            </w:r>
          </w:p>
        </w:tc>
        <w:tc>
          <w:tcPr>
            <w:tcW w:type="dxa" w:w="3456"/>
            <w:vAlign w:val="center"/>
            <w:tcMar>
              <w:top w:w="90" w:type="dxa"/>
              <w:start w:w="100" w:type="dxa"/>
              <w:bottom w:w="90" w:type="dxa"/>
              <w:end w:w="100" w:type="dxa"/>
            </w:tcMar>
          </w:tcPr>
          <w:p>
            <w:pPr>
              <w:spacing w:before="40" w:after="40"/>
            </w:pPr>
            <w:r>
              <w:rPr>
                <w:sz w:val="16"/>
              </w:rPr>
              <w:t>Production-like isolated AWS environment</w:t>
            </w:r>
          </w:p>
        </w:tc>
        <w:tc>
          <w:tcPr>
            <w:tcW w:type="dxa" w:w="5256"/>
            <w:vAlign w:val="center"/>
            <w:tcMar>
              <w:top w:w="90" w:type="dxa"/>
              <w:start w:w="100" w:type="dxa"/>
              <w:bottom w:w="90" w:type="dxa"/>
              <w:end w:w="100" w:type="dxa"/>
            </w:tcMar>
          </w:tcPr>
          <w:p>
            <w:pPr>
              <w:spacing w:before="40" w:after="40"/>
            </w:pPr>
            <w:r>
              <w:rPr>
                <w:sz w:val="16"/>
              </w:rPr>
              <w:t>Representative topology, quotas, autoscaling and dataset sizes; no real citizen PII.</w:t>
            </w:r>
          </w:p>
        </w:tc>
      </w:tr>
      <w:tr>
        <w:trPr>
          <w:cantSplit w:val="true"/>
        </w:trPr>
        <w:tc>
          <w:tcPr>
            <w:tcW w:type="dxa" w:w="1656"/>
            <w:vAlign w:val="center"/>
            <w:tcMar>
              <w:top w:w="90" w:type="dxa"/>
              <w:start w:w="100" w:type="dxa"/>
              <w:bottom w:w="90" w:type="dxa"/>
              <w:end w:w="100" w:type="dxa"/>
            </w:tcMar>
            <w:shd w:fill="EAF2F8"/>
          </w:tcPr>
          <w:p>
            <w:pPr>
              <w:spacing w:before="40" w:after="40"/>
            </w:pPr>
            <w:r>
              <w:rPr>
                <w:b/>
                <w:sz w:val="16"/>
              </w:rPr>
              <w:t>Pre-production</w:t>
            </w:r>
          </w:p>
        </w:tc>
        <w:tc>
          <w:tcPr>
            <w:tcW w:type="dxa" w:w="3456"/>
            <w:vAlign w:val="center"/>
            <w:tcMar>
              <w:top w:w="90" w:type="dxa"/>
              <w:start w:w="100" w:type="dxa"/>
              <w:bottom w:w="90" w:type="dxa"/>
              <w:end w:w="100" w:type="dxa"/>
            </w:tcMar>
          </w:tcPr>
          <w:p>
            <w:pPr>
              <w:spacing w:before="40" w:after="40"/>
            </w:pPr>
            <w:r>
              <w:rPr>
                <w:sz w:val="16"/>
              </w:rPr>
              <w:t>Release candidate environment</w:t>
            </w:r>
          </w:p>
        </w:tc>
        <w:tc>
          <w:tcPr>
            <w:tcW w:type="dxa" w:w="5256"/>
            <w:vAlign w:val="center"/>
            <w:tcMar>
              <w:top w:w="90" w:type="dxa"/>
              <w:start w:w="100" w:type="dxa"/>
              <w:bottom w:w="90" w:type="dxa"/>
              <w:end w:w="100" w:type="dxa"/>
            </w:tcMar>
          </w:tcPr>
          <w:p>
            <w:pPr>
              <w:spacing w:before="40" w:after="40"/>
            </w:pPr>
            <w:r>
              <w:rPr>
                <w:sz w:val="16"/>
              </w:rPr>
              <w:t>Full E2E, tenant isolation, accessibility, recovery and smoke tests.</w:t>
            </w:r>
          </w:p>
        </w:tc>
      </w:tr>
      <w:tr>
        <w:trPr>
          <w:cantSplit w:val="true"/>
        </w:trPr>
        <w:tc>
          <w:tcPr>
            <w:tcW w:type="dxa" w:w="1656"/>
            <w:vAlign w:val="center"/>
            <w:tcMar>
              <w:top w:w="90" w:type="dxa"/>
              <w:start w:w="100" w:type="dxa"/>
              <w:bottom w:w="90" w:type="dxa"/>
              <w:end w:w="100" w:type="dxa"/>
            </w:tcMar>
            <w:shd w:fill="EAF2F8"/>
          </w:tcPr>
          <w:p>
            <w:pPr>
              <w:spacing w:before="40" w:after="40"/>
            </w:pPr>
            <w:r>
              <w:rPr>
                <w:b/>
                <w:sz w:val="16"/>
              </w:rPr>
              <w:t>Production</w:t>
            </w:r>
          </w:p>
        </w:tc>
        <w:tc>
          <w:tcPr>
            <w:tcW w:type="dxa" w:w="3456"/>
            <w:vAlign w:val="center"/>
            <w:tcMar>
              <w:top w:w="90" w:type="dxa"/>
              <w:start w:w="100" w:type="dxa"/>
              <w:bottom w:w="90" w:type="dxa"/>
              <w:end w:w="100" w:type="dxa"/>
            </w:tcMar>
          </w:tcPr>
          <w:p>
            <w:pPr>
              <w:spacing w:before="40" w:after="40"/>
            </w:pPr>
            <w:r>
              <w:rPr>
                <w:sz w:val="16"/>
              </w:rPr>
              <w:t>Post-deploy verification</w:t>
            </w:r>
          </w:p>
        </w:tc>
        <w:tc>
          <w:tcPr>
            <w:tcW w:type="dxa" w:w="5256"/>
            <w:vAlign w:val="center"/>
            <w:tcMar>
              <w:top w:w="90" w:type="dxa"/>
              <w:start w:w="100" w:type="dxa"/>
              <w:bottom w:w="90" w:type="dxa"/>
              <w:end w:w="100" w:type="dxa"/>
            </w:tcMar>
          </w:tcPr>
          <w:p>
            <w:pPr>
              <w:spacing w:before="40" w:after="40"/>
            </w:pPr>
            <w:r>
              <w:rPr>
                <w:sz w:val="16"/>
              </w:rPr>
              <w:t>Synthetic canaries/smoke tests only; destructive tests prohibited.</w:t>
            </w:r>
          </w:p>
        </w:tc>
      </w:tr>
    </w:tbl>
    <w:p>
      <w:pPr>
        <w:pStyle w:val="ListBullet"/>
      </w:pPr>
      <w:r>
        <w:t>Contract tests validate OpenAPI/AsyncAPI/JSON Schema compatibility on every PR.</w:t>
      </w:r>
    </w:p>
    <w:p>
      <w:pPr>
        <w:pStyle w:val="ListBullet"/>
      </w:pPr>
      <w:r>
        <w:t>Database migration tests apply from a clean database and from the previous production schema; destructive migration requires explicit review/rollback plan.</w:t>
      </w:r>
    </w:p>
    <w:p>
      <w:pPr>
        <w:pStyle w:val="ListBullet"/>
      </w:pPr>
      <w:r>
        <w:t>Workflow/rule/form artifacts must have deterministic fixtures and golden test vectors.</w:t>
      </w:r>
    </w:p>
    <w:p>
      <w:pPr>
        <w:pStyle w:val="ListBullet"/>
      </w:pPr>
      <w:r>
        <w:t>All external connectors provide simulators/stubs for success, timeout, malformed response, duplicate callback and quota/rate-limit conditions.</w:t>
      </w:r>
    </w:p>
    <w:p>
      <w:pPr>
        <w:pStyle w:val="ListBullet"/>
      </w:pPr>
      <w:r>
        <w:t>Performance tests must report component saturation, not only end-user RPS.</w:t>
      </w:r>
    </w:p>
    <w:p>
      <w:pPr>
        <w:pStyle w:val="Heading2"/>
      </w:pPr>
      <w:r>
        <w:t>18.10 Test data and privacy rules</w:t>
      </w:r>
    </w:p>
    <w:p>
      <w:pPr>
        <w:pStyle w:val="ListBullet"/>
      </w:pPr>
      <w:r>
        <w:t>Production citizen data must not be copied into development, CI or performance environments.</w:t>
      </w:r>
    </w:p>
    <w:p>
      <w:pPr>
        <w:pStyle w:val="ListBullet"/>
      </w:pPr>
      <w:r>
        <w:t>Use synthetic citizens, synthetic evidence and generated government hierarchy/reference datasets.</w:t>
      </w:r>
    </w:p>
    <w:p>
      <w:pPr>
        <w:pStyle w:val="ListBullet"/>
      </w:pPr>
      <w:r>
        <w:t>Test logs/screenshots/artifacts must follow the same no-PII rule as production telemetry.</w:t>
      </w:r>
    </w:p>
    <w:p>
      <w:pPr>
        <w:pStyle w:val="ListBullet"/>
      </w:pPr>
      <w:r>
        <w:t>Tenant-isolation tests require at least two tenants plus multiple organisations/jurisdictions and deliberately similar identifiers to expose accidental leakage.</w:t>
      </w:r>
    </w:p>
    <w:p>
      <w:pPr>
        <w:pStyle w:val="ListBullet"/>
      </w:pPr>
      <w:r>
        <w:t>Security test accounts must be clearly labelled and expire automatically.</w:t>
      </w:r>
    </w:p>
    <w:p>
      <w:pPr>
        <w:pStyle w:val="Heading2"/>
      </w:pPr>
      <w:r>
        <w:t>18.11 Requirement-to-test traceability and release evidence</w:t>
      </w:r>
    </w:p>
    <w:tbl>
      <w:tblPr>
        <w:tblW w:type="auto" w:w="0"/>
        <w:tblLayout w:type="autofit"/>
        <w:tblLook w:firstColumn="1" w:firstRow="1" w:lastColumn="0" w:lastRow="0" w:noHBand="0" w:noVBand="1" w:val="04A0"/>
      </w:tblPr>
      <w:tblGrid>
        <w:gridCol w:w="5083"/>
        <w:gridCol w:w="5083"/>
      </w:tblGrid>
      <w:tr>
        <w:trPr>
          <w:tblHeader w:val="true"/>
          <w:cantSplit w:val="true"/>
        </w:trPr>
        <w:tc>
          <w:tcPr>
            <w:tcW w:type="dxa" w:w="2304"/>
            <w:vAlign w:val="center"/>
            <w:tcMar>
              <w:top w:w="90" w:type="dxa"/>
              <w:start w:w="100" w:type="dxa"/>
              <w:bottom w:w="90" w:type="dxa"/>
              <w:end w:w="100" w:type="dxa"/>
            </w:tcMar>
            <w:shd w:fill="1F4E78"/>
          </w:tcPr>
          <w:p>
            <w:pPr>
              <w:spacing w:before="40" w:after="40"/>
            </w:pPr>
            <w:r>
              <w:rPr>
                <w:b/>
                <w:color w:val="FFFFFF"/>
                <w:sz w:val="17"/>
              </w:rPr>
              <w:t>Trace field</w:t>
            </w:r>
          </w:p>
        </w:tc>
        <w:tc>
          <w:tcPr>
            <w:tcW w:type="dxa" w:w="8064"/>
            <w:vAlign w:val="center"/>
            <w:tcMar>
              <w:top w:w="90" w:type="dxa"/>
              <w:start w:w="100" w:type="dxa"/>
              <w:bottom w:w="90" w:type="dxa"/>
              <w:end w:w="100" w:type="dxa"/>
            </w:tcMar>
            <w:shd w:fill="1F4E78"/>
          </w:tcPr>
          <w:p>
            <w:pPr>
              <w:spacing w:before="40" w:after="40"/>
            </w:pPr>
            <w:r>
              <w:rPr>
                <w:b/>
                <w:color w:val="FFFFFF"/>
                <w:sz w:val="17"/>
              </w:rPr>
              <w:t>Mandatory release evidence</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7"/>
              </w:rPr>
              <w:t>Requirement ID</w:t>
            </w:r>
          </w:p>
        </w:tc>
        <w:tc>
          <w:tcPr>
            <w:tcW w:type="dxa" w:w="8064"/>
            <w:vAlign w:val="center"/>
            <w:tcMar>
              <w:top w:w="90" w:type="dxa"/>
              <w:start w:w="100" w:type="dxa"/>
              <w:bottom w:w="90" w:type="dxa"/>
              <w:end w:w="100" w:type="dxa"/>
            </w:tcMar>
          </w:tcPr>
          <w:p>
            <w:pPr>
              <w:spacing w:before="40" w:after="40"/>
            </w:pPr>
            <w:r>
              <w:rPr>
                <w:sz w:val="17"/>
              </w:rPr>
              <w:t>Every functional/non-functional requirement implemented in a PR.</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7"/>
              </w:rPr>
              <w:t>Component ID</w:t>
            </w:r>
          </w:p>
        </w:tc>
        <w:tc>
          <w:tcPr>
            <w:tcW w:type="dxa" w:w="8064"/>
            <w:vAlign w:val="center"/>
            <w:tcMar>
              <w:top w:w="90" w:type="dxa"/>
              <w:start w:w="100" w:type="dxa"/>
              <w:bottom w:w="90" w:type="dxa"/>
              <w:end w:w="100" w:type="dxa"/>
            </w:tcMar>
          </w:tcPr>
          <w:p>
            <w:pPr>
              <w:spacing w:before="40" w:after="40"/>
            </w:pPr>
            <w:r>
              <w:rPr>
                <w:sz w:val="17"/>
              </w:rPr>
              <w:t>CMP-xxx owning or participating in the behavior.</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7"/>
              </w:rPr>
              <w:t>Test IDs</w:t>
            </w:r>
          </w:p>
        </w:tc>
        <w:tc>
          <w:tcPr>
            <w:tcW w:type="dxa" w:w="8064"/>
            <w:vAlign w:val="center"/>
            <w:tcMar>
              <w:top w:w="90" w:type="dxa"/>
              <w:start w:w="100" w:type="dxa"/>
              <w:bottom w:w="90" w:type="dxa"/>
              <w:end w:w="100" w:type="dxa"/>
            </w:tcMar>
          </w:tcPr>
          <w:p>
            <w:pPr>
              <w:spacing w:before="40" w:after="40"/>
            </w:pPr>
            <w:r>
              <w:rPr>
                <w:sz w:val="17"/>
              </w:rPr>
              <w:t>Unit/integration/E2E/security/performance tests proving the requirement.</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7"/>
              </w:rPr>
              <w:t>Contract IDs</w:t>
            </w:r>
          </w:p>
        </w:tc>
        <w:tc>
          <w:tcPr>
            <w:tcW w:type="dxa" w:w="8064"/>
            <w:vAlign w:val="center"/>
            <w:tcMar>
              <w:top w:w="90" w:type="dxa"/>
              <w:start w:w="100" w:type="dxa"/>
              <w:bottom w:w="90" w:type="dxa"/>
              <w:end w:w="100" w:type="dxa"/>
            </w:tcMar>
          </w:tcPr>
          <w:p>
            <w:pPr>
              <w:spacing w:before="40" w:after="40"/>
            </w:pPr>
            <w:r>
              <w:rPr>
                <w:sz w:val="17"/>
              </w:rPr>
              <w:t>API/event/schema/rule/workflow versions exercised.</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7"/>
              </w:rPr>
              <w:t>Evidence</w:t>
            </w:r>
          </w:p>
        </w:tc>
        <w:tc>
          <w:tcPr>
            <w:tcW w:type="dxa" w:w="8064"/>
            <w:vAlign w:val="center"/>
            <w:tcMar>
              <w:top w:w="90" w:type="dxa"/>
              <w:start w:w="100" w:type="dxa"/>
              <w:bottom w:w="90" w:type="dxa"/>
              <w:end w:w="100" w:type="dxa"/>
            </w:tcMar>
          </w:tcPr>
          <w:p>
            <w:pPr>
              <w:spacing w:before="40" w:after="40"/>
            </w:pPr>
            <w:r>
              <w:rPr>
                <w:sz w:val="17"/>
              </w:rPr>
              <w:t>CI link/report, security scan, performance result, migration result or manual approval where required.</w:t>
            </w:r>
          </w:p>
        </w:tc>
      </w:tr>
      <w:tr>
        <w:trPr>
          <w:cantSplit w:val="true"/>
        </w:trPr>
        <w:tc>
          <w:tcPr>
            <w:tcW w:type="dxa" w:w="2304"/>
            <w:vAlign w:val="center"/>
            <w:tcMar>
              <w:top w:w="90" w:type="dxa"/>
              <w:start w:w="100" w:type="dxa"/>
              <w:bottom w:w="90" w:type="dxa"/>
              <w:end w:w="100" w:type="dxa"/>
            </w:tcMar>
            <w:shd w:fill="EAF2F8"/>
          </w:tcPr>
          <w:p>
            <w:pPr>
              <w:spacing w:before="40" w:after="40"/>
            </w:pPr>
            <w:r>
              <w:rPr>
                <w:b/>
                <w:sz w:val="17"/>
              </w:rPr>
              <w:t>Status</w:t>
            </w:r>
          </w:p>
        </w:tc>
        <w:tc>
          <w:tcPr>
            <w:tcW w:type="dxa" w:w="8064"/>
            <w:vAlign w:val="center"/>
            <w:tcMar>
              <w:top w:w="90" w:type="dxa"/>
              <w:start w:w="100" w:type="dxa"/>
              <w:bottom w:w="90" w:type="dxa"/>
              <w:end w:w="100" w:type="dxa"/>
            </w:tcMar>
          </w:tcPr>
          <w:p>
            <w:pPr>
              <w:spacing w:before="40" w:after="40"/>
            </w:pPr>
            <w:r>
              <w:rPr>
                <w:sz w:val="17"/>
              </w:rPr>
              <w:t>NOT_IMPLEMENTED / IMPLEMENTED_UNVERIFIED / VERIFIED / WAIVED_WITH_APPROVAL.</w:t>
            </w:r>
          </w:p>
        </w:tc>
      </w:tr>
    </w:tbl>
    <w:tbl>
      <w:tblPr>
        <w:tblW w:type="auto" w:w="0"/>
        <w:tblLayout w:type="autofit"/>
        <w:tblLook w:firstColumn="1" w:firstRow="1" w:lastColumn="0" w:lastRow="0" w:noHBand="0" w:noVBand="1" w:val="04A0"/>
      </w:tblPr>
      <w:tblGrid>
        <w:gridCol w:w="5083"/>
        <w:gridCol w:w="5083"/>
      </w:tblGrid>
      <w:tr>
        <w:trPr>
          <w:tblHeader w:val="true"/>
          <w:cantSplit w:val="true"/>
        </w:trPr>
        <w:tc>
          <w:tcPr>
            <w:tcW w:type="dxa" w:w="1152"/>
            <w:vAlign w:val="center"/>
            <w:tcMar>
              <w:top w:w="90" w:type="dxa"/>
              <w:start w:w="100" w:type="dxa"/>
              <w:bottom w:w="90" w:type="dxa"/>
              <w:end w:w="100" w:type="dxa"/>
            </w:tcMar>
            <w:shd w:fill="1F4E78"/>
          </w:tcPr>
          <w:p>
            <w:pPr>
              <w:spacing w:before="40" w:after="40"/>
            </w:pPr>
            <w:r>
              <w:rPr>
                <w:b/>
                <w:color w:val="FFFFFF"/>
                <w:sz w:val="17"/>
              </w:rPr>
              <w:t>Gate</w:t>
            </w:r>
          </w:p>
        </w:tc>
        <w:tc>
          <w:tcPr>
            <w:tcW w:type="dxa" w:w="9216"/>
            <w:vAlign w:val="center"/>
            <w:tcMar>
              <w:top w:w="90" w:type="dxa"/>
              <w:start w:w="100" w:type="dxa"/>
              <w:bottom w:w="90" w:type="dxa"/>
              <w:end w:w="100" w:type="dxa"/>
            </w:tcMar>
            <w:shd w:fill="1F4E78"/>
          </w:tcPr>
          <w:p>
            <w:pPr>
              <w:spacing w:before="40" w:after="40"/>
            </w:pPr>
            <w:r>
              <w:rPr>
                <w:b/>
                <w:color w:val="FFFFFF"/>
                <w:sz w:val="17"/>
              </w:rPr>
              <w:t>Production release requirement</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R1</w:t>
            </w:r>
          </w:p>
        </w:tc>
        <w:tc>
          <w:tcPr>
            <w:tcW w:type="dxa" w:w="9216"/>
            <w:vAlign w:val="center"/>
            <w:tcMar>
              <w:top w:w="90" w:type="dxa"/>
              <w:start w:w="100" w:type="dxa"/>
              <w:bottom w:w="90" w:type="dxa"/>
              <w:end w:w="100" w:type="dxa"/>
            </w:tcMar>
          </w:tcPr>
          <w:p>
            <w:pPr>
              <w:spacing w:before="40" w:after="40"/>
            </w:pPr>
            <w:r>
              <w:rPr>
                <w:sz w:val="17"/>
              </w:rPr>
              <w:t>All changed requirements have passing automated tests and traceability.</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R2</w:t>
            </w:r>
          </w:p>
        </w:tc>
        <w:tc>
          <w:tcPr>
            <w:tcW w:type="dxa" w:w="9216"/>
            <w:vAlign w:val="center"/>
            <w:tcMar>
              <w:top w:w="90" w:type="dxa"/>
              <w:start w:w="100" w:type="dxa"/>
              <w:bottom w:w="90" w:type="dxa"/>
              <w:end w:w="100" w:type="dxa"/>
            </w:tcMar>
          </w:tcPr>
          <w:p>
            <w:pPr>
              <w:spacing w:before="40" w:after="40"/>
            </w:pPr>
            <w:r>
              <w:rPr>
                <w:sz w:val="17"/>
              </w:rPr>
              <w:t>No BLOCKER/HIGH tenant-isolation or authorization finding remains open.</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R3</w:t>
            </w:r>
          </w:p>
        </w:tc>
        <w:tc>
          <w:tcPr>
            <w:tcW w:type="dxa" w:w="9216"/>
            <w:vAlign w:val="center"/>
            <w:tcMar>
              <w:top w:w="90" w:type="dxa"/>
              <w:start w:w="100" w:type="dxa"/>
              <w:bottom w:w="90" w:type="dxa"/>
              <w:end w:w="100" w:type="dxa"/>
            </w:tcMar>
          </w:tcPr>
          <w:p>
            <w:pPr>
              <w:spacing w:before="40" w:after="40"/>
            </w:pPr>
            <w:r>
              <w:rPr>
                <w:sz w:val="17"/>
              </w:rPr>
              <w:t>Database migrations and rollback/forward-fix plan validated.</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R4</w:t>
            </w:r>
          </w:p>
        </w:tc>
        <w:tc>
          <w:tcPr>
            <w:tcW w:type="dxa" w:w="9216"/>
            <w:vAlign w:val="center"/>
            <w:tcMar>
              <w:top w:w="90" w:type="dxa"/>
              <w:start w:w="100" w:type="dxa"/>
              <w:bottom w:w="90" w:type="dxa"/>
              <w:end w:w="100" w:type="dxa"/>
            </w:tcMar>
          </w:tcPr>
          <w:p>
            <w:pPr>
              <w:spacing w:before="40" w:after="40"/>
            </w:pPr>
            <w:r>
              <w:rPr>
                <w:sz w:val="17"/>
              </w:rPr>
              <w:t>No contract-breaking API/event/schema change without versioning/approved migration.</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R5</w:t>
            </w:r>
          </w:p>
        </w:tc>
        <w:tc>
          <w:tcPr>
            <w:tcW w:type="dxa" w:w="9216"/>
            <w:vAlign w:val="center"/>
            <w:tcMar>
              <w:top w:w="90" w:type="dxa"/>
              <w:start w:w="100" w:type="dxa"/>
              <w:bottom w:w="90" w:type="dxa"/>
              <w:end w:w="100" w:type="dxa"/>
            </w:tcMar>
          </w:tcPr>
          <w:p>
            <w:pPr>
              <w:spacing w:before="40" w:after="40"/>
            </w:pPr>
            <w:r>
              <w:rPr>
                <w:sz w:val="17"/>
              </w:rPr>
              <w:t>No PII/secrets in logs/test artifacts.</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R6</w:t>
            </w:r>
          </w:p>
        </w:tc>
        <w:tc>
          <w:tcPr>
            <w:tcW w:type="dxa" w:w="9216"/>
            <w:vAlign w:val="center"/>
            <w:tcMar>
              <w:top w:w="90" w:type="dxa"/>
              <w:start w:w="100" w:type="dxa"/>
              <w:bottom w:w="90" w:type="dxa"/>
              <w:end w:w="100" w:type="dxa"/>
            </w:tcMar>
          </w:tcPr>
          <w:p>
            <w:pPr>
              <w:spacing w:before="40" w:after="40"/>
            </w:pPr>
            <w:r>
              <w:rPr>
                <w:sz w:val="17"/>
              </w:rPr>
              <w:t>Critical user journeys pass E2E in pre-production.</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R7</w:t>
            </w:r>
          </w:p>
        </w:tc>
        <w:tc>
          <w:tcPr>
            <w:tcW w:type="dxa" w:w="9216"/>
            <w:vAlign w:val="center"/>
            <w:tcMar>
              <w:top w:w="90" w:type="dxa"/>
              <w:start w:w="100" w:type="dxa"/>
              <w:bottom w:w="90" w:type="dxa"/>
              <w:end w:w="100" w:type="dxa"/>
            </w:tcMar>
          </w:tcPr>
          <w:p>
            <w:pPr>
              <w:spacing w:before="40" w:after="40"/>
            </w:pPr>
            <w:r>
              <w:rPr>
                <w:sz w:val="17"/>
              </w:rPr>
              <w:t>Performance-sensitive changes meet the required benchmark or have an approved capacity exception.</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R8</w:t>
            </w:r>
          </w:p>
        </w:tc>
        <w:tc>
          <w:tcPr>
            <w:tcW w:type="dxa" w:w="9216"/>
            <w:vAlign w:val="center"/>
            <w:tcMar>
              <w:top w:w="90" w:type="dxa"/>
              <w:start w:w="100" w:type="dxa"/>
              <w:bottom w:w="90" w:type="dxa"/>
              <w:end w:w="100" w:type="dxa"/>
            </w:tcMar>
          </w:tcPr>
          <w:p>
            <w:pPr>
              <w:spacing w:before="40" w:after="40"/>
            </w:pPr>
            <w:r>
              <w:rPr>
                <w:sz w:val="17"/>
              </w:rPr>
              <w:t>Operational dashboards/alerts/runbooks exist for new critical components.</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R9</w:t>
            </w:r>
          </w:p>
        </w:tc>
        <w:tc>
          <w:tcPr>
            <w:tcW w:type="dxa" w:w="9216"/>
            <w:vAlign w:val="center"/>
            <w:tcMar>
              <w:top w:w="90" w:type="dxa"/>
              <w:start w:w="100" w:type="dxa"/>
              <w:bottom w:w="90" w:type="dxa"/>
              <w:end w:w="100" w:type="dxa"/>
            </w:tcMar>
          </w:tcPr>
          <w:p>
            <w:pPr>
              <w:spacing w:before="40" w:after="40"/>
            </w:pPr>
            <w:r>
              <w:rPr>
                <w:sz w:val="17"/>
              </w:rPr>
              <w:t>Failure/retry/idempotency scenarios for new external side effects pass.</w:t>
            </w:r>
          </w:p>
        </w:tc>
      </w:tr>
      <w:tr>
        <w:trPr>
          <w:cantSplit w:val="true"/>
        </w:trPr>
        <w:tc>
          <w:tcPr>
            <w:tcW w:type="dxa" w:w="1152"/>
            <w:vAlign w:val="center"/>
            <w:tcMar>
              <w:top w:w="90" w:type="dxa"/>
              <w:start w:w="100" w:type="dxa"/>
              <w:bottom w:w="90" w:type="dxa"/>
              <w:end w:w="100" w:type="dxa"/>
            </w:tcMar>
            <w:shd w:fill="EAF2F8"/>
          </w:tcPr>
          <w:p>
            <w:pPr>
              <w:spacing w:before="40" w:after="40"/>
            </w:pPr>
            <w:r>
              <w:rPr>
                <w:b/>
                <w:sz w:val="17"/>
              </w:rPr>
              <w:t>R10</w:t>
            </w:r>
          </w:p>
        </w:tc>
        <w:tc>
          <w:tcPr>
            <w:tcW w:type="dxa" w:w="9216"/>
            <w:vAlign w:val="center"/>
            <w:tcMar>
              <w:top w:w="90" w:type="dxa"/>
              <w:start w:w="100" w:type="dxa"/>
              <w:bottom w:w="90" w:type="dxa"/>
              <w:end w:w="100" w:type="dxa"/>
            </w:tcMar>
          </w:tcPr>
          <w:p>
            <w:pPr>
              <w:spacing w:before="40" w:after="40"/>
            </w:pPr>
            <w:r>
              <w:rPr>
                <w:sz w:val="17"/>
              </w:rPr>
              <w:t>Release has a rollback or safe forward-fix strategy.</w:t>
            </w:r>
          </w:p>
        </w:tc>
      </w:tr>
    </w:tbl>
    <w:p>
      <w:pPr>
        <w:pStyle w:val="Heading2"/>
      </w:pPr>
      <w:r>
        <w:t>18.12 AI-agent test protocol</w:t>
      </w:r>
    </w:p>
    <w:tbl>
      <w:tblPr>
        <w:tblW w:type="auto" w:w="0"/>
        <w:tblLook w:firstColumn="1" w:firstRow="1" w:lastColumn="0" w:lastRow="0" w:noHBand="0" w:noVBand="1" w:val="04A0"/>
      </w:tblPr>
      <w:tblGrid>
        <w:gridCol w:w="10166"/>
      </w:tblGrid>
      <w:tr>
        <w:tc>
          <w:tcPr>
            <w:tcW w:type="dxa" w:w="10166"/>
            <w:shd w:fill="E8F5E9"/>
            <w:tcMar>
              <w:top w:w="120" w:type="dxa"/>
              <w:start w:w="130" w:type="dxa"/>
              <w:bottom w:w="120" w:type="dxa"/>
              <w:end w:w="130" w:type="dxa"/>
            </w:tcMar>
          </w:tcPr>
          <w:p>
            <w:r/>
            <w:r>
              <w:rPr>
                <w:b/>
                <w:sz w:val="19"/>
              </w:rPr>
              <w:t>AI agents must not report a feature as "tested" merely because code compiles or test code was generated. A test is VERIFIED only when the corresponding command executed successfully against the intended environment and produced inspectable evidence.</w:t>
            </w:r>
          </w:p>
        </w:tc>
      </w:tr>
    </w:tbl>
    <w:p>
      <w:pPr>
        <w:pStyle w:val="ListBullet"/>
      </w:pPr>
      <w:r>
        <w:t>Before implementation, identify requirement IDs and create/extend the test plan.</w:t>
      </w:r>
    </w:p>
    <w:p>
      <w:pPr>
        <w:pStyle w:val="ListBullet"/>
      </w:pPr>
      <w:r>
        <w:t>Prefer tests that fail before the implementation and pass after it for deterministic domain behavior.</w:t>
      </w:r>
    </w:p>
    <w:p>
      <w:pPr>
        <w:pStyle w:val="ListBullet"/>
      </w:pPr>
      <w:r>
        <w:t>Never delete or weaken a failing security/tenant test merely to make CI green; resolve the defect or obtain explicit approved waiver.</w:t>
      </w:r>
    </w:p>
    <w:p>
      <w:pPr>
        <w:pStyle w:val="ListBullet"/>
      </w:pPr>
      <w:r>
        <w:t>For every bug, add a regression test before or with the fix.</w:t>
      </w:r>
    </w:p>
    <w:p>
      <w:pPr>
        <w:pStyle w:val="ListBullet"/>
      </w:pPr>
      <w:r>
        <w:t>When external dependencies are mocked, mark the test as simulated; do not claim real integration verification.</w:t>
      </w:r>
    </w:p>
    <w:p>
      <w:pPr>
        <w:pStyle w:val="ListBullet"/>
      </w:pPr>
      <w:r>
        <w:t>If a required environment/service is unavailable, report BLOCKED/UNVERIFIED rather than fabricating a pass.</w:t>
      </w:r>
    </w:p>
    <w:p>
      <w:pPr>
        <w:pStyle w:val="ListBullet"/>
      </w:pPr>
      <w:r>
        <w:t>Every PR summary must state: tests executed, tests not executed, environment, requirement IDs and known residual risks.</w:t>
      </w:r>
    </w:p>
    <w:p>
      <w:pPr>
        <w:pStyle w:val="Heading1"/>
      </w:pPr>
      <w:r>
        <w:t>19. Service Design Studio - No-Code Forms, Rules, Workflow &amp; Tenant Templates</w:t>
      </w:r>
    </w:p>
    <w:tbl>
      <w:tblPr>
        <w:tblW w:type="auto" w:w="0"/>
        <w:jc w:val="center"/>
        <w:tblLook w:firstColumn="1" w:firstRow="1" w:lastColumn="0" w:lastRow="0" w:noHBand="0" w:noVBand="1" w:val="04A0"/>
      </w:tblPr>
      <w:tblGrid>
        <w:gridCol w:w="10166"/>
      </w:tblGrid>
      <w:tr>
        <w:tc>
          <w:tcPr>
            <w:tcW w:type="dxa" w:w="10166"/>
            <w:shd w:fill="EAF1F8"/>
            <w:tcMar>
              <w:top w:w="150" w:type="dxa"/>
              <w:start w:w="160" w:type="dxa"/>
              <w:bottom w:w="150" w:type="dxa"/>
              <w:end w:w="160" w:type="dxa"/>
            </w:tcMar>
          </w:tcPr>
          <w:p>
            <w:pPr>
              <w:jc w:val="left"/>
            </w:pPr>
            <w:r/>
            <w:r>
              <w:rPr>
                <w:b/>
                <w:color w:val="17365D"/>
                <w:sz w:val="20"/>
              </w:rPr>
              <w:t>Normative product decision: ServiceForm AI must allow an authorized government tenant to launch and maintain most citizen services without writing application code, JSON, JavaScript, SQL, BPMN XML or YAML. The no-code Service Design Studio is a first-class product surface, not an administrative afterthought.</w:t>
            </w:r>
          </w:p>
        </w:tc>
      </w:tr>
    </w:tbl>
    <w:p>
      <w:pPr>
        <w:spacing w:after="120"/>
      </w:pPr>
      <w:r>
        <w:t>The runtime engines remain independently deployable components, but authoring must be presented to business users as one cohesive Service Design Studio. The Studio produces versioned executable metadata consumed by the generic Form, Rules, Evidence, Workflow, Fee, SLA, Credential and Notification engines.</w:t>
      </w:r>
    </w:p>
    <w:p>
      <w:pPr>
        <w:jc w:val="center"/>
      </w:pPr>
      <w:r>
        <w:drawing>
          <wp:inline xmlns:a="http://schemas.openxmlformats.org/drawingml/2006/main" xmlns:pic="http://schemas.openxmlformats.org/drawingml/2006/picture">
            <wp:extent cx="6309360" cy="3425081"/>
            <wp:docPr id="10" name="Picture 10"/>
            <wp:cNvGraphicFramePr>
              <a:graphicFrameLocks noChangeAspect="1"/>
            </wp:cNvGraphicFramePr>
            <a:graphic>
              <a:graphicData uri="http://schemas.openxmlformats.org/drawingml/2006/picture">
                <pic:pic>
                  <pic:nvPicPr>
                    <pic:cNvPr id="0" name="service_design_studio_architecture.png"/>
                    <pic:cNvPicPr/>
                  </pic:nvPicPr>
                  <pic:blipFill>
                    <a:blip r:embed="rId20"/>
                    <a:stretch>
                      <a:fillRect/>
                    </a:stretch>
                  </pic:blipFill>
                  <pic:spPr>
                    <a:xfrm>
                      <a:off x="0" y="0"/>
                      <a:ext cx="6309360" cy="3425081"/>
                    </a:xfrm>
                    <a:prstGeom prst="rect"/>
                  </pic:spPr>
                </pic:pic>
              </a:graphicData>
            </a:graphic>
          </wp:inline>
        </w:drawing>
      </w:r>
    </w:p>
    <w:p>
      <w:pPr>
        <w:pStyle w:val="Caption"/>
        <w:jc w:val="center"/>
      </w:pPr>
      <w:r>
        <w:t>Figure 6 - Service Design Studio authoring-to-runtime architecture</w:t>
      </w:r>
    </w:p>
    <w:p>
      <w:pPr>
        <w:pStyle w:val="Heading2"/>
      </w:pPr>
      <w:r>
        <w:t>19.1 Product objective and user experience contract</w:t>
      </w:r>
    </w:p>
    <w:p>
      <w:pPr>
        <w:pStyle w:val="ListBullet"/>
        <w:spacing w:after="40"/>
      </w:pPr>
      <w:r>
        <w:t>A tenant must be able to create a service from a centrally curated template, adapt it visually, test it, route it for maker-checker approval and publish it without a software deployment.</w:t>
      </w:r>
    </w:p>
    <w:p>
      <w:pPr>
        <w:pStyle w:val="ListBullet"/>
        <w:spacing w:after="40"/>
      </w:pPr>
      <w:r>
        <w:t>Normal tenant authors must never be required to edit raw JSON, write code, understand database schemas or model Temporal internals.</w:t>
      </w:r>
    </w:p>
    <w:p>
      <w:pPr>
        <w:pStyle w:val="ListBullet"/>
        <w:spacing w:after="40"/>
      </w:pPr>
      <w:r>
        <w:t>The Studio must support Create from Template, Create with AI, Import Existing Form, Clone Existing Tenant Service and Start Blank; Create from Template is the default path.</w:t>
      </w:r>
    </w:p>
    <w:p>
      <w:pPr>
        <w:pStyle w:val="ListBullet"/>
        <w:spacing w:after="40"/>
      </w:pPr>
      <w:r>
        <w:t>The product must treat form, eligibility/rules, evidence, fee, SLA, workflow, credential, notifications, localization and test scenarios as one service package.</w:t>
      </w:r>
    </w:p>
    <w:p>
      <w:pPr>
        <w:pStyle w:val="ListBullet"/>
        <w:spacing w:after="40"/>
      </w:pPr>
      <w:r>
        <w:t>A published service version is immutable. Existing applications continue against the exact pinned versions with which they were submitted.</w:t>
      </w:r>
    </w:p>
    <w:p>
      <w:pPr>
        <w:pStyle w:val="Heading2"/>
      </w:pPr>
      <w:r>
        <w:t>19.2 Product surfaces</w:t>
      </w:r>
    </w:p>
    <w:tbl>
      <w:tblPr>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Product surface</w:t>
            </w:r>
          </w:p>
        </w:tc>
        <w:tc>
          <w:tcPr>
            <w:tcW w:type="dxa" w:w="3024"/>
            <w:vAlign w:val="center"/>
            <w:tcMar>
              <w:top w:w="90" w:type="dxa"/>
              <w:start w:w="110" w:type="dxa"/>
              <w:bottom w:w="90" w:type="dxa"/>
              <w:end w:w="110" w:type="dxa"/>
            </w:tcMar>
            <w:shd w:fill="17365D"/>
          </w:tcPr>
          <w:p>
            <w:pPr>
              <w:spacing w:after="40" w:before="40"/>
            </w:pPr>
            <w:r>
              <w:rPr>
                <w:rFonts w:ascii="Aptos" w:hAnsi="Aptos"/>
                <w:b/>
                <w:color w:val="FFFFFF"/>
                <w:sz w:val="18"/>
              </w:rPr>
              <w:t>Primary users</w:t>
            </w:r>
          </w:p>
        </w:tc>
        <w:tc>
          <w:tcPr>
            <w:tcW w:type="dxa" w:w="4392"/>
            <w:vAlign w:val="center"/>
            <w:tcMar>
              <w:top w:w="90" w:type="dxa"/>
              <w:start w:w="110" w:type="dxa"/>
              <w:bottom w:w="90" w:type="dxa"/>
              <w:end w:w="110" w:type="dxa"/>
            </w:tcMar>
            <w:shd w:fill="17365D"/>
          </w:tcPr>
          <w:p>
            <w:pPr>
              <w:spacing w:after="40" w:before="40"/>
            </w:pPr>
            <w:r>
              <w:rPr>
                <w:rFonts w:ascii="Aptos" w:hAnsi="Aptos"/>
                <w:b/>
                <w:color w:val="FFFFFF"/>
                <w:sz w:val="18"/>
              </w:rPr>
              <w:t>Purpose</w:t>
            </w:r>
          </w:p>
        </w:tc>
      </w:tr>
      <w:tr>
        <w:tc>
          <w:tcPr>
            <w:tcW w:type="dxa" w:w="2232"/>
            <w:vAlign w:val="center"/>
            <w:tcMar>
              <w:top w:w="90" w:type="dxa"/>
              <w:start w:w="110" w:type="dxa"/>
              <w:bottom w:w="90" w:type="dxa"/>
              <w:end w:w="110" w:type="dxa"/>
            </w:tcMar>
          </w:tcPr>
          <w:p>
            <w:pPr>
              <w:spacing w:after="40" w:before="40"/>
            </w:pPr>
            <w:r>
              <w:rPr>
                <w:rFonts w:ascii="Aptos" w:hAnsi="Aptos"/>
                <w:sz w:val="18"/>
              </w:rPr>
              <w:t>ServiceForm Studio</w:t>
            </w:r>
          </w:p>
        </w:tc>
        <w:tc>
          <w:tcPr>
            <w:tcW w:type="dxa" w:w="3024"/>
            <w:vAlign w:val="center"/>
            <w:tcMar>
              <w:top w:w="90" w:type="dxa"/>
              <w:start w:w="110" w:type="dxa"/>
              <w:bottom w:w="90" w:type="dxa"/>
              <w:end w:w="110" w:type="dxa"/>
            </w:tcMar>
          </w:tcPr>
          <w:p>
            <w:pPr>
              <w:spacing w:after="40" w:before="40"/>
            </w:pPr>
            <w:r>
              <w:rPr>
                <w:rFonts w:ascii="Aptos" w:hAnsi="Aptos"/>
                <w:sz w:val="18"/>
              </w:rPr>
              <w:t>Platform template authors, tenant makers/checkers, business analysts</w:t>
            </w:r>
          </w:p>
        </w:tc>
        <w:tc>
          <w:tcPr>
            <w:tcW w:type="dxa" w:w="4392"/>
            <w:vAlign w:val="center"/>
            <w:tcMar>
              <w:top w:w="90" w:type="dxa"/>
              <w:start w:w="110" w:type="dxa"/>
              <w:bottom w:w="90" w:type="dxa"/>
              <w:end w:w="110" w:type="dxa"/>
            </w:tcMar>
          </w:tcPr>
          <w:p>
            <w:pPr>
              <w:spacing w:after="40" w:before="40"/>
            </w:pPr>
            <w:r>
              <w:rPr>
                <w:rFonts w:ascii="Aptos" w:hAnsi="Aptos"/>
                <w:sz w:val="18"/>
              </w:rPr>
              <w:t>Design services: forms, rules, evidence, workflow, fees, SLA, credentials, notifications, tests and publishing.</w:t>
            </w:r>
          </w:p>
        </w:tc>
      </w:tr>
      <w:tr>
        <w:tc>
          <w:tcPr>
            <w:tcW w:type="dxa" w:w="2232"/>
            <w:vAlign w:val="center"/>
            <w:tcMar>
              <w:top w:w="90" w:type="dxa"/>
              <w:start w:w="110" w:type="dxa"/>
              <w:bottom w:w="90" w:type="dxa"/>
              <w:end w:w="110" w:type="dxa"/>
            </w:tcMar>
          </w:tcPr>
          <w:p>
            <w:pPr>
              <w:spacing w:after="40" w:before="40"/>
            </w:pPr>
            <w:r>
              <w:rPr>
                <w:rFonts w:ascii="Aptos" w:hAnsi="Aptos"/>
                <w:sz w:val="18"/>
              </w:rPr>
              <w:t>ServiceForm Citizen</w:t>
            </w:r>
          </w:p>
        </w:tc>
        <w:tc>
          <w:tcPr>
            <w:tcW w:type="dxa" w:w="3024"/>
            <w:vAlign w:val="center"/>
            <w:tcMar>
              <w:top w:w="90" w:type="dxa"/>
              <w:start w:w="110" w:type="dxa"/>
              <w:bottom w:w="90" w:type="dxa"/>
              <w:end w:w="110" w:type="dxa"/>
            </w:tcMar>
          </w:tcPr>
          <w:p>
            <w:pPr>
              <w:spacing w:after="40" w:before="40"/>
            </w:pPr>
            <w:r>
              <w:rPr>
                <w:rFonts w:ascii="Aptos" w:hAnsi="Aptos"/>
                <w:sz w:val="18"/>
              </w:rPr>
              <w:t>Citizens/authorized representatives</w:t>
            </w:r>
          </w:p>
        </w:tc>
        <w:tc>
          <w:tcPr>
            <w:tcW w:type="dxa" w:w="4392"/>
            <w:vAlign w:val="center"/>
            <w:tcMar>
              <w:top w:w="90" w:type="dxa"/>
              <w:start w:w="110" w:type="dxa"/>
              <w:bottom w:w="90" w:type="dxa"/>
              <w:end w:w="110" w:type="dxa"/>
            </w:tcMar>
          </w:tcPr>
          <w:p>
            <w:pPr>
              <w:spacing w:after="40" w:before="40"/>
            </w:pPr>
            <w:r>
              <w:rPr>
                <w:rFonts w:ascii="Aptos" w:hAnsi="Aptos"/>
                <w:sz w:val="18"/>
              </w:rPr>
              <w:t>Discover, apply, upload/verify evidence, pay, track, respond to deficiency and receive credentials.</w:t>
            </w:r>
          </w:p>
        </w:tc>
      </w:tr>
      <w:tr>
        <w:tc>
          <w:tcPr>
            <w:tcW w:type="dxa" w:w="2232"/>
            <w:vAlign w:val="center"/>
            <w:tcMar>
              <w:top w:w="90" w:type="dxa"/>
              <w:start w:w="110" w:type="dxa"/>
              <w:bottom w:w="90" w:type="dxa"/>
              <w:end w:w="110" w:type="dxa"/>
            </w:tcMar>
          </w:tcPr>
          <w:p>
            <w:pPr>
              <w:spacing w:after="40" w:before="40"/>
            </w:pPr>
            <w:r>
              <w:rPr>
                <w:rFonts w:ascii="Aptos" w:hAnsi="Aptos"/>
                <w:sz w:val="18"/>
              </w:rPr>
              <w:t>ServiceForm Work</w:t>
            </w:r>
          </w:p>
        </w:tc>
        <w:tc>
          <w:tcPr>
            <w:tcW w:type="dxa" w:w="3024"/>
            <w:vAlign w:val="center"/>
            <w:tcMar>
              <w:top w:w="90" w:type="dxa"/>
              <w:start w:w="110" w:type="dxa"/>
              <w:bottom w:w="90" w:type="dxa"/>
              <w:end w:w="110" w:type="dxa"/>
            </w:tcMar>
          </w:tcPr>
          <w:p>
            <w:pPr>
              <w:spacing w:after="40" w:before="40"/>
            </w:pPr>
            <w:r>
              <w:rPr>
                <w:rFonts w:ascii="Aptos" w:hAnsi="Aptos"/>
                <w:sz w:val="18"/>
              </w:rPr>
              <w:t>Government officers/supervisors</w:t>
            </w:r>
          </w:p>
        </w:tc>
        <w:tc>
          <w:tcPr>
            <w:tcW w:type="dxa" w:w="4392"/>
            <w:vAlign w:val="center"/>
            <w:tcMar>
              <w:top w:w="90" w:type="dxa"/>
              <w:start w:w="110" w:type="dxa"/>
              <w:bottom w:w="90" w:type="dxa"/>
              <w:end w:w="110" w:type="dxa"/>
            </w:tcMar>
          </w:tcPr>
          <w:p>
            <w:pPr>
              <w:spacing w:after="40" w:before="40"/>
            </w:pPr>
            <w:r>
              <w:rPr>
                <w:rFonts w:ascii="Aptos" w:hAnsi="Aptos"/>
                <w:sz w:val="18"/>
              </w:rPr>
              <w:t>Work queues, scrutiny, verification, inspection, decision, signing, escalation and audit.</w:t>
            </w:r>
          </w:p>
        </w:tc>
      </w:tr>
      <w:tr>
        <w:tc>
          <w:tcPr>
            <w:tcW w:type="dxa" w:w="2232"/>
            <w:vAlign w:val="center"/>
            <w:tcMar>
              <w:top w:w="90" w:type="dxa"/>
              <w:start w:w="110" w:type="dxa"/>
              <w:bottom w:w="90" w:type="dxa"/>
              <w:end w:w="110" w:type="dxa"/>
            </w:tcMar>
          </w:tcPr>
          <w:p>
            <w:pPr>
              <w:spacing w:after="40" w:before="40"/>
            </w:pPr>
            <w:r>
              <w:rPr>
                <w:rFonts w:ascii="Aptos" w:hAnsi="Aptos"/>
                <w:sz w:val="18"/>
              </w:rPr>
              <w:t>ServiceForm Control</w:t>
            </w:r>
          </w:p>
        </w:tc>
        <w:tc>
          <w:tcPr>
            <w:tcW w:type="dxa" w:w="3024"/>
            <w:vAlign w:val="center"/>
            <w:tcMar>
              <w:top w:w="90" w:type="dxa"/>
              <w:start w:w="110" w:type="dxa"/>
              <w:bottom w:w="90" w:type="dxa"/>
              <w:end w:w="110" w:type="dxa"/>
            </w:tcMar>
          </w:tcPr>
          <w:p>
            <w:pPr>
              <w:spacing w:after="40" w:before="40"/>
            </w:pPr>
            <w:r>
              <w:rPr>
                <w:rFonts w:ascii="Aptos" w:hAnsi="Aptos"/>
                <w:sz w:val="18"/>
              </w:rPr>
              <w:t>Platform/tenant administrators, security/operations</w:t>
            </w:r>
          </w:p>
        </w:tc>
        <w:tc>
          <w:tcPr>
            <w:tcW w:type="dxa" w:w="4392"/>
            <w:vAlign w:val="center"/>
            <w:tcMar>
              <w:top w:w="90" w:type="dxa"/>
              <w:start w:w="110" w:type="dxa"/>
              <w:bottom w:w="90" w:type="dxa"/>
              <w:end w:w="110" w:type="dxa"/>
            </w:tcMar>
          </w:tcPr>
          <w:p>
            <w:pPr>
              <w:spacing w:after="40" w:before="40"/>
            </w:pPr>
            <w:r>
              <w:rPr>
                <w:rFonts w:ascii="Aptos" w:hAnsi="Aptos"/>
                <w:sz w:val="18"/>
              </w:rPr>
              <w:t>Tenant setup, organisation/jurisdiction, identity, policies, integrations, observability, quotas and governance.</w:t>
            </w:r>
          </w:p>
        </w:tc>
      </w:tr>
    </w:tbl>
    <w:p>
      <w:pPr>
        <w:pStyle w:val="Heading2"/>
      </w:pPr>
      <w:r>
        <w:t>19.3 Canonical template, tenant overlay and published offering model</w:t>
      </w:r>
    </w:p>
    <w:p>
      <w:pPr>
        <w:spacing w:after="120"/>
      </w:pPr>
      <w:r>
        <w:t>ServiceForm AI must avoid uncontrolled copying of forms/workflows. The default governance model is inheritance plus tenant overlay. A centrally maintained canonical service template supplies a baseline; each tenant records only approved differences; publishing materializes an immutable executable package for that tenant offering.</w:t>
      </w:r>
    </w:p>
    <w:p>
      <w:pPr>
        <w:jc w:val="center"/>
      </w:pPr>
      <w:r>
        <w:drawing>
          <wp:inline xmlns:a="http://schemas.openxmlformats.org/drawingml/2006/main" xmlns:pic="http://schemas.openxmlformats.org/drawingml/2006/picture">
            <wp:extent cx="6309360" cy="3154680"/>
            <wp:docPr id="11" name="Picture 11"/>
            <wp:cNvGraphicFramePr>
              <a:graphicFrameLocks noChangeAspect="1"/>
            </wp:cNvGraphicFramePr>
            <a:graphic>
              <a:graphicData uri="http://schemas.openxmlformats.org/drawingml/2006/picture">
                <pic:pic>
                  <pic:nvPicPr>
                    <pic:cNvPr id="0" name="template_inheritance_model.png"/>
                    <pic:cNvPicPr/>
                  </pic:nvPicPr>
                  <pic:blipFill>
                    <a:blip r:embed="rId21"/>
                    <a:stretch>
                      <a:fillRect/>
                    </a:stretch>
                  </pic:blipFill>
                  <pic:spPr>
                    <a:xfrm>
                      <a:off x="0" y="0"/>
                      <a:ext cx="6309360" cy="3154680"/>
                    </a:xfrm>
                    <a:prstGeom prst="rect"/>
                  </pic:spPr>
                </pic:pic>
              </a:graphicData>
            </a:graphic>
          </wp:inline>
        </w:drawing>
      </w:r>
    </w:p>
    <w:p>
      <w:pPr>
        <w:pStyle w:val="Caption"/>
        <w:jc w:val="center"/>
      </w:pPr>
      <w:r>
        <w:t>Figure 7 - Canonical template inheritance, tenant overlays and controlled forks</w:t>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304"/>
            <w:vAlign w:val="center"/>
            <w:tcMar>
              <w:top w:w="90" w:type="dxa"/>
              <w:start w:w="110" w:type="dxa"/>
              <w:bottom w:w="90" w:type="dxa"/>
              <w:end w:w="110" w:type="dxa"/>
            </w:tcMar>
            <w:shd w:fill="17365D"/>
          </w:tcPr>
          <w:p>
            <w:pPr>
              <w:spacing w:after="40" w:before="40"/>
            </w:pPr>
            <w:r>
              <w:rPr>
                <w:rFonts w:ascii="Aptos" w:hAnsi="Aptos"/>
                <w:b/>
                <w:color w:val="FFFFFF"/>
                <w:sz w:val="18"/>
              </w:rPr>
              <w:t>Layer</w:t>
            </w:r>
          </w:p>
        </w:tc>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Ownership</w:t>
            </w:r>
          </w:p>
        </w:tc>
        <w:tc>
          <w:tcPr>
            <w:tcW w:type="dxa" w:w="1944"/>
            <w:vAlign w:val="center"/>
            <w:tcMar>
              <w:top w:w="90" w:type="dxa"/>
              <w:start w:w="110" w:type="dxa"/>
              <w:bottom w:w="90" w:type="dxa"/>
              <w:end w:w="110" w:type="dxa"/>
            </w:tcMar>
            <w:shd w:fill="17365D"/>
          </w:tcPr>
          <w:p>
            <w:pPr>
              <w:spacing w:after="40" w:before="40"/>
            </w:pPr>
            <w:r>
              <w:rPr>
                <w:rFonts w:ascii="Aptos" w:hAnsi="Aptos"/>
                <w:b/>
                <w:color w:val="FFFFFF"/>
                <w:sz w:val="18"/>
              </w:rPr>
              <w:t>Mutable?</w:t>
            </w:r>
          </w:p>
        </w:tc>
        <w:tc>
          <w:tcPr>
            <w:tcW w:type="dxa" w:w="3816"/>
            <w:vAlign w:val="center"/>
            <w:tcMar>
              <w:top w:w="90" w:type="dxa"/>
              <w:start w:w="110" w:type="dxa"/>
              <w:bottom w:w="90" w:type="dxa"/>
              <w:end w:w="110" w:type="dxa"/>
            </w:tcMar>
            <w:shd w:fill="17365D"/>
          </w:tcPr>
          <w:p>
            <w:pPr>
              <w:spacing w:after="40" w:before="40"/>
            </w:pPr>
            <w:r>
              <w:rPr>
                <w:rFonts w:ascii="Aptos" w:hAnsi="Aptos"/>
                <w:b/>
                <w:color w:val="FFFFFF"/>
                <w:sz w:val="18"/>
              </w:rPr>
              <w:t>Purpose</w:t>
            </w:r>
          </w:p>
        </w:tc>
      </w:tr>
      <w:tr>
        <w:tc>
          <w:tcPr>
            <w:tcW w:type="dxa" w:w="2304"/>
            <w:vAlign w:val="center"/>
            <w:tcMar>
              <w:top w:w="90" w:type="dxa"/>
              <w:start w:w="110" w:type="dxa"/>
              <w:bottom w:w="90" w:type="dxa"/>
              <w:end w:w="110" w:type="dxa"/>
            </w:tcMar>
          </w:tcPr>
          <w:p>
            <w:pPr>
              <w:spacing w:after="40" w:before="40"/>
            </w:pPr>
            <w:r>
              <w:rPr>
                <w:rFonts w:ascii="Aptos" w:hAnsi="Aptos"/>
                <w:sz w:val="18"/>
              </w:rPr>
              <w:t>Canonical Service Template</w:t>
            </w:r>
          </w:p>
        </w:tc>
        <w:tc>
          <w:tcPr>
            <w:tcW w:type="dxa" w:w="2232"/>
            <w:vAlign w:val="center"/>
            <w:tcMar>
              <w:top w:w="90" w:type="dxa"/>
              <w:start w:w="110" w:type="dxa"/>
              <w:bottom w:w="90" w:type="dxa"/>
              <w:end w:w="110" w:type="dxa"/>
            </w:tcMar>
          </w:tcPr>
          <w:p>
            <w:pPr>
              <w:spacing w:after="40" w:before="40"/>
            </w:pPr>
            <w:r>
              <w:rPr>
                <w:rFonts w:ascii="Aptos" w:hAnsi="Aptos"/>
                <w:sz w:val="18"/>
              </w:rPr>
              <w:t>Platform governance</w:t>
            </w:r>
          </w:p>
        </w:tc>
        <w:tc>
          <w:tcPr>
            <w:tcW w:type="dxa" w:w="1944"/>
            <w:vAlign w:val="center"/>
            <w:tcMar>
              <w:top w:w="90" w:type="dxa"/>
              <w:start w:w="110" w:type="dxa"/>
              <w:bottom w:w="90" w:type="dxa"/>
              <w:end w:w="110" w:type="dxa"/>
            </w:tcMar>
          </w:tcPr>
          <w:p>
            <w:pPr>
              <w:spacing w:after="40" w:before="40"/>
            </w:pPr>
            <w:r>
              <w:rPr>
                <w:rFonts w:ascii="Aptos" w:hAnsi="Aptos"/>
                <w:sz w:val="18"/>
              </w:rPr>
              <w:t>Draft mutable; published versions immutable</w:t>
            </w:r>
          </w:p>
        </w:tc>
        <w:tc>
          <w:tcPr>
            <w:tcW w:type="dxa" w:w="3816"/>
            <w:vAlign w:val="center"/>
            <w:tcMar>
              <w:top w:w="90" w:type="dxa"/>
              <w:start w:w="110" w:type="dxa"/>
              <w:bottom w:w="90" w:type="dxa"/>
              <w:end w:w="110" w:type="dxa"/>
            </w:tcMar>
          </w:tcPr>
          <w:p>
            <w:pPr>
              <w:spacing w:after="40" w:before="40"/>
            </w:pPr>
            <w:r>
              <w:rPr>
                <w:rFonts w:ascii="Aptos" w:hAnsi="Aptos"/>
                <w:sz w:val="18"/>
              </w:rPr>
              <w:t>Reusable best-practice definition for a common government service.</w:t>
            </w:r>
          </w:p>
        </w:tc>
      </w:tr>
      <w:tr>
        <w:tc>
          <w:tcPr>
            <w:tcW w:type="dxa" w:w="2304"/>
            <w:vAlign w:val="center"/>
            <w:tcMar>
              <w:top w:w="90" w:type="dxa"/>
              <w:start w:w="110" w:type="dxa"/>
              <w:bottom w:w="90" w:type="dxa"/>
              <w:end w:w="110" w:type="dxa"/>
            </w:tcMar>
          </w:tcPr>
          <w:p>
            <w:pPr>
              <w:spacing w:after="40" w:before="40"/>
            </w:pPr>
            <w:r>
              <w:rPr>
                <w:rFonts w:ascii="Aptos" w:hAnsi="Aptos"/>
                <w:sz w:val="18"/>
              </w:rPr>
              <w:t>Tenant Overlay</w:t>
            </w:r>
          </w:p>
        </w:tc>
        <w:tc>
          <w:tcPr>
            <w:tcW w:type="dxa" w:w="2232"/>
            <w:vAlign w:val="center"/>
            <w:tcMar>
              <w:top w:w="90" w:type="dxa"/>
              <w:start w:w="110" w:type="dxa"/>
              <w:bottom w:w="90" w:type="dxa"/>
              <w:end w:w="110" w:type="dxa"/>
            </w:tcMar>
          </w:tcPr>
          <w:p>
            <w:pPr>
              <w:spacing w:after="40" w:before="40"/>
            </w:pPr>
            <w:r>
              <w:rPr>
                <w:rFonts w:ascii="Aptos" w:hAnsi="Aptos"/>
                <w:sz w:val="18"/>
              </w:rPr>
              <w:t>Tenant maker/checker</w:t>
            </w:r>
          </w:p>
        </w:tc>
        <w:tc>
          <w:tcPr>
            <w:tcW w:type="dxa" w:w="1944"/>
            <w:vAlign w:val="center"/>
            <w:tcMar>
              <w:top w:w="90" w:type="dxa"/>
              <w:start w:w="110" w:type="dxa"/>
              <w:bottom w:w="90" w:type="dxa"/>
              <w:end w:w="110" w:type="dxa"/>
            </w:tcMar>
          </w:tcPr>
          <w:p>
            <w:pPr>
              <w:spacing w:after="40" w:before="40"/>
            </w:pPr>
            <w:r>
              <w:rPr>
                <w:rFonts w:ascii="Aptos" w:hAnsi="Aptos"/>
                <w:sz w:val="18"/>
              </w:rPr>
              <w:t>Yes until approved</w:t>
            </w:r>
          </w:p>
        </w:tc>
        <w:tc>
          <w:tcPr>
            <w:tcW w:type="dxa" w:w="3816"/>
            <w:vAlign w:val="center"/>
            <w:tcMar>
              <w:top w:w="90" w:type="dxa"/>
              <w:start w:w="110" w:type="dxa"/>
              <w:bottom w:w="90" w:type="dxa"/>
              <w:end w:w="110" w:type="dxa"/>
            </w:tcMar>
          </w:tcPr>
          <w:p>
            <w:pPr>
              <w:spacing w:after="40" w:before="40"/>
            </w:pPr>
            <w:r>
              <w:rPr>
                <w:rFonts w:ascii="Aptos" w:hAnsi="Aptos"/>
                <w:sz w:val="18"/>
              </w:rPr>
              <w:t>Tenant-specific form fields, evidence, workflow nodes, role mapping, SLA, fees, text and integration bindings.</w:t>
            </w:r>
          </w:p>
        </w:tc>
      </w:tr>
      <w:tr>
        <w:tc>
          <w:tcPr>
            <w:tcW w:type="dxa" w:w="2304"/>
            <w:vAlign w:val="center"/>
            <w:tcMar>
              <w:top w:w="90" w:type="dxa"/>
              <w:start w:w="110" w:type="dxa"/>
              <w:bottom w:w="90" w:type="dxa"/>
              <w:end w:w="110" w:type="dxa"/>
            </w:tcMar>
          </w:tcPr>
          <w:p>
            <w:pPr>
              <w:spacing w:after="40" w:before="40"/>
            </w:pPr>
            <w:r>
              <w:rPr>
                <w:rFonts w:ascii="Aptos" w:hAnsi="Aptos"/>
                <w:sz w:val="18"/>
              </w:rPr>
              <w:t>Published Tenant Offering</w:t>
            </w:r>
          </w:p>
        </w:tc>
        <w:tc>
          <w:tcPr>
            <w:tcW w:type="dxa" w:w="2232"/>
            <w:vAlign w:val="center"/>
            <w:tcMar>
              <w:top w:w="90" w:type="dxa"/>
              <w:start w:w="110" w:type="dxa"/>
              <w:bottom w:w="90" w:type="dxa"/>
              <w:end w:w="110" w:type="dxa"/>
            </w:tcMar>
          </w:tcPr>
          <w:p>
            <w:pPr>
              <w:spacing w:after="40" w:before="40"/>
            </w:pPr>
            <w:r>
              <w:rPr>
                <w:rFonts w:ascii="Aptos" w:hAnsi="Aptos"/>
                <w:sz w:val="18"/>
              </w:rPr>
              <w:t>System generated after approval</w:t>
            </w:r>
          </w:p>
        </w:tc>
        <w:tc>
          <w:tcPr>
            <w:tcW w:type="dxa" w:w="1944"/>
            <w:vAlign w:val="center"/>
            <w:tcMar>
              <w:top w:w="90" w:type="dxa"/>
              <w:start w:w="110" w:type="dxa"/>
              <w:bottom w:w="90" w:type="dxa"/>
              <w:end w:w="110" w:type="dxa"/>
            </w:tcMar>
          </w:tcPr>
          <w:p>
            <w:pPr>
              <w:spacing w:after="40" w:before="40"/>
            </w:pPr>
            <w:r>
              <w:rPr>
                <w:rFonts w:ascii="Aptos" w:hAnsi="Aptos"/>
                <w:sz w:val="18"/>
              </w:rPr>
              <w:t>No</w:t>
            </w:r>
          </w:p>
        </w:tc>
        <w:tc>
          <w:tcPr>
            <w:tcW w:type="dxa" w:w="3816"/>
            <w:vAlign w:val="center"/>
            <w:tcMar>
              <w:top w:w="90" w:type="dxa"/>
              <w:start w:w="110" w:type="dxa"/>
              <w:bottom w:w="90" w:type="dxa"/>
              <w:end w:w="110" w:type="dxa"/>
            </w:tcMar>
          </w:tcPr>
          <w:p>
            <w:pPr>
              <w:spacing w:after="40" w:before="40"/>
            </w:pPr>
            <w:r>
              <w:rPr>
                <w:rFonts w:ascii="Aptos" w:hAnsi="Aptos"/>
                <w:sz w:val="18"/>
              </w:rPr>
              <w:t>Executable package pinned by new applications.</w:t>
            </w:r>
          </w:p>
        </w:tc>
      </w:tr>
      <w:tr>
        <w:tc>
          <w:tcPr>
            <w:tcW w:type="dxa" w:w="2304"/>
            <w:vAlign w:val="center"/>
            <w:tcMar>
              <w:top w:w="90" w:type="dxa"/>
              <w:start w:w="110" w:type="dxa"/>
              <w:bottom w:w="90" w:type="dxa"/>
              <w:end w:w="110" w:type="dxa"/>
            </w:tcMar>
          </w:tcPr>
          <w:p>
            <w:pPr>
              <w:spacing w:after="40" w:before="40"/>
            </w:pPr>
            <w:r>
              <w:rPr>
                <w:rFonts w:ascii="Aptos" w:hAnsi="Aptos"/>
                <w:sz w:val="18"/>
              </w:rPr>
              <w:t>Controlled Fork</w:t>
            </w:r>
          </w:p>
        </w:tc>
        <w:tc>
          <w:tcPr>
            <w:tcW w:type="dxa" w:w="2232"/>
            <w:vAlign w:val="center"/>
            <w:tcMar>
              <w:top w:w="90" w:type="dxa"/>
              <w:start w:w="110" w:type="dxa"/>
              <w:bottom w:w="90" w:type="dxa"/>
              <w:end w:w="110" w:type="dxa"/>
            </w:tcMar>
          </w:tcPr>
          <w:p>
            <w:pPr>
              <w:spacing w:after="40" w:before="40"/>
            </w:pPr>
            <w:r>
              <w:rPr>
                <w:rFonts w:ascii="Aptos" w:hAnsi="Aptos"/>
                <w:sz w:val="18"/>
              </w:rPr>
              <w:t>Platform + tenant governance</w:t>
            </w:r>
          </w:p>
        </w:tc>
        <w:tc>
          <w:tcPr>
            <w:tcW w:type="dxa" w:w="1944"/>
            <w:vAlign w:val="center"/>
            <w:tcMar>
              <w:top w:w="90" w:type="dxa"/>
              <w:start w:w="110" w:type="dxa"/>
              <w:bottom w:w="90" w:type="dxa"/>
              <w:end w:w="110" w:type="dxa"/>
            </w:tcMar>
          </w:tcPr>
          <w:p>
            <w:pPr>
              <w:spacing w:after="40" w:before="40"/>
            </w:pPr>
            <w:r>
              <w:rPr>
                <w:rFonts w:ascii="Aptos" w:hAnsi="Aptos"/>
                <w:sz w:val="18"/>
              </w:rPr>
              <w:t>Independent version lineage</w:t>
            </w:r>
          </w:p>
        </w:tc>
        <w:tc>
          <w:tcPr>
            <w:tcW w:type="dxa" w:w="3816"/>
            <w:vAlign w:val="center"/>
            <w:tcMar>
              <w:top w:w="90" w:type="dxa"/>
              <w:start w:w="110" w:type="dxa"/>
              <w:bottom w:w="90" w:type="dxa"/>
              <w:end w:w="110" w:type="dxa"/>
            </w:tcMar>
          </w:tcPr>
          <w:p>
            <w:pPr>
              <w:spacing w:after="40" w:before="40"/>
            </w:pPr>
            <w:r>
              <w:rPr>
                <w:rFonts w:ascii="Aptos" w:hAnsi="Aptos"/>
                <w:sz w:val="18"/>
              </w:rPr>
              <w:t>Used only where law/process diverges materially and overlay semantics are no longer safe.</w:t>
            </w:r>
          </w:p>
        </w:tc>
      </w:tr>
    </w:tbl>
    <w:tbl>
      <w:tblPr>
        <w:tblW w:type="auto" w:w="0"/>
        <w:jc w:val="center"/>
        <w:tblLook w:firstColumn="1" w:firstRow="1" w:lastColumn="0" w:lastRow="0" w:noHBand="0" w:noVBand="1" w:val="04A0"/>
      </w:tblPr>
      <w:tblGrid>
        <w:gridCol w:w="10166"/>
      </w:tblGrid>
      <w:tr>
        <w:tc>
          <w:tcPr>
            <w:tcW w:type="dxa" w:w="10166"/>
            <w:shd w:fill="F7EFE2"/>
            <w:tcMar>
              <w:top w:w="150" w:type="dxa"/>
              <w:start w:w="160" w:type="dxa"/>
              <w:bottom w:w="150" w:type="dxa"/>
              <w:end w:w="160" w:type="dxa"/>
            </w:tcMar>
          </w:tcPr>
          <w:p>
            <w:pPr>
              <w:jc w:val="left"/>
            </w:pPr>
            <w:r/>
            <w:r>
              <w:rPr>
                <w:b/>
                <w:color w:val="8A5A24"/>
                <w:sz w:val="20"/>
              </w:rPr>
              <w:t>Governance rule: “Clone and forget” is prohibited as the default service-onboarding method. The Studio must retain base-template version, tenant overlay, semantic diff and upgrade history so central improvements can be proposed to tenants without silently changing live services.</w:t>
            </w:r>
          </w:p>
        </w:tc>
      </w:tr>
    </w:tbl>
    <w:p>
      <w:pPr>
        <w:pStyle w:val="Heading2"/>
      </w:pPr>
      <w:r>
        <w:t>19.4 Executable service-template package</w:t>
      </w:r>
    </w:p>
    <w:tbl>
      <w:tblPr>
        <w:tblW w:type="auto" w:w="0"/>
        <w:jc w:val="center"/>
        <w:tblLook w:firstColumn="1" w:firstRow="1" w:lastColumn="0" w:lastRow="0" w:noHBand="0" w:noVBand="1" w:val="04A0"/>
      </w:tblPr>
      <w:tblGrid>
        <w:gridCol w:w="5083"/>
        <w:gridCol w:w="5083"/>
      </w:tblGrid>
      <w:tr>
        <w:trPr>
          <w:tblHeader w:val="true"/>
        </w:trPr>
        <w:tc>
          <w:tcPr>
            <w:tcW w:type="dxa" w:w="2448"/>
            <w:vAlign w:val="center"/>
            <w:tcMar>
              <w:top w:w="90" w:type="dxa"/>
              <w:start w:w="110" w:type="dxa"/>
              <w:bottom w:w="90" w:type="dxa"/>
              <w:end w:w="110" w:type="dxa"/>
            </w:tcMar>
            <w:shd w:fill="17365D"/>
          </w:tcPr>
          <w:p>
            <w:pPr>
              <w:spacing w:after="40" w:before="40"/>
            </w:pPr>
            <w:r>
              <w:rPr>
                <w:rFonts w:ascii="Aptos" w:hAnsi="Aptos"/>
                <w:b/>
                <w:color w:val="FFFFFF"/>
                <w:sz w:val="18"/>
              </w:rPr>
              <w:t>Artifact</w:t>
            </w:r>
          </w:p>
        </w:tc>
        <w:tc>
          <w:tcPr>
            <w:tcW w:type="dxa" w:w="7344"/>
            <w:vAlign w:val="center"/>
            <w:tcMar>
              <w:top w:w="90" w:type="dxa"/>
              <w:start w:w="110" w:type="dxa"/>
              <w:bottom w:w="90" w:type="dxa"/>
              <w:end w:w="110" w:type="dxa"/>
            </w:tcMar>
            <w:shd w:fill="17365D"/>
          </w:tcPr>
          <w:p>
            <w:pPr>
              <w:spacing w:after="40" w:before="40"/>
            </w:pPr>
            <w:r>
              <w:rPr>
                <w:rFonts w:ascii="Aptos" w:hAnsi="Aptos"/>
                <w:b/>
                <w:color w:val="FFFFFF"/>
                <w:sz w:val="18"/>
              </w:rPr>
              <w:t>Required content</w:t>
            </w:r>
          </w:p>
        </w:tc>
      </w:tr>
      <w:tr>
        <w:tc>
          <w:tcPr>
            <w:tcW w:type="dxa" w:w="2448"/>
            <w:vAlign w:val="center"/>
            <w:tcMar>
              <w:top w:w="90" w:type="dxa"/>
              <w:start w:w="110" w:type="dxa"/>
              <w:bottom w:w="90" w:type="dxa"/>
              <w:end w:w="110" w:type="dxa"/>
            </w:tcMar>
          </w:tcPr>
          <w:p>
            <w:pPr>
              <w:spacing w:after="40" w:before="40"/>
            </w:pPr>
            <w:r>
              <w:rPr>
                <w:rFonts w:ascii="Aptos" w:hAnsi="Aptos"/>
                <w:sz w:val="18"/>
              </w:rPr>
              <w:t>Service manifest</w:t>
            </w:r>
          </w:p>
        </w:tc>
        <w:tc>
          <w:tcPr>
            <w:tcW w:type="dxa" w:w="7344"/>
            <w:vAlign w:val="center"/>
            <w:tcMar>
              <w:top w:w="90" w:type="dxa"/>
              <w:start w:w="110" w:type="dxa"/>
              <w:bottom w:w="90" w:type="dxa"/>
              <w:end w:w="110" w:type="dxa"/>
            </w:tcMar>
          </w:tcPr>
          <w:p>
            <w:pPr>
              <w:spacing w:after="40" w:before="40"/>
            </w:pPr>
            <w:r>
              <w:rPr>
                <w:rFonts w:ascii="Aptos" w:hAnsi="Aptos"/>
                <w:sz w:val="18"/>
              </w:rPr>
              <w:t>Canonical service ID, local offering ID, provider, jurisdiction model, lifecycle, ownership and metadata.</w:t>
            </w:r>
          </w:p>
        </w:tc>
      </w:tr>
      <w:tr>
        <w:tc>
          <w:tcPr>
            <w:tcW w:type="dxa" w:w="2448"/>
            <w:vAlign w:val="center"/>
            <w:tcMar>
              <w:top w:w="90" w:type="dxa"/>
              <w:start w:w="110" w:type="dxa"/>
              <w:bottom w:w="90" w:type="dxa"/>
              <w:end w:w="110" w:type="dxa"/>
            </w:tcMar>
          </w:tcPr>
          <w:p>
            <w:pPr>
              <w:spacing w:after="40" w:before="40"/>
            </w:pPr>
            <w:r>
              <w:rPr>
                <w:rFonts w:ascii="Aptos" w:hAnsi="Aptos"/>
                <w:sz w:val="18"/>
              </w:rPr>
              <w:t>Form package</w:t>
            </w:r>
          </w:p>
        </w:tc>
        <w:tc>
          <w:tcPr>
            <w:tcW w:type="dxa" w:w="7344"/>
            <w:vAlign w:val="center"/>
            <w:tcMar>
              <w:top w:w="90" w:type="dxa"/>
              <w:start w:w="110" w:type="dxa"/>
              <w:bottom w:w="90" w:type="dxa"/>
              <w:end w:w="110" w:type="dxa"/>
            </w:tcMar>
          </w:tcPr>
          <w:p>
            <w:pPr>
              <w:spacing w:after="40" w:before="40"/>
            </w:pPr>
            <w:r>
              <w:rPr>
                <w:rFonts w:ascii="Aptos" w:hAnsi="Aptos"/>
                <w:sz w:val="18"/>
              </w:rPr>
              <w:t>Data schema, UI schema, field components, validations, conditional behavior, prefill mappings and localization keys.</w:t>
            </w:r>
          </w:p>
        </w:tc>
      </w:tr>
      <w:tr>
        <w:tc>
          <w:tcPr>
            <w:tcW w:type="dxa" w:w="2448"/>
            <w:vAlign w:val="center"/>
            <w:tcMar>
              <w:top w:w="90" w:type="dxa"/>
              <w:start w:w="110" w:type="dxa"/>
              <w:bottom w:w="90" w:type="dxa"/>
              <w:end w:w="110" w:type="dxa"/>
            </w:tcMar>
          </w:tcPr>
          <w:p>
            <w:pPr>
              <w:spacing w:after="40" w:before="40"/>
            </w:pPr>
            <w:r>
              <w:rPr>
                <w:rFonts w:ascii="Aptos" w:hAnsi="Aptos"/>
                <w:sz w:val="18"/>
              </w:rPr>
              <w:t>Rules package</w:t>
            </w:r>
          </w:p>
        </w:tc>
        <w:tc>
          <w:tcPr>
            <w:tcW w:type="dxa" w:w="7344"/>
            <w:vAlign w:val="center"/>
            <w:tcMar>
              <w:top w:w="90" w:type="dxa"/>
              <w:start w:w="110" w:type="dxa"/>
              <w:bottom w:w="90" w:type="dxa"/>
              <w:end w:w="110" w:type="dxa"/>
            </w:tcMar>
          </w:tcPr>
          <w:p>
            <w:pPr>
              <w:spacing w:after="40" w:before="40"/>
            </w:pPr>
            <w:r>
              <w:rPr>
                <w:rFonts w:ascii="Aptos" w:hAnsi="Aptos"/>
                <w:sz w:val="18"/>
              </w:rPr>
              <w:t>Eligibility, evidence, fee, jurisdiction and routing rules; deterministic and versioned.</w:t>
            </w:r>
          </w:p>
        </w:tc>
      </w:tr>
      <w:tr>
        <w:tc>
          <w:tcPr>
            <w:tcW w:type="dxa" w:w="2448"/>
            <w:vAlign w:val="center"/>
            <w:tcMar>
              <w:top w:w="90" w:type="dxa"/>
              <w:start w:w="110" w:type="dxa"/>
              <w:bottom w:w="90" w:type="dxa"/>
              <w:end w:w="110" w:type="dxa"/>
            </w:tcMar>
          </w:tcPr>
          <w:p>
            <w:pPr>
              <w:spacing w:after="40" w:before="40"/>
            </w:pPr>
            <w:r>
              <w:rPr>
                <w:rFonts w:ascii="Aptos" w:hAnsi="Aptos"/>
                <w:sz w:val="18"/>
              </w:rPr>
              <w:t>Evidence package</w:t>
            </w:r>
          </w:p>
        </w:tc>
        <w:tc>
          <w:tcPr>
            <w:tcW w:type="dxa" w:w="7344"/>
            <w:vAlign w:val="center"/>
            <w:tcMar>
              <w:top w:w="90" w:type="dxa"/>
              <w:start w:w="110" w:type="dxa"/>
              <w:bottom w:w="90" w:type="dxa"/>
              <w:end w:w="110" w:type="dxa"/>
            </w:tcMar>
          </w:tcPr>
          <w:p>
            <w:pPr>
              <w:spacing w:after="40" w:before="40"/>
            </w:pPr>
            <w:r>
              <w:rPr>
                <w:rFonts w:ascii="Aptos" w:hAnsi="Aptos"/>
                <w:sz w:val="18"/>
              </w:rPr>
              <w:t>Required/optional evidence, DigiLocker mappings, validity, verification and fallback policy.</w:t>
            </w:r>
          </w:p>
        </w:tc>
      </w:tr>
      <w:tr>
        <w:tc>
          <w:tcPr>
            <w:tcW w:type="dxa" w:w="2448"/>
            <w:vAlign w:val="center"/>
            <w:tcMar>
              <w:top w:w="90" w:type="dxa"/>
              <w:start w:w="110" w:type="dxa"/>
              <w:bottom w:w="90" w:type="dxa"/>
              <w:end w:w="110" w:type="dxa"/>
            </w:tcMar>
          </w:tcPr>
          <w:p>
            <w:pPr>
              <w:spacing w:after="40" w:before="40"/>
            </w:pPr>
            <w:r>
              <w:rPr>
                <w:rFonts w:ascii="Aptos" w:hAnsi="Aptos"/>
                <w:sz w:val="18"/>
              </w:rPr>
              <w:t>Workflow package</w:t>
            </w:r>
          </w:p>
        </w:tc>
        <w:tc>
          <w:tcPr>
            <w:tcW w:type="dxa" w:w="7344"/>
            <w:vAlign w:val="center"/>
            <w:tcMar>
              <w:top w:w="90" w:type="dxa"/>
              <w:start w:w="110" w:type="dxa"/>
              <w:bottom w:w="90" w:type="dxa"/>
              <w:end w:w="110" w:type="dxa"/>
            </w:tcMar>
          </w:tcPr>
          <w:p>
            <w:pPr>
              <w:spacing w:after="40" w:before="40"/>
            </w:pPr>
            <w:r>
              <w:rPr>
                <w:rFonts w:ascii="Aptos" w:hAnsi="Aptos"/>
                <w:sz w:val="18"/>
              </w:rPr>
              <w:t>Visual definition, roles, office/jurisdiction resolution, timers, deficiency, escalation and external actions.</w:t>
            </w:r>
          </w:p>
        </w:tc>
      </w:tr>
      <w:tr>
        <w:tc>
          <w:tcPr>
            <w:tcW w:type="dxa" w:w="2448"/>
            <w:vAlign w:val="center"/>
            <w:tcMar>
              <w:top w:w="90" w:type="dxa"/>
              <w:start w:w="110" w:type="dxa"/>
              <w:bottom w:w="90" w:type="dxa"/>
              <w:end w:w="110" w:type="dxa"/>
            </w:tcMar>
          </w:tcPr>
          <w:p>
            <w:pPr>
              <w:spacing w:after="40" w:before="40"/>
            </w:pPr>
            <w:r>
              <w:rPr>
                <w:rFonts w:ascii="Aptos" w:hAnsi="Aptos"/>
                <w:sz w:val="18"/>
              </w:rPr>
              <w:t>SLA/fee package</w:t>
            </w:r>
          </w:p>
        </w:tc>
        <w:tc>
          <w:tcPr>
            <w:tcW w:type="dxa" w:w="7344"/>
            <w:vAlign w:val="center"/>
            <w:tcMar>
              <w:top w:w="90" w:type="dxa"/>
              <w:start w:w="110" w:type="dxa"/>
              <w:bottom w:w="90" w:type="dxa"/>
              <w:end w:w="110" w:type="dxa"/>
            </w:tcMar>
          </w:tcPr>
          <w:p>
            <w:pPr>
              <w:spacing w:after="40" w:before="40"/>
            </w:pPr>
            <w:r>
              <w:rPr>
                <w:rFonts w:ascii="Aptos" w:hAnsi="Aptos"/>
                <w:sz w:val="18"/>
              </w:rPr>
              <w:t>Working-day calendar binding, pause/resume rules, fee calculation and waiver/refund behavior.</w:t>
            </w:r>
          </w:p>
        </w:tc>
      </w:tr>
      <w:tr>
        <w:tc>
          <w:tcPr>
            <w:tcW w:type="dxa" w:w="2448"/>
            <w:vAlign w:val="center"/>
            <w:tcMar>
              <w:top w:w="90" w:type="dxa"/>
              <w:start w:w="110" w:type="dxa"/>
              <w:bottom w:w="90" w:type="dxa"/>
              <w:end w:w="110" w:type="dxa"/>
            </w:tcMar>
          </w:tcPr>
          <w:p>
            <w:pPr>
              <w:spacing w:after="40" w:before="40"/>
            </w:pPr>
            <w:r>
              <w:rPr>
                <w:rFonts w:ascii="Aptos" w:hAnsi="Aptos"/>
                <w:sz w:val="18"/>
              </w:rPr>
              <w:t>Credential package</w:t>
            </w:r>
          </w:p>
        </w:tc>
        <w:tc>
          <w:tcPr>
            <w:tcW w:type="dxa" w:w="7344"/>
            <w:vAlign w:val="center"/>
            <w:tcMar>
              <w:top w:w="90" w:type="dxa"/>
              <w:start w:w="110" w:type="dxa"/>
              <w:bottom w:w="90" w:type="dxa"/>
              <w:end w:w="110" w:type="dxa"/>
            </w:tcMar>
          </w:tcPr>
          <w:p>
            <w:pPr>
              <w:spacing w:after="40" w:before="40"/>
            </w:pPr>
            <w:r>
              <w:rPr>
                <w:rFonts w:ascii="Aptos" w:hAnsi="Aptos"/>
                <w:sz w:val="18"/>
              </w:rPr>
              <w:t>Output schema/template, signatory policy, QR verification and revocation behavior.</w:t>
            </w:r>
          </w:p>
        </w:tc>
      </w:tr>
      <w:tr>
        <w:tc>
          <w:tcPr>
            <w:tcW w:type="dxa" w:w="2448"/>
            <w:vAlign w:val="center"/>
            <w:tcMar>
              <w:top w:w="90" w:type="dxa"/>
              <w:start w:w="110" w:type="dxa"/>
              <w:bottom w:w="90" w:type="dxa"/>
              <w:end w:w="110" w:type="dxa"/>
            </w:tcMar>
          </w:tcPr>
          <w:p>
            <w:pPr>
              <w:spacing w:after="40" w:before="40"/>
            </w:pPr>
            <w:r>
              <w:rPr>
                <w:rFonts w:ascii="Aptos" w:hAnsi="Aptos"/>
                <w:sz w:val="18"/>
              </w:rPr>
              <w:t>Notification package</w:t>
            </w:r>
          </w:p>
        </w:tc>
        <w:tc>
          <w:tcPr>
            <w:tcW w:type="dxa" w:w="7344"/>
            <w:vAlign w:val="center"/>
            <w:tcMar>
              <w:top w:w="90" w:type="dxa"/>
              <w:start w:w="110" w:type="dxa"/>
              <w:bottom w:w="90" w:type="dxa"/>
              <w:end w:w="110" w:type="dxa"/>
            </w:tcMar>
          </w:tcPr>
          <w:p>
            <w:pPr>
              <w:spacing w:after="40" w:before="40"/>
            </w:pPr>
            <w:r>
              <w:rPr>
                <w:rFonts w:ascii="Aptos" w:hAnsi="Aptos"/>
                <w:sz w:val="18"/>
              </w:rPr>
              <w:t>Trigger-to-template mappings, language and delivery policy.</w:t>
            </w:r>
          </w:p>
        </w:tc>
      </w:tr>
      <w:tr>
        <w:tc>
          <w:tcPr>
            <w:tcW w:type="dxa" w:w="2448"/>
            <w:vAlign w:val="center"/>
            <w:tcMar>
              <w:top w:w="90" w:type="dxa"/>
              <w:start w:w="110" w:type="dxa"/>
              <w:bottom w:w="90" w:type="dxa"/>
              <w:end w:w="110" w:type="dxa"/>
            </w:tcMar>
          </w:tcPr>
          <w:p>
            <w:pPr>
              <w:spacing w:after="40" w:before="40"/>
            </w:pPr>
            <w:r>
              <w:rPr>
                <w:rFonts w:ascii="Aptos" w:hAnsi="Aptos"/>
                <w:sz w:val="18"/>
              </w:rPr>
              <w:t>Test package</w:t>
            </w:r>
          </w:p>
        </w:tc>
        <w:tc>
          <w:tcPr>
            <w:tcW w:type="dxa" w:w="7344"/>
            <w:vAlign w:val="center"/>
            <w:tcMar>
              <w:top w:w="90" w:type="dxa"/>
              <w:start w:w="110" w:type="dxa"/>
              <w:bottom w:w="90" w:type="dxa"/>
              <w:end w:w="110" w:type="dxa"/>
            </w:tcMar>
          </w:tcPr>
          <w:p>
            <w:pPr>
              <w:spacing w:after="40" w:before="40"/>
            </w:pPr>
            <w:r>
              <w:rPr>
                <w:rFonts w:ascii="Aptos" w:hAnsi="Aptos"/>
                <w:sz w:val="18"/>
              </w:rPr>
              <w:t>Representative personas, branch tests, negative tests and publish gates.</w:t>
            </w:r>
          </w:p>
        </w:tc>
      </w:tr>
    </w:tbl>
    <w:p>
      <w:pPr>
        <w:pStyle w:val="Heading2"/>
      </w:pPr>
      <w:r>
        <w:t>19.5 Template Marketplace and centrally pre-created services</w:t>
      </w:r>
    </w:p>
    <w:p>
      <w:pPr>
        <w:spacing w:after="120"/>
      </w:pPr>
      <w:r>
        <w:t>The platform team should pre-create and certify common service templates so tenants begin from working examples rather than blank canvases. The existing normalized service catalogue becomes the source for the marketplace backlog. Each marketplace item is a complete service package, not merely a form.</w:t>
      </w:r>
    </w:p>
    <w:tbl>
      <w:tblPr>
        <w:tblW w:type="auto" w:w="0"/>
        <w:jc w:val="center"/>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Domain</w:t>
            </w:r>
          </w:p>
        </w:tc>
        <w:tc>
          <w:tcPr>
            <w:tcW w:type="dxa" w:w="7560"/>
            <w:vAlign w:val="center"/>
            <w:tcMar>
              <w:top w:w="90" w:type="dxa"/>
              <w:start w:w="110" w:type="dxa"/>
              <w:bottom w:w="90" w:type="dxa"/>
              <w:end w:w="110" w:type="dxa"/>
            </w:tcMar>
            <w:shd w:fill="17365D"/>
          </w:tcPr>
          <w:p>
            <w:pPr>
              <w:spacing w:after="40" w:before="40"/>
            </w:pPr>
            <w:r>
              <w:rPr>
                <w:rFonts w:ascii="Aptos" w:hAnsi="Aptos"/>
                <w:b/>
                <w:color w:val="FFFFFF"/>
                <w:sz w:val="18"/>
              </w:rPr>
              <w:t>Initial template examples</w:t>
            </w:r>
          </w:p>
        </w:tc>
      </w:tr>
      <w:tr>
        <w:tc>
          <w:tcPr>
            <w:tcW w:type="dxa" w:w="2232"/>
            <w:vAlign w:val="center"/>
            <w:tcMar>
              <w:top w:w="90" w:type="dxa"/>
              <w:start w:w="110" w:type="dxa"/>
              <w:bottom w:w="90" w:type="dxa"/>
              <w:end w:w="110" w:type="dxa"/>
            </w:tcMar>
          </w:tcPr>
          <w:p>
            <w:pPr>
              <w:spacing w:after="40" w:before="40"/>
            </w:pPr>
            <w:r>
              <w:rPr>
                <w:rFonts w:ascii="Aptos" w:hAnsi="Aptos"/>
                <w:sz w:val="18"/>
              </w:rPr>
              <w:t>Certificates</w:t>
            </w:r>
          </w:p>
        </w:tc>
        <w:tc>
          <w:tcPr>
            <w:tcW w:type="dxa" w:w="7560"/>
            <w:vAlign w:val="center"/>
            <w:tcMar>
              <w:top w:w="90" w:type="dxa"/>
              <w:start w:w="110" w:type="dxa"/>
              <w:bottom w:w="90" w:type="dxa"/>
              <w:end w:w="110" w:type="dxa"/>
            </w:tcMar>
          </w:tcPr>
          <w:p>
            <w:pPr>
              <w:spacing w:after="40" w:before="40"/>
            </w:pPr>
            <w:r>
              <w:rPr>
                <w:rFonts w:ascii="Aptos" w:hAnsi="Aptos"/>
                <w:sz w:val="18"/>
              </w:rPr>
              <w:t>Residence/Permanent Residence, Income, Caste/Community, EWS, Legal Heir/Surviving Member, Character, Solvency, Life Certificate.</w:t>
            </w:r>
          </w:p>
        </w:tc>
      </w:tr>
      <w:tr>
        <w:tc>
          <w:tcPr>
            <w:tcW w:type="dxa" w:w="2232"/>
            <w:vAlign w:val="center"/>
            <w:tcMar>
              <w:top w:w="90" w:type="dxa"/>
              <w:start w:w="110" w:type="dxa"/>
              <w:bottom w:w="90" w:type="dxa"/>
              <w:end w:w="110" w:type="dxa"/>
            </w:tcMar>
          </w:tcPr>
          <w:p>
            <w:pPr>
              <w:spacing w:after="40" w:before="40"/>
            </w:pPr>
            <w:r>
              <w:rPr>
                <w:rFonts w:ascii="Aptos" w:hAnsi="Aptos"/>
                <w:sz w:val="18"/>
              </w:rPr>
              <w:t>Civil registration</w:t>
            </w:r>
          </w:p>
        </w:tc>
        <w:tc>
          <w:tcPr>
            <w:tcW w:type="dxa" w:w="7560"/>
            <w:vAlign w:val="center"/>
            <w:tcMar>
              <w:top w:w="90" w:type="dxa"/>
              <w:start w:w="110" w:type="dxa"/>
              <w:bottom w:w="90" w:type="dxa"/>
              <w:end w:w="110" w:type="dxa"/>
            </w:tcMar>
          </w:tcPr>
          <w:p>
            <w:pPr>
              <w:spacing w:after="40" w:before="40"/>
            </w:pPr>
            <w:r>
              <w:rPr>
                <w:rFonts w:ascii="Aptos" w:hAnsi="Aptos"/>
                <w:sz w:val="18"/>
              </w:rPr>
              <w:t>Birth, Death, Marriage and related correction/extract workflows where legally applicable.</w:t>
            </w:r>
          </w:p>
        </w:tc>
      </w:tr>
      <w:tr>
        <w:tc>
          <w:tcPr>
            <w:tcW w:type="dxa" w:w="2232"/>
            <w:vAlign w:val="center"/>
            <w:tcMar>
              <w:top w:w="90" w:type="dxa"/>
              <w:start w:w="110" w:type="dxa"/>
              <w:bottom w:w="90" w:type="dxa"/>
              <w:end w:w="110" w:type="dxa"/>
            </w:tcMar>
          </w:tcPr>
          <w:p>
            <w:pPr>
              <w:spacing w:after="40" w:before="40"/>
            </w:pPr>
            <w:r>
              <w:rPr>
                <w:rFonts w:ascii="Aptos" w:hAnsi="Aptos"/>
                <w:sz w:val="18"/>
              </w:rPr>
              <w:t>Revenue / land</w:t>
            </w:r>
          </w:p>
        </w:tc>
        <w:tc>
          <w:tcPr>
            <w:tcW w:type="dxa" w:w="7560"/>
            <w:vAlign w:val="center"/>
            <w:tcMar>
              <w:top w:w="90" w:type="dxa"/>
              <w:start w:w="110" w:type="dxa"/>
              <w:bottom w:w="90" w:type="dxa"/>
              <w:end w:w="110" w:type="dxa"/>
            </w:tcMar>
          </w:tcPr>
          <w:p>
            <w:pPr>
              <w:spacing w:after="40" w:before="40"/>
            </w:pPr>
            <w:r>
              <w:rPr>
                <w:rFonts w:ascii="Aptos" w:hAnsi="Aptos"/>
                <w:sz w:val="18"/>
              </w:rPr>
              <w:t>Mutation, land conversion, record/extract request, partition/demarcation, valuation-related requests.</w:t>
            </w:r>
          </w:p>
        </w:tc>
      </w:tr>
      <w:tr>
        <w:tc>
          <w:tcPr>
            <w:tcW w:type="dxa" w:w="2232"/>
            <w:vAlign w:val="center"/>
            <w:tcMar>
              <w:top w:w="90" w:type="dxa"/>
              <w:start w:w="110" w:type="dxa"/>
              <w:bottom w:w="90" w:type="dxa"/>
              <w:end w:w="110" w:type="dxa"/>
            </w:tcMar>
          </w:tcPr>
          <w:p>
            <w:pPr>
              <w:spacing w:after="40" w:before="40"/>
            </w:pPr>
            <w:r>
              <w:rPr>
                <w:rFonts w:ascii="Aptos" w:hAnsi="Aptos"/>
                <w:sz w:val="18"/>
              </w:rPr>
              <w:t>Urban local body</w:t>
            </w:r>
          </w:p>
        </w:tc>
        <w:tc>
          <w:tcPr>
            <w:tcW w:type="dxa" w:w="7560"/>
            <w:vAlign w:val="center"/>
            <w:tcMar>
              <w:top w:w="90" w:type="dxa"/>
              <w:start w:w="110" w:type="dxa"/>
              <w:bottom w:w="90" w:type="dxa"/>
              <w:end w:w="110" w:type="dxa"/>
            </w:tcMar>
          </w:tcPr>
          <w:p>
            <w:pPr>
              <w:spacing w:after="40" w:before="40"/>
            </w:pPr>
            <w:r>
              <w:rPr>
                <w:rFonts w:ascii="Aptos" w:hAnsi="Aptos"/>
                <w:sz w:val="18"/>
              </w:rPr>
              <w:t>Trade licence, building permission, water/sewer connection, property-related service, advertisement/NOC permits.</w:t>
            </w:r>
          </w:p>
        </w:tc>
      </w:tr>
      <w:tr>
        <w:tc>
          <w:tcPr>
            <w:tcW w:type="dxa" w:w="2232"/>
            <w:vAlign w:val="center"/>
            <w:tcMar>
              <w:top w:w="90" w:type="dxa"/>
              <w:start w:w="110" w:type="dxa"/>
              <w:bottom w:w="90" w:type="dxa"/>
              <w:end w:w="110" w:type="dxa"/>
            </w:tcMar>
          </w:tcPr>
          <w:p>
            <w:pPr>
              <w:spacing w:after="40" w:before="40"/>
            </w:pPr>
            <w:r>
              <w:rPr>
                <w:rFonts w:ascii="Aptos" w:hAnsi="Aptos"/>
                <w:sz w:val="18"/>
              </w:rPr>
              <w:t>Welfare / education</w:t>
            </w:r>
          </w:p>
        </w:tc>
        <w:tc>
          <w:tcPr>
            <w:tcW w:type="dxa" w:w="7560"/>
            <w:vAlign w:val="center"/>
            <w:tcMar>
              <w:top w:w="90" w:type="dxa"/>
              <w:start w:w="110" w:type="dxa"/>
              <w:bottom w:w="90" w:type="dxa"/>
              <w:end w:w="110" w:type="dxa"/>
            </w:tcMar>
          </w:tcPr>
          <w:p>
            <w:pPr>
              <w:spacing w:after="40" w:before="40"/>
            </w:pPr>
            <w:r>
              <w:rPr>
                <w:rFonts w:ascii="Aptos" w:hAnsi="Aptos"/>
                <w:sz w:val="18"/>
              </w:rPr>
              <w:t>Pension, scholarship, disability assistance, farmer/social-security schemes, housing assistance.</w:t>
            </w:r>
          </w:p>
        </w:tc>
      </w:tr>
      <w:tr>
        <w:tc>
          <w:tcPr>
            <w:tcW w:type="dxa" w:w="2232"/>
            <w:vAlign w:val="center"/>
            <w:tcMar>
              <w:top w:w="90" w:type="dxa"/>
              <w:start w:w="110" w:type="dxa"/>
              <w:bottom w:w="90" w:type="dxa"/>
              <w:end w:w="110" w:type="dxa"/>
            </w:tcMar>
          </w:tcPr>
          <w:p>
            <w:pPr>
              <w:spacing w:after="40" w:before="40"/>
            </w:pPr>
            <w:r>
              <w:rPr>
                <w:rFonts w:ascii="Aptos" w:hAnsi="Aptos"/>
                <w:sz w:val="18"/>
              </w:rPr>
              <w:t>Business / regulatory</w:t>
            </w:r>
          </w:p>
        </w:tc>
        <w:tc>
          <w:tcPr>
            <w:tcW w:type="dxa" w:w="7560"/>
            <w:vAlign w:val="center"/>
            <w:tcMar>
              <w:top w:w="90" w:type="dxa"/>
              <w:start w:w="110" w:type="dxa"/>
              <w:bottom w:w="90" w:type="dxa"/>
              <w:end w:w="110" w:type="dxa"/>
            </w:tcMar>
          </w:tcPr>
          <w:p>
            <w:pPr>
              <w:spacing w:after="40" w:before="40"/>
            </w:pPr>
            <w:r>
              <w:rPr>
                <w:rFonts w:ascii="Aptos" w:hAnsi="Aptos"/>
                <w:sz w:val="18"/>
              </w:rPr>
              <w:t>Registration, licence, renewal, permit, NOC, inspection and compliance-return services.</w:t>
            </w:r>
          </w:p>
        </w:tc>
      </w:tr>
    </w:tbl>
    <w:p>
      <w:pPr>
        <w:pStyle w:val="Heading2"/>
      </w:pPr>
      <w:r>
        <w:t>19.6 Drag-and-drop Form Designer</w:t>
      </w:r>
    </w:p>
    <w:p>
      <w:pPr>
        <w:jc w:val="center"/>
      </w:pPr>
      <w:r>
        <w:drawing>
          <wp:inline xmlns:a="http://schemas.openxmlformats.org/drawingml/2006/main" xmlns:pic="http://schemas.openxmlformats.org/drawingml/2006/picture">
            <wp:extent cx="6309360" cy="3425081"/>
            <wp:docPr id="12" name="Picture 12"/>
            <wp:cNvGraphicFramePr>
              <a:graphicFrameLocks noChangeAspect="1"/>
            </wp:cNvGraphicFramePr>
            <a:graphic>
              <a:graphicData uri="http://schemas.openxmlformats.org/drawingml/2006/picture">
                <pic:pic>
                  <pic:nvPicPr>
                    <pic:cNvPr id="0" name="form_designer_wireframe.png"/>
                    <pic:cNvPicPr/>
                  </pic:nvPicPr>
                  <pic:blipFill>
                    <a:blip r:embed="rId22"/>
                    <a:stretch>
                      <a:fillRect/>
                    </a:stretch>
                  </pic:blipFill>
                  <pic:spPr>
                    <a:xfrm>
                      <a:off x="0" y="0"/>
                      <a:ext cx="6309360" cy="3425081"/>
                    </a:xfrm>
                    <a:prstGeom prst="rect"/>
                  </pic:spPr>
                </pic:pic>
              </a:graphicData>
            </a:graphic>
          </wp:inline>
        </w:drawing>
      </w:r>
    </w:p>
    <w:p>
      <w:pPr>
        <w:pStyle w:val="Caption"/>
        <w:jc w:val="center"/>
      </w:pPr>
      <w:r>
        <w:t>Figure 8 - Target drag-and-drop form authoring experience</w:t>
      </w:r>
    </w:p>
    <w:p>
      <w:pPr>
        <w:spacing w:after="120"/>
      </w:pPr>
      <w:r>
        <w:t>The designer uses a three-pane pattern: component palette, visual canvas and properties panel. Drag/drop, reordering, nested sections, undo/redo, copy/paste, keyboard authoring, preview and autosave are mandatory. The visual experience writes the canonical form metadata; it is not a separate proprietary representation.</w:t>
      </w:r>
    </w:p>
    <w:tbl>
      <w:tblPr>
        <w:tblW w:type="auto" w:w="0"/>
        <w:jc w:val="center"/>
        <w:tblLook w:firstColumn="1" w:firstRow="1" w:lastColumn="0" w:lastRow="0" w:noHBand="0" w:noVBand="1" w:val="04A0"/>
      </w:tblPr>
      <w:tblGrid>
        <w:gridCol w:w="5083"/>
        <w:gridCol w:w="5083"/>
      </w:tblGrid>
      <w:tr>
        <w:trPr>
          <w:tblHeader w:val="true"/>
        </w:trPr>
        <w:tc>
          <w:tcPr>
            <w:tcW w:type="dxa" w:w="2736"/>
            <w:vAlign w:val="center"/>
            <w:tcMar>
              <w:top w:w="90" w:type="dxa"/>
              <w:start w:w="110" w:type="dxa"/>
              <w:bottom w:w="90" w:type="dxa"/>
              <w:end w:w="110" w:type="dxa"/>
            </w:tcMar>
            <w:shd w:fill="17365D"/>
          </w:tcPr>
          <w:p>
            <w:pPr>
              <w:spacing w:after="40" w:before="40"/>
            </w:pPr>
            <w:r>
              <w:rPr>
                <w:rFonts w:ascii="Aptos" w:hAnsi="Aptos"/>
                <w:b/>
                <w:color w:val="FFFFFF"/>
                <w:sz w:val="18"/>
              </w:rPr>
              <w:t>Component class</w:t>
            </w:r>
          </w:p>
        </w:tc>
        <w:tc>
          <w:tcPr>
            <w:tcW w:type="dxa" w:w="7056"/>
            <w:vAlign w:val="center"/>
            <w:tcMar>
              <w:top w:w="90" w:type="dxa"/>
              <w:start w:w="110" w:type="dxa"/>
              <w:bottom w:w="90" w:type="dxa"/>
              <w:end w:w="110" w:type="dxa"/>
            </w:tcMar>
            <w:shd w:fill="17365D"/>
          </w:tcPr>
          <w:p>
            <w:pPr>
              <w:spacing w:after="40" w:before="40"/>
            </w:pPr>
            <w:r>
              <w:rPr>
                <w:rFonts w:ascii="Aptos" w:hAnsi="Aptos"/>
                <w:b/>
                <w:color w:val="FFFFFF"/>
                <w:sz w:val="18"/>
              </w:rPr>
              <w:t>Examples</w:t>
            </w:r>
          </w:p>
        </w:tc>
      </w:tr>
      <w:tr>
        <w:tc>
          <w:tcPr>
            <w:tcW w:type="dxa" w:w="2736"/>
            <w:vAlign w:val="center"/>
            <w:tcMar>
              <w:top w:w="90" w:type="dxa"/>
              <w:start w:w="110" w:type="dxa"/>
              <w:bottom w:w="90" w:type="dxa"/>
              <w:end w:w="110" w:type="dxa"/>
            </w:tcMar>
          </w:tcPr>
          <w:p>
            <w:pPr>
              <w:spacing w:after="40" w:before="40"/>
            </w:pPr>
            <w:r>
              <w:rPr>
                <w:rFonts w:ascii="Aptos" w:hAnsi="Aptos"/>
                <w:sz w:val="18"/>
              </w:rPr>
              <w:t>Generic controls</w:t>
            </w:r>
          </w:p>
        </w:tc>
        <w:tc>
          <w:tcPr>
            <w:tcW w:type="dxa" w:w="7056"/>
            <w:vAlign w:val="center"/>
            <w:tcMar>
              <w:top w:w="90" w:type="dxa"/>
              <w:start w:w="110" w:type="dxa"/>
              <w:bottom w:w="90" w:type="dxa"/>
              <w:end w:w="110" w:type="dxa"/>
            </w:tcMar>
          </w:tcPr>
          <w:p>
            <w:pPr>
              <w:spacing w:after="40" w:before="40"/>
            </w:pPr>
            <w:r>
              <w:rPr>
                <w:rFonts w:ascii="Aptos" w:hAnsi="Aptos"/>
                <w:sz w:val="18"/>
              </w:rPr>
              <w:t>Text, number, currency, date/time, dropdown, radio, checkbox, multi-select, file, rich text, table, repeater, calculated/read-only field.</w:t>
            </w:r>
          </w:p>
        </w:tc>
      </w:tr>
      <w:tr>
        <w:tc>
          <w:tcPr>
            <w:tcW w:type="dxa" w:w="2736"/>
            <w:vAlign w:val="center"/>
            <w:tcMar>
              <w:top w:w="90" w:type="dxa"/>
              <w:start w:w="110" w:type="dxa"/>
              <w:bottom w:w="90" w:type="dxa"/>
              <w:end w:w="110" w:type="dxa"/>
            </w:tcMar>
          </w:tcPr>
          <w:p>
            <w:pPr>
              <w:spacing w:after="40" w:before="40"/>
            </w:pPr>
            <w:r>
              <w:rPr>
                <w:rFonts w:ascii="Aptos" w:hAnsi="Aptos"/>
                <w:sz w:val="18"/>
              </w:rPr>
              <w:t>Layout</w:t>
            </w:r>
          </w:p>
        </w:tc>
        <w:tc>
          <w:tcPr>
            <w:tcW w:type="dxa" w:w="7056"/>
            <w:vAlign w:val="center"/>
            <w:tcMar>
              <w:top w:w="90" w:type="dxa"/>
              <w:start w:w="110" w:type="dxa"/>
              <w:bottom w:w="90" w:type="dxa"/>
              <w:end w:w="110" w:type="dxa"/>
            </w:tcMar>
          </w:tcPr>
          <w:p>
            <w:pPr>
              <w:spacing w:after="40" w:before="40"/>
            </w:pPr>
            <w:r>
              <w:rPr>
                <w:rFonts w:ascii="Aptos" w:hAnsi="Aptos"/>
                <w:sz w:val="18"/>
              </w:rPr>
              <w:t>Page, section, panel, grid, accordion, conditional group, repeatable household/member section.</w:t>
            </w:r>
          </w:p>
        </w:tc>
      </w:tr>
      <w:tr>
        <w:tc>
          <w:tcPr>
            <w:tcW w:type="dxa" w:w="2736"/>
            <w:vAlign w:val="center"/>
            <w:tcMar>
              <w:top w:w="90" w:type="dxa"/>
              <w:start w:w="110" w:type="dxa"/>
              <w:bottom w:w="90" w:type="dxa"/>
              <w:end w:w="110" w:type="dxa"/>
            </w:tcMar>
          </w:tcPr>
          <w:p>
            <w:pPr>
              <w:spacing w:after="40" w:before="40"/>
            </w:pPr>
            <w:r>
              <w:rPr>
                <w:rFonts w:ascii="Aptos" w:hAnsi="Aptos"/>
                <w:sz w:val="18"/>
              </w:rPr>
              <w:t>Government identity/profile</w:t>
            </w:r>
          </w:p>
        </w:tc>
        <w:tc>
          <w:tcPr>
            <w:tcW w:type="dxa" w:w="7056"/>
            <w:vAlign w:val="center"/>
            <w:tcMar>
              <w:top w:w="90" w:type="dxa"/>
              <w:start w:w="110" w:type="dxa"/>
              <w:bottom w:w="90" w:type="dxa"/>
              <w:end w:w="110" w:type="dxa"/>
            </w:tcMar>
          </w:tcPr>
          <w:p>
            <w:pPr>
              <w:spacing w:after="40" w:before="40"/>
            </w:pPr>
            <w:r>
              <w:rPr>
                <w:rFonts w:ascii="Aptos" w:hAnsi="Aptos"/>
                <w:sz w:val="18"/>
              </w:rPr>
              <w:t>Verified citizen claim, profile selector, family member, address, contact, identity assurance indicator.</w:t>
            </w:r>
          </w:p>
        </w:tc>
      </w:tr>
      <w:tr>
        <w:tc>
          <w:tcPr>
            <w:tcW w:type="dxa" w:w="2736"/>
            <w:vAlign w:val="center"/>
            <w:tcMar>
              <w:top w:w="90" w:type="dxa"/>
              <w:start w:w="110" w:type="dxa"/>
              <w:bottom w:w="90" w:type="dxa"/>
              <w:end w:w="110" w:type="dxa"/>
            </w:tcMar>
          </w:tcPr>
          <w:p>
            <w:pPr>
              <w:spacing w:after="40" w:before="40"/>
            </w:pPr>
            <w:r>
              <w:rPr>
                <w:rFonts w:ascii="Aptos" w:hAnsi="Aptos"/>
                <w:sz w:val="18"/>
              </w:rPr>
              <w:t>Government geography</w:t>
            </w:r>
          </w:p>
        </w:tc>
        <w:tc>
          <w:tcPr>
            <w:tcW w:type="dxa" w:w="7056"/>
            <w:vAlign w:val="center"/>
            <w:tcMar>
              <w:top w:w="90" w:type="dxa"/>
              <w:start w:w="110" w:type="dxa"/>
              <w:bottom w:w="90" w:type="dxa"/>
              <w:end w:w="110" w:type="dxa"/>
            </w:tcMar>
          </w:tcPr>
          <w:p>
            <w:pPr>
              <w:spacing w:after="40" w:before="40"/>
            </w:pPr>
            <w:r>
              <w:rPr>
                <w:rFonts w:ascii="Aptos" w:hAnsi="Aptos"/>
                <w:sz w:val="18"/>
              </w:rPr>
              <w:t>State/UT, district, subdivision, tehsil/taluk/mandal, block, ULB, ward, Gram Panchayat, village and configurable jurisdiction selector.</w:t>
            </w:r>
          </w:p>
        </w:tc>
      </w:tr>
      <w:tr>
        <w:tc>
          <w:tcPr>
            <w:tcW w:type="dxa" w:w="2736"/>
            <w:vAlign w:val="center"/>
            <w:tcMar>
              <w:top w:w="90" w:type="dxa"/>
              <w:start w:w="110" w:type="dxa"/>
              <w:bottom w:w="90" w:type="dxa"/>
              <w:end w:w="110" w:type="dxa"/>
            </w:tcMar>
          </w:tcPr>
          <w:p>
            <w:pPr>
              <w:spacing w:after="40" w:before="40"/>
            </w:pPr>
            <w:r>
              <w:rPr>
                <w:rFonts w:ascii="Aptos" w:hAnsi="Aptos"/>
                <w:sz w:val="18"/>
              </w:rPr>
              <w:t>Evidence / trust</w:t>
            </w:r>
          </w:p>
        </w:tc>
        <w:tc>
          <w:tcPr>
            <w:tcW w:type="dxa" w:w="7056"/>
            <w:vAlign w:val="center"/>
            <w:tcMar>
              <w:top w:w="90" w:type="dxa"/>
              <w:start w:w="110" w:type="dxa"/>
              <w:bottom w:w="90" w:type="dxa"/>
              <w:end w:w="110" w:type="dxa"/>
            </w:tcMar>
          </w:tcPr>
          <w:p>
            <w:pPr>
              <w:spacing w:after="40" w:before="40"/>
            </w:pPr>
            <w:r>
              <w:rPr>
                <w:rFonts w:ascii="Aptos" w:hAnsi="Aptos"/>
                <w:sz w:val="18"/>
              </w:rPr>
              <w:t>DigiLocker document picker, evidence upload, document preview, consent, declaration, undertaking, signature/eSign trigger.</w:t>
            </w:r>
          </w:p>
        </w:tc>
      </w:tr>
      <w:tr>
        <w:tc>
          <w:tcPr>
            <w:tcW w:type="dxa" w:w="2736"/>
            <w:vAlign w:val="center"/>
            <w:tcMar>
              <w:top w:w="90" w:type="dxa"/>
              <w:start w:w="110" w:type="dxa"/>
              <w:bottom w:w="90" w:type="dxa"/>
              <w:end w:w="110" w:type="dxa"/>
            </w:tcMar>
          </w:tcPr>
          <w:p>
            <w:pPr>
              <w:spacing w:after="40" w:before="40"/>
            </w:pPr>
            <w:r>
              <w:rPr>
                <w:rFonts w:ascii="Aptos" w:hAnsi="Aptos"/>
                <w:sz w:val="18"/>
              </w:rPr>
              <w:t>Domain-oriented</w:t>
            </w:r>
          </w:p>
        </w:tc>
        <w:tc>
          <w:tcPr>
            <w:tcW w:type="dxa" w:w="7056"/>
            <w:vAlign w:val="center"/>
            <w:tcMar>
              <w:top w:w="90" w:type="dxa"/>
              <w:start w:w="110" w:type="dxa"/>
              <w:bottom w:w="90" w:type="dxa"/>
              <w:end w:w="110" w:type="dxa"/>
            </w:tcMar>
          </w:tcPr>
          <w:p>
            <w:pPr>
              <w:spacing w:after="40" w:before="40"/>
            </w:pPr>
            <w:r>
              <w:rPr>
                <w:rFonts w:ascii="Aptos" w:hAnsi="Aptos"/>
                <w:sz w:val="18"/>
              </w:rPr>
              <w:t>Bank details, income sources, education qualification, occupation, land/property reference, geolocation/inspection coordinates, fee/payment summary.</w:t>
            </w:r>
          </w:p>
        </w:tc>
      </w:tr>
    </w:tbl>
    <w:tbl>
      <w:tblPr>
        <w:tblW w:type="auto" w:w="0"/>
        <w:jc w:val="center"/>
        <w:tblLook w:firstColumn="1" w:firstRow="1" w:lastColumn="0" w:lastRow="0" w:noHBand="0" w:noVBand="1" w:val="04A0"/>
      </w:tblPr>
      <w:tblGrid>
        <w:gridCol w:w="10166"/>
      </w:tblGrid>
      <w:tr>
        <w:tc>
          <w:tcPr>
            <w:tcW w:type="dxa" w:w="10166"/>
            <w:shd w:fill="EAF1F8"/>
            <w:tcMar>
              <w:top w:w="150" w:type="dxa"/>
              <w:start w:w="160" w:type="dxa"/>
              <w:bottom w:w="150" w:type="dxa"/>
              <w:end w:w="160" w:type="dxa"/>
            </w:tcMar>
          </w:tcPr>
          <w:p>
            <w:pPr>
              <w:jc w:val="left"/>
            </w:pPr>
            <w:r/>
            <w:r>
              <w:rPr>
                <w:b/>
                <w:color w:val="17365D"/>
                <w:sz w:val="20"/>
              </w:rPr>
              <w:t>Component extensibility rule: Government-specific widgets are registered through a versioned component contract. A new widget may extend the platform but must not create service-specific runtime code. Every component declares schema type, UI configuration, validation, accessibility behavior, mobile behavior, privacy classification and renderer compatibility.</w:t>
            </w:r>
          </w:p>
        </w:tc>
      </w:tr>
    </w:tbl>
    <w:p>
      <w:pPr>
        <w:pStyle w:val="Heading2"/>
      </w:pPr>
      <w:r>
        <w:t>19.7 Canonical form metadata and renderer contract</w:t>
      </w:r>
    </w:p>
    <w:p>
      <w:pPr>
        <w:spacing w:after="120"/>
      </w:pPr>
      <w:r>
        <w:t>The ServiceForm canonical form model uses JSON Schema for data/validation, a UI Schema for layout/rendering and ServiceForm extensions for government-specific behavior. JSON Forms remains the schema/runtime foundation, but default JSON Forms widgets are not the product UI. ServiceForm web renderers must map controls to UX4G React components/tokens/patterns; Flutter implements the same canonical contract through UX4G Flutter components plus certified ServiceForm UX4G extension renderers. The same metadata must preserve semantics, validation, help, errors, focus behavior and accessibility across channels.</w:t>
      </w:r>
    </w:p>
    <w:tbl>
      <w:tblPr>
        <w:tblW w:type="auto" w:w="0"/>
        <w:jc w:val="center"/>
        <w:tblLook w:firstColumn="1" w:firstRow="1" w:lastColumn="0" w:lastRow="0" w:noHBand="0" w:noVBand="1" w:val="04A0"/>
      </w:tblPr>
      <w:tblGrid>
        <w:gridCol w:w="5083"/>
        <w:gridCol w:w="5083"/>
      </w:tblGrid>
      <w:tr>
        <w:trPr>
          <w:tblHeader w:val="true"/>
        </w:trPr>
        <w:tc>
          <w:tcPr>
            <w:tcW w:type="dxa" w:w="2376"/>
            <w:vAlign w:val="center"/>
            <w:tcMar>
              <w:top w:w="90" w:type="dxa"/>
              <w:start w:w="110" w:type="dxa"/>
              <w:bottom w:w="90" w:type="dxa"/>
              <w:end w:w="110" w:type="dxa"/>
            </w:tcMar>
            <w:shd w:fill="17365D"/>
          </w:tcPr>
          <w:p>
            <w:pPr>
              <w:spacing w:after="40" w:before="40"/>
            </w:pPr>
            <w:r>
              <w:rPr>
                <w:rFonts w:ascii="Aptos" w:hAnsi="Aptos"/>
                <w:b/>
                <w:color w:val="FFFFFF"/>
                <w:sz w:val="18"/>
              </w:rPr>
              <w:t>Metadata layer</w:t>
            </w:r>
          </w:p>
        </w:tc>
        <w:tc>
          <w:tcPr>
            <w:tcW w:type="dxa" w:w="7416"/>
            <w:vAlign w:val="center"/>
            <w:tcMar>
              <w:top w:w="90" w:type="dxa"/>
              <w:start w:w="110" w:type="dxa"/>
              <w:bottom w:w="90" w:type="dxa"/>
              <w:end w:w="110" w:type="dxa"/>
            </w:tcMar>
            <w:shd w:fill="17365D"/>
          </w:tcPr>
          <w:p>
            <w:pPr>
              <w:spacing w:after="40" w:before="40"/>
            </w:pPr>
            <w:r>
              <w:rPr>
                <w:rFonts w:ascii="Aptos" w:hAnsi="Aptos"/>
                <w:b/>
                <w:color w:val="FFFFFF"/>
                <w:sz w:val="18"/>
              </w:rPr>
              <w:t>Responsibility</w:t>
            </w:r>
          </w:p>
        </w:tc>
      </w:tr>
      <w:tr>
        <w:tc>
          <w:tcPr>
            <w:tcW w:type="dxa" w:w="2376"/>
            <w:vAlign w:val="center"/>
            <w:tcMar>
              <w:top w:w="90" w:type="dxa"/>
              <w:start w:w="110" w:type="dxa"/>
              <w:bottom w:w="90" w:type="dxa"/>
              <w:end w:w="110" w:type="dxa"/>
            </w:tcMar>
          </w:tcPr>
          <w:p>
            <w:pPr>
              <w:spacing w:after="40" w:before="40"/>
            </w:pPr>
            <w:r>
              <w:rPr>
                <w:rFonts w:ascii="Aptos" w:hAnsi="Aptos"/>
                <w:sz w:val="18"/>
              </w:rPr>
              <w:t>Data Schema</w:t>
            </w:r>
          </w:p>
        </w:tc>
        <w:tc>
          <w:tcPr>
            <w:tcW w:type="dxa" w:w="7416"/>
            <w:vAlign w:val="center"/>
            <w:tcMar>
              <w:top w:w="90" w:type="dxa"/>
              <w:start w:w="110" w:type="dxa"/>
              <w:bottom w:w="90" w:type="dxa"/>
              <w:end w:w="110" w:type="dxa"/>
            </w:tcMar>
          </w:tcPr>
          <w:p>
            <w:pPr>
              <w:spacing w:after="40" w:before="40"/>
            </w:pPr>
            <w:r>
              <w:rPr>
                <w:rFonts w:ascii="Aptos" w:hAnsi="Aptos"/>
                <w:sz w:val="18"/>
              </w:rPr>
              <w:t>Types, required fields, structures, enums, constraints and reusable definitions.</w:t>
            </w:r>
          </w:p>
        </w:tc>
      </w:tr>
      <w:tr>
        <w:tc>
          <w:tcPr>
            <w:tcW w:type="dxa" w:w="2376"/>
            <w:vAlign w:val="center"/>
            <w:tcMar>
              <w:top w:w="90" w:type="dxa"/>
              <w:start w:w="110" w:type="dxa"/>
              <w:bottom w:w="90" w:type="dxa"/>
              <w:end w:w="110" w:type="dxa"/>
            </w:tcMar>
          </w:tcPr>
          <w:p>
            <w:pPr>
              <w:spacing w:after="40" w:before="40"/>
            </w:pPr>
            <w:r>
              <w:rPr>
                <w:rFonts w:ascii="Aptos" w:hAnsi="Aptos"/>
                <w:sz w:val="18"/>
              </w:rPr>
              <w:t>UI Schema</w:t>
            </w:r>
          </w:p>
        </w:tc>
        <w:tc>
          <w:tcPr>
            <w:tcW w:type="dxa" w:w="7416"/>
            <w:vAlign w:val="center"/>
            <w:tcMar>
              <w:top w:w="90" w:type="dxa"/>
              <w:start w:w="110" w:type="dxa"/>
              <w:bottom w:w="90" w:type="dxa"/>
              <w:end w:w="110" w:type="dxa"/>
            </w:tcMar>
          </w:tcPr>
          <w:p>
            <w:pPr>
              <w:spacing w:after="40" w:before="40"/>
            </w:pPr>
            <w:r>
              <w:rPr>
                <w:rFonts w:ascii="Aptos" w:hAnsi="Aptos"/>
                <w:sz w:val="18"/>
              </w:rPr>
              <w:t>Layout, order, groups, presentation options and renderer selection.</w:t>
            </w:r>
          </w:p>
        </w:tc>
      </w:tr>
      <w:tr>
        <w:tc>
          <w:tcPr>
            <w:tcW w:type="dxa" w:w="2376"/>
            <w:vAlign w:val="center"/>
            <w:tcMar>
              <w:top w:w="90" w:type="dxa"/>
              <w:start w:w="110" w:type="dxa"/>
              <w:bottom w:w="90" w:type="dxa"/>
              <w:end w:w="110" w:type="dxa"/>
            </w:tcMar>
          </w:tcPr>
          <w:p>
            <w:pPr>
              <w:spacing w:after="40" w:before="40"/>
            </w:pPr>
            <w:r>
              <w:rPr>
                <w:rFonts w:ascii="Aptos" w:hAnsi="Aptos"/>
                <w:sz w:val="18"/>
              </w:rPr>
              <w:t>ServiceForm Extensions</w:t>
            </w:r>
          </w:p>
        </w:tc>
        <w:tc>
          <w:tcPr>
            <w:tcW w:type="dxa" w:w="7416"/>
            <w:vAlign w:val="center"/>
            <w:tcMar>
              <w:top w:w="90" w:type="dxa"/>
              <w:start w:w="110" w:type="dxa"/>
              <w:bottom w:w="90" w:type="dxa"/>
              <w:end w:w="110" w:type="dxa"/>
            </w:tcMar>
          </w:tcPr>
          <w:p>
            <w:pPr>
              <w:spacing w:after="40" w:before="40"/>
            </w:pPr>
            <w:r>
              <w:rPr>
                <w:rFonts w:ascii="Aptos" w:hAnsi="Aptos"/>
                <w:sz w:val="18"/>
              </w:rPr>
              <w:t>Prefill/verified-claim binding, evidence binding, privacy class, localization key, data-source binding, conditional behavior, analytics ID and government component options.</w:t>
            </w:r>
          </w:p>
        </w:tc>
      </w:tr>
      <w:tr>
        <w:tc>
          <w:tcPr>
            <w:tcW w:type="dxa" w:w="2376"/>
            <w:vAlign w:val="center"/>
            <w:tcMar>
              <w:top w:w="90" w:type="dxa"/>
              <w:start w:w="110" w:type="dxa"/>
              <w:bottom w:w="90" w:type="dxa"/>
              <w:end w:w="110" w:type="dxa"/>
            </w:tcMar>
          </w:tcPr>
          <w:p>
            <w:pPr>
              <w:spacing w:after="40" w:before="40"/>
            </w:pPr>
            <w:r>
              <w:rPr>
                <w:rFonts w:ascii="Aptos" w:hAnsi="Aptos"/>
                <w:sz w:val="18"/>
              </w:rPr>
              <w:t>Rule references</w:t>
            </w:r>
          </w:p>
        </w:tc>
        <w:tc>
          <w:tcPr>
            <w:tcW w:type="dxa" w:w="7416"/>
            <w:vAlign w:val="center"/>
            <w:tcMar>
              <w:top w:w="90" w:type="dxa"/>
              <w:start w:w="110" w:type="dxa"/>
              <w:bottom w:w="90" w:type="dxa"/>
              <w:end w:w="110" w:type="dxa"/>
            </w:tcMar>
          </w:tcPr>
          <w:p>
            <w:pPr>
              <w:spacing w:after="40" w:before="40"/>
            </w:pPr>
            <w:r>
              <w:rPr>
                <w:rFonts w:ascii="Aptos" w:hAnsi="Aptos"/>
                <w:sz w:val="18"/>
              </w:rPr>
              <w:t>Deterministic rules held in the Rules Engine; form metadata references rule IDs/versions rather than embedding arbitrary JavaScript.</w:t>
            </w:r>
          </w:p>
        </w:tc>
      </w:tr>
      <w:tr>
        <w:tc>
          <w:tcPr>
            <w:tcW w:type="dxa" w:w="2376"/>
            <w:vAlign w:val="center"/>
            <w:tcMar>
              <w:top w:w="90" w:type="dxa"/>
              <w:start w:w="110" w:type="dxa"/>
              <w:bottom w:w="90" w:type="dxa"/>
              <w:end w:w="110" w:type="dxa"/>
            </w:tcMar>
          </w:tcPr>
          <w:p>
            <w:pPr>
              <w:spacing w:after="40" w:before="40"/>
            </w:pPr>
            <w:r>
              <w:rPr>
                <w:rFonts w:ascii="Aptos" w:hAnsi="Aptos"/>
                <w:sz w:val="18"/>
              </w:rPr>
              <w:t>Runtime state</w:t>
            </w:r>
          </w:p>
        </w:tc>
        <w:tc>
          <w:tcPr>
            <w:tcW w:type="dxa" w:w="7416"/>
            <w:vAlign w:val="center"/>
            <w:tcMar>
              <w:top w:w="90" w:type="dxa"/>
              <w:start w:w="110" w:type="dxa"/>
              <w:bottom w:w="90" w:type="dxa"/>
              <w:end w:w="110" w:type="dxa"/>
            </w:tcMar>
          </w:tcPr>
          <w:p>
            <w:pPr>
              <w:spacing w:after="40" w:before="40"/>
            </w:pPr>
            <w:r>
              <w:rPr>
                <w:rFonts w:ascii="Aptos" w:hAnsi="Aptos"/>
                <w:sz w:val="18"/>
              </w:rPr>
              <w:t>Draft data, validation state and upload references; never mixed with published authoring metadata.</w:t>
            </w:r>
          </w:p>
        </w:tc>
      </w:tr>
    </w:tbl>
    <w:tbl>
      <w:tblPr>
        <w:tblW w:type="auto" w:w="0"/>
        <w:jc w:val="center"/>
        <w:tblLook w:firstColumn="1" w:firstRow="1" w:lastColumn="0" w:lastRow="0" w:noHBand="0" w:noVBand="1" w:val="04A0"/>
      </w:tblPr>
      <w:tblGrid>
        <w:gridCol w:w="10166"/>
      </w:tblGrid>
      <w:tr>
        <w:tc>
          <w:tcPr>
            <w:tcW w:type="dxa" w:w="10166"/>
            <w:shd w:fill="EAF1F8"/>
            <w:tcMar>
              <w:top w:w="150" w:type="dxa"/>
              <w:start w:w="160" w:type="dxa"/>
              <w:bottom w:w="150" w:type="dxa"/>
              <w:end w:w="160" w:type="dxa"/>
            </w:tcMar>
          </w:tcPr>
          <w:p>
            <w:pPr>
              <w:jc w:val="left"/>
            </w:pPr>
            <w:r/>
            <w:r>
              <w:rPr>
                <w:b/>
                <w:color w:val="17365D"/>
                <w:sz w:val="20"/>
              </w:rPr>
              <w:t>Security rule: Tenant-supplied arbitrary JavaScript is prohibited. Dynamic behavior uses a safe expression/rule model with an approved operator allow-list.</w:t>
            </w:r>
          </w:p>
        </w:tc>
      </w:tr>
    </w:tbl>
    <w:p>
      <w:pPr>
        <w:pStyle w:val="Heading2"/>
      </w:pPr>
      <w:r>
        <w:t>19.8 Visual Rules Designer</w:t>
      </w:r>
    </w:p>
    <w:p>
      <w:pPr>
        <w:spacing w:after="120"/>
      </w:pPr>
      <w:r>
        <w:t>Business users configure deterministic form and service behavior through WHEN/AND/OR/THEN visual expressions. The Studio may offer an advanced expression view for trained administrators, but stored rules must compile into the approved Rules Engine model.</w:t>
      </w:r>
    </w:p>
    <w:tbl>
      <w:tblPr>
        <w:tblW w:type="auto" w:w="0"/>
        <w:jc w:val="center"/>
        <w:tblLook w:firstColumn="1" w:firstRow="1" w:lastColumn="0" w:lastRow="0" w:noHBand="0" w:noVBand="1" w:val="04A0"/>
      </w:tblPr>
      <w:tblGrid>
        <w:gridCol w:w="5083"/>
        <w:gridCol w:w="5083"/>
      </w:tblGrid>
      <w:tr>
        <w:trPr>
          <w:tblHeader w:val="true"/>
        </w:trPr>
        <w:tc>
          <w:tcPr>
            <w:tcW w:type="dxa" w:w="2448"/>
            <w:vAlign w:val="center"/>
            <w:tcMar>
              <w:top w:w="90" w:type="dxa"/>
              <w:start w:w="110" w:type="dxa"/>
              <w:bottom w:w="90" w:type="dxa"/>
              <w:end w:w="110" w:type="dxa"/>
            </w:tcMar>
            <w:shd w:fill="17365D"/>
          </w:tcPr>
          <w:p>
            <w:pPr>
              <w:spacing w:after="40" w:before="40"/>
            </w:pPr>
            <w:r>
              <w:rPr>
                <w:rFonts w:ascii="Aptos" w:hAnsi="Aptos"/>
                <w:b/>
                <w:color w:val="FFFFFF"/>
                <w:sz w:val="18"/>
              </w:rPr>
              <w:t>Rule capability</w:t>
            </w:r>
          </w:p>
        </w:tc>
        <w:tc>
          <w:tcPr>
            <w:tcW w:type="dxa" w:w="7344"/>
            <w:vAlign w:val="center"/>
            <w:tcMar>
              <w:top w:w="90" w:type="dxa"/>
              <w:start w:w="110" w:type="dxa"/>
              <w:bottom w:w="90" w:type="dxa"/>
              <w:end w:w="110" w:type="dxa"/>
            </w:tcMar>
            <w:shd w:fill="17365D"/>
          </w:tcPr>
          <w:p>
            <w:pPr>
              <w:spacing w:after="40" w:before="40"/>
            </w:pPr>
            <w:r>
              <w:rPr>
                <w:rFonts w:ascii="Aptos" w:hAnsi="Aptos"/>
                <w:b/>
                <w:color w:val="FFFFFF"/>
                <w:sz w:val="18"/>
              </w:rPr>
              <w:t>Examples</w:t>
            </w:r>
          </w:p>
        </w:tc>
      </w:tr>
      <w:tr>
        <w:tc>
          <w:tcPr>
            <w:tcW w:type="dxa" w:w="2448"/>
            <w:vAlign w:val="center"/>
            <w:tcMar>
              <w:top w:w="90" w:type="dxa"/>
              <w:start w:w="110" w:type="dxa"/>
              <w:bottom w:w="90" w:type="dxa"/>
              <w:end w:w="110" w:type="dxa"/>
            </w:tcMar>
          </w:tcPr>
          <w:p>
            <w:pPr>
              <w:spacing w:after="40" w:before="40"/>
            </w:pPr>
            <w:r>
              <w:rPr>
                <w:rFonts w:ascii="Aptos" w:hAnsi="Aptos"/>
                <w:sz w:val="18"/>
              </w:rPr>
              <w:t>Conditions</w:t>
            </w:r>
          </w:p>
        </w:tc>
        <w:tc>
          <w:tcPr>
            <w:tcW w:type="dxa" w:w="7344"/>
            <w:vAlign w:val="center"/>
            <w:tcMar>
              <w:top w:w="90" w:type="dxa"/>
              <w:start w:w="110" w:type="dxa"/>
              <w:bottom w:w="90" w:type="dxa"/>
              <w:end w:w="110" w:type="dxa"/>
            </w:tcMar>
          </w:tcPr>
          <w:p>
            <w:pPr>
              <w:spacing w:after="40" w:before="40"/>
            </w:pPr>
            <w:r>
              <w:rPr>
                <w:rFonts w:ascii="Aptos" w:hAnsi="Aptos"/>
                <w:sz w:val="18"/>
              </w:rPr>
              <w:t>Equals/not equals, empty/not empty, any-of, comparison, date/age, range, verified claim exists, evidence available, jurisdiction match.</w:t>
            </w:r>
          </w:p>
        </w:tc>
      </w:tr>
      <w:tr>
        <w:tc>
          <w:tcPr>
            <w:tcW w:type="dxa" w:w="2448"/>
            <w:vAlign w:val="center"/>
            <w:tcMar>
              <w:top w:w="90" w:type="dxa"/>
              <w:start w:w="110" w:type="dxa"/>
              <w:bottom w:w="90" w:type="dxa"/>
              <w:end w:w="110" w:type="dxa"/>
            </w:tcMar>
          </w:tcPr>
          <w:p>
            <w:pPr>
              <w:spacing w:after="40" w:before="40"/>
            </w:pPr>
            <w:r>
              <w:rPr>
                <w:rFonts w:ascii="Aptos" w:hAnsi="Aptos"/>
                <w:sz w:val="18"/>
              </w:rPr>
              <w:t>Form actions</w:t>
            </w:r>
          </w:p>
        </w:tc>
        <w:tc>
          <w:tcPr>
            <w:tcW w:type="dxa" w:w="7344"/>
            <w:vAlign w:val="center"/>
            <w:tcMar>
              <w:top w:w="90" w:type="dxa"/>
              <w:start w:w="110" w:type="dxa"/>
              <w:bottom w:w="90" w:type="dxa"/>
              <w:end w:w="110" w:type="dxa"/>
            </w:tcMar>
          </w:tcPr>
          <w:p>
            <w:pPr>
              <w:spacing w:after="40" w:before="40"/>
            </w:pPr>
            <w:r>
              <w:rPr>
                <w:rFonts w:ascii="Aptos" w:hAnsi="Aptos"/>
                <w:sz w:val="18"/>
              </w:rPr>
              <w:t>Show, hide, enable, disable, require, make optional, set default, clear, calculate, validate, prefill.</w:t>
            </w:r>
          </w:p>
        </w:tc>
      </w:tr>
      <w:tr>
        <w:tc>
          <w:tcPr>
            <w:tcW w:type="dxa" w:w="2448"/>
            <w:vAlign w:val="center"/>
            <w:tcMar>
              <w:top w:w="90" w:type="dxa"/>
              <w:start w:w="110" w:type="dxa"/>
              <w:bottom w:w="90" w:type="dxa"/>
              <w:end w:w="110" w:type="dxa"/>
            </w:tcMar>
          </w:tcPr>
          <w:p>
            <w:pPr>
              <w:spacing w:after="40" w:before="40"/>
            </w:pPr>
            <w:r>
              <w:rPr>
                <w:rFonts w:ascii="Aptos" w:hAnsi="Aptos"/>
                <w:sz w:val="18"/>
              </w:rPr>
              <w:t>Service actions</w:t>
            </w:r>
          </w:p>
        </w:tc>
        <w:tc>
          <w:tcPr>
            <w:tcW w:type="dxa" w:w="7344"/>
            <w:vAlign w:val="center"/>
            <w:tcMar>
              <w:top w:w="90" w:type="dxa"/>
              <w:start w:w="110" w:type="dxa"/>
              <w:bottom w:w="90" w:type="dxa"/>
              <w:end w:w="110" w:type="dxa"/>
            </w:tcMar>
          </w:tcPr>
          <w:p>
            <w:pPr>
              <w:spacing w:after="40" w:before="40"/>
            </w:pPr>
            <w:r>
              <w:rPr>
                <w:rFonts w:ascii="Aptos" w:hAnsi="Aptos"/>
                <w:sz w:val="18"/>
              </w:rPr>
              <w:t>Require evidence, select fee band, route workflow branch, calculate SLA, require higher assurance, create verification task.</w:t>
            </w:r>
          </w:p>
        </w:tc>
      </w:tr>
      <w:tr>
        <w:tc>
          <w:tcPr>
            <w:tcW w:type="dxa" w:w="2448"/>
            <w:vAlign w:val="center"/>
            <w:tcMar>
              <w:top w:w="90" w:type="dxa"/>
              <w:start w:w="110" w:type="dxa"/>
              <w:bottom w:w="90" w:type="dxa"/>
              <w:end w:w="110" w:type="dxa"/>
            </w:tcMar>
          </w:tcPr>
          <w:p>
            <w:pPr>
              <w:spacing w:after="40" w:before="40"/>
            </w:pPr>
            <w:r>
              <w:rPr>
                <w:rFonts w:ascii="Aptos" w:hAnsi="Aptos"/>
                <w:sz w:val="18"/>
              </w:rPr>
              <w:t>Explainability</w:t>
            </w:r>
          </w:p>
        </w:tc>
        <w:tc>
          <w:tcPr>
            <w:tcW w:type="dxa" w:w="7344"/>
            <w:vAlign w:val="center"/>
            <w:tcMar>
              <w:top w:w="90" w:type="dxa"/>
              <w:start w:w="110" w:type="dxa"/>
              <w:bottom w:w="90" w:type="dxa"/>
              <w:end w:w="110" w:type="dxa"/>
            </w:tcMar>
          </w:tcPr>
          <w:p>
            <w:pPr>
              <w:spacing w:after="40" w:before="40"/>
            </w:pPr>
            <w:r>
              <w:rPr>
                <w:rFonts w:ascii="Aptos" w:hAnsi="Aptos"/>
                <w:sz w:val="18"/>
              </w:rPr>
              <w:t>Every evaluated rule returns rule ID/version, result, reason code and human-readable explanation suitable for officer/citizen use where policy permits.</w:t>
            </w:r>
          </w:p>
        </w:tc>
      </w:tr>
    </w:tbl>
    <w:p>
      <w:pPr>
        <w:pStyle w:val="Heading2"/>
      </w:pPr>
      <w:r>
        <w:t>19.9 Visual Workflow Designer</w:t>
      </w:r>
    </w:p>
    <w:p>
      <w:pPr>
        <w:spacing w:after="120"/>
      </w:pPr>
      <w:r>
        <w:t>The workflow authoring experience is a drag-and-drop canvas. The author sees government process concepts rather than Temporal implementation details. The published workflow definition is compiled/executed by generic Temporal workflow code and versioned ServiceForm metadata.</w:t>
      </w:r>
    </w:p>
    <w:tbl>
      <w:tblPr>
        <w:tblW w:type="auto" w:w="0"/>
        <w:jc w:val="center"/>
        <w:tblLook w:firstColumn="1" w:firstRow="1" w:lastColumn="0" w:lastRow="0" w:noHBand="0" w:noVBand="1" w:val="04A0"/>
      </w:tblPr>
      <w:tblGrid>
        <w:gridCol w:w="5083"/>
        <w:gridCol w:w="5083"/>
      </w:tblGrid>
      <w:tr>
        <w:trPr>
          <w:tblHeader w:val="true"/>
        </w:trPr>
        <w:tc>
          <w:tcPr>
            <w:tcW w:type="dxa" w:w="2520"/>
            <w:vAlign w:val="center"/>
            <w:tcMar>
              <w:top w:w="90" w:type="dxa"/>
              <w:start w:w="110" w:type="dxa"/>
              <w:bottom w:w="90" w:type="dxa"/>
              <w:end w:w="110" w:type="dxa"/>
            </w:tcMar>
            <w:shd w:fill="17365D"/>
          </w:tcPr>
          <w:p>
            <w:pPr>
              <w:spacing w:after="40" w:before="40"/>
            </w:pPr>
            <w:r>
              <w:rPr>
                <w:rFonts w:ascii="Aptos" w:hAnsi="Aptos"/>
                <w:b/>
                <w:color w:val="FFFFFF"/>
                <w:sz w:val="18"/>
              </w:rPr>
              <w:t>Node / gateway</w:t>
            </w:r>
          </w:p>
        </w:tc>
        <w:tc>
          <w:tcPr>
            <w:tcW w:type="dxa" w:w="7272"/>
            <w:vAlign w:val="center"/>
            <w:tcMar>
              <w:top w:w="90" w:type="dxa"/>
              <w:start w:w="110" w:type="dxa"/>
              <w:bottom w:w="90" w:type="dxa"/>
              <w:end w:w="110" w:type="dxa"/>
            </w:tcMar>
            <w:shd w:fill="17365D"/>
          </w:tcPr>
          <w:p>
            <w:pPr>
              <w:spacing w:after="40" w:before="40"/>
            </w:pPr>
            <w:r>
              <w:rPr>
                <w:rFonts w:ascii="Aptos" w:hAnsi="Aptos"/>
                <w:b/>
                <w:color w:val="FFFFFF"/>
                <w:sz w:val="18"/>
              </w:rPr>
              <w:t>Configuration</w:t>
            </w:r>
          </w:p>
        </w:tc>
      </w:tr>
      <w:tr>
        <w:tc>
          <w:tcPr>
            <w:tcW w:type="dxa" w:w="2520"/>
            <w:vAlign w:val="center"/>
            <w:tcMar>
              <w:top w:w="90" w:type="dxa"/>
              <w:start w:w="110" w:type="dxa"/>
              <w:bottom w:w="90" w:type="dxa"/>
              <w:end w:w="110" w:type="dxa"/>
            </w:tcMar>
          </w:tcPr>
          <w:p>
            <w:pPr>
              <w:spacing w:after="40" w:before="40"/>
            </w:pPr>
            <w:r>
              <w:rPr>
                <w:rFonts w:ascii="Aptos" w:hAnsi="Aptos"/>
                <w:sz w:val="18"/>
              </w:rPr>
              <w:t>Start / End</w:t>
            </w:r>
          </w:p>
        </w:tc>
        <w:tc>
          <w:tcPr>
            <w:tcW w:type="dxa" w:w="7272"/>
            <w:vAlign w:val="center"/>
            <w:tcMar>
              <w:top w:w="90" w:type="dxa"/>
              <w:start w:w="110" w:type="dxa"/>
              <w:bottom w:w="90" w:type="dxa"/>
              <w:end w:w="110" w:type="dxa"/>
            </w:tcMar>
          </w:tcPr>
          <w:p>
            <w:pPr>
              <w:spacing w:after="40" w:before="40"/>
            </w:pPr>
            <w:r>
              <w:rPr>
                <w:rFonts w:ascii="Aptos" w:hAnsi="Aptos"/>
                <w:sz w:val="18"/>
              </w:rPr>
              <w:t>Trigger, terminal outcome and completion policy.</w:t>
            </w:r>
          </w:p>
        </w:tc>
      </w:tr>
      <w:tr>
        <w:tc>
          <w:tcPr>
            <w:tcW w:type="dxa" w:w="2520"/>
            <w:vAlign w:val="center"/>
            <w:tcMar>
              <w:top w:w="90" w:type="dxa"/>
              <w:start w:w="110" w:type="dxa"/>
              <w:bottom w:w="90" w:type="dxa"/>
              <w:end w:w="110" w:type="dxa"/>
            </w:tcMar>
          </w:tcPr>
          <w:p>
            <w:pPr>
              <w:spacing w:after="40" w:before="40"/>
            </w:pPr>
            <w:r>
              <w:rPr>
                <w:rFonts w:ascii="Aptos" w:hAnsi="Aptos"/>
                <w:sz w:val="18"/>
              </w:rPr>
              <w:t>Scrutiny / User Task</w:t>
            </w:r>
          </w:p>
        </w:tc>
        <w:tc>
          <w:tcPr>
            <w:tcW w:type="dxa" w:w="7272"/>
            <w:vAlign w:val="center"/>
            <w:tcMar>
              <w:top w:w="90" w:type="dxa"/>
              <w:start w:w="110" w:type="dxa"/>
              <w:bottom w:w="90" w:type="dxa"/>
              <w:end w:w="110" w:type="dxa"/>
            </w:tcMar>
          </w:tcPr>
          <w:p>
            <w:pPr>
              <w:spacing w:after="40" w:before="40"/>
            </w:pPr>
            <w:r>
              <w:rPr>
                <w:rFonts w:ascii="Aptos" w:hAnsi="Aptos"/>
                <w:sz w:val="18"/>
              </w:rPr>
              <w:t>Required role, organisation/office resolution, jurisdiction policy, claim/release/delegation and SLA.</w:t>
            </w:r>
          </w:p>
        </w:tc>
      </w:tr>
      <w:tr>
        <w:tc>
          <w:tcPr>
            <w:tcW w:type="dxa" w:w="2520"/>
            <w:vAlign w:val="center"/>
            <w:tcMar>
              <w:top w:w="90" w:type="dxa"/>
              <w:start w:w="110" w:type="dxa"/>
              <w:bottom w:w="90" w:type="dxa"/>
              <w:end w:w="110" w:type="dxa"/>
            </w:tcMar>
          </w:tcPr>
          <w:p>
            <w:pPr>
              <w:spacing w:after="40" w:before="40"/>
            </w:pPr>
            <w:r>
              <w:rPr>
                <w:rFonts w:ascii="Aptos" w:hAnsi="Aptos"/>
                <w:sz w:val="18"/>
              </w:rPr>
              <w:t>Verification / Inspection</w:t>
            </w:r>
          </w:p>
        </w:tc>
        <w:tc>
          <w:tcPr>
            <w:tcW w:type="dxa" w:w="7272"/>
            <w:vAlign w:val="center"/>
            <w:tcMar>
              <w:top w:w="90" w:type="dxa"/>
              <w:start w:w="110" w:type="dxa"/>
              <w:bottom w:w="90" w:type="dxa"/>
              <w:end w:w="110" w:type="dxa"/>
            </w:tcMar>
          </w:tcPr>
          <w:p>
            <w:pPr>
              <w:spacing w:after="40" w:before="40"/>
            </w:pPr>
            <w:r>
              <w:rPr>
                <w:rFonts w:ascii="Aptos" w:hAnsi="Aptos"/>
                <w:sz w:val="18"/>
              </w:rPr>
              <w:t>Verification type, evidence/input, assignee policy, checklist, geo/media requirements.</w:t>
            </w:r>
          </w:p>
        </w:tc>
      </w:tr>
      <w:tr>
        <w:tc>
          <w:tcPr>
            <w:tcW w:type="dxa" w:w="2520"/>
            <w:vAlign w:val="center"/>
            <w:tcMar>
              <w:top w:w="90" w:type="dxa"/>
              <w:start w:w="110" w:type="dxa"/>
              <w:bottom w:w="90" w:type="dxa"/>
              <w:end w:w="110" w:type="dxa"/>
            </w:tcMar>
          </w:tcPr>
          <w:p>
            <w:pPr>
              <w:spacing w:after="40" w:before="40"/>
            </w:pPr>
            <w:r>
              <w:rPr>
                <w:rFonts w:ascii="Aptos" w:hAnsi="Aptos"/>
                <w:sz w:val="18"/>
              </w:rPr>
              <w:t>Decision</w:t>
            </w:r>
          </w:p>
        </w:tc>
        <w:tc>
          <w:tcPr>
            <w:tcW w:type="dxa" w:w="7272"/>
            <w:vAlign w:val="center"/>
            <w:tcMar>
              <w:top w:w="90" w:type="dxa"/>
              <w:start w:w="110" w:type="dxa"/>
              <w:bottom w:w="90" w:type="dxa"/>
              <w:end w:w="110" w:type="dxa"/>
            </w:tcMar>
          </w:tcPr>
          <w:p>
            <w:pPr>
              <w:spacing w:after="40" w:before="40"/>
            </w:pPr>
            <w:r>
              <w:rPr>
                <w:rFonts w:ascii="Aptos" w:hAnsi="Aptos"/>
                <w:sz w:val="18"/>
              </w:rPr>
              <w:t>Authorized role, allowed outcomes, reason-code requirements and separation-of-duties.</w:t>
            </w:r>
          </w:p>
        </w:tc>
      </w:tr>
      <w:tr>
        <w:tc>
          <w:tcPr>
            <w:tcW w:type="dxa" w:w="2520"/>
            <w:vAlign w:val="center"/>
            <w:tcMar>
              <w:top w:w="90" w:type="dxa"/>
              <w:start w:w="110" w:type="dxa"/>
              <w:bottom w:w="90" w:type="dxa"/>
              <w:end w:w="110" w:type="dxa"/>
            </w:tcMar>
          </w:tcPr>
          <w:p>
            <w:pPr>
              <w:spacing w:after="40" w:before="40"/>
            </w:pPr>
            <w:r>
              <w:rPr>
                <w:rFonts w:ascii="Aptos" w:hAnsi="Aptos"/>
                <w:sz w:val="18"/>
              </w:rPr>
              <w:t>Deficiency / Citizen Clarification</w:t>
            </w:r>
          </w:p>
        </w:tc>
        <w:tc>
          <w:tcPr>
            <w:tcW w:type="dxa" w:w="7272"/>
            <w:vAlign w:val="center"/>
            <w:tcMar>
              <w:top w:w="90" w:type="dxa"/>
              <w:start w:w="110" w:type="dxa"/>
              <w:bottom w:w="90" w:type="dxa"/>
              <w:end w:w="110" w:type="dxa"/>
            </w:tcMar>
          </w:tcPr>
          <w:p>
            <w:pPr>
              <w:spacing w:after="40" w:before="40"/>
            </w:pPr>
            <w:r>
              <w:rPr>
                <w:rFonts w:ascii="Aptos" w:hAnsi="Aptos"/>
                <w:sz w:val="18"/>
              </w:rPr>
              <w:t>Requested items, response deadline, SLA pause/resume and repeat policy.</w:t>
            </w:r>
          </w:p>
        </w:tc>
      </w:tr>
      <w:tr>
        <w:tc>
          <w:tcPr>
            <w:tcW w:type="dxa" w:w="2520"/>
            <w:vAlign w:val="center"/>
            <w:tcMar>
              <w:top w:w="90" w:type="dxa"/>
              <w:start w:w="110" w:type="dxa"/>
              <w:bottom w:w="90" w:type="dxa"/>
              <w:end w:w="110" w:type="dxa"/>
            </w:tcMar>
          </w:tcPr>
          <w:p>
            <w:pPr>
              <w:spacing w:after="40" w:before="40"/>
            </w:pPr>
            <w:r>
              <w:rPr>
                <w:rFonts w:ascii="Aptos" w:hAnsi="Aptos"/>
                <w:sz w:val="18"/>
              </w:rPr>
              <w:t>Payment</w:t>
            </w:r>
          </w:p>
        </w:tc>
        <w:tc>
          <w:tcPr>
            <w:tcW w:type="dxa" w:w="7272"/>
            <w:vAlign w:val="center"/>
            <w:tcMar>
              <w:top w:w="90" w:type="dxa"/>
              <w:start w:w="110" w:type="dxa"/>
              <w:bottom w:w="90" w:type="dxa"/>
              <w:end w:w="110" w:type="dxa"/>
            </w:tcMar>
          </w:tcPr>
          <w:p>
            <w:pPr>
              <w:spacing w:after="40" w:before="40"/>
            </w:pPr>
            <w:r>
              <w:rPr>
                <w:rFonts w:ascii="Aptos" w:hAnsi="Aptos"/>
                <w:sz w:val="18"/>
              </w:rPr>
              <w:t>Fee source, pre/post decision timing, reconciliation and failure path.</w:t>
            </w:r>
          </w:p>
        </w:tc>
      </w:tr>
      <w:tr>
        <w:tc>
          <w:tcPr>
            <w:tcW w:type="dxa" w:w="2520"/>
            <w:vAlign w:val="center"/>
            <w:tcMar>
              <w:top w:w="90" w:type="dxa"/>
              <w:start w:w="110" w:type="dxa"/>
              <w:bottom w:w="90" w:type="dxa"/>
              <w:end w:w="110" w:type="dxa"/>
            </w:tcMar>
          </w:tcPr>
          <w:p>
            <w:pPr>
              <w:spacing w:after="40" w:before="40"/>
            </w:pPr>
            <w:r>
              <w:rPr>
                <w:rFonts w:ascii="Aptos" w:hAnsi="Aptos"/>
                <w:sz w:val="18"/>
              </w:rPr>
              <w:t>Timer / Escalation</w:t>
            </w:r>
          </w:p>
        </w:tc>
        <w:tc>
          <w:tcPr>
            <w:tcW w:type="dxa" w:w="7272"/>
            <w:vAlign w:val="center"/>
            <w:tcMar>
              <w:top w:w="90" w:type="dxa"/>
              <w:start w:w="110" w:type="dxa"/>
              <w:bottom w:w="90" w:type="dxa"/>
              <w:end w:w="110" w:type="dxa"/>
            </w:tcMar>
          </w:tcPr>
          <w:p>
            <w:pPr>
              <w:spacing w:after="40" w:before="40"/>
            </w:pPr>
            <w:r>
              <w:rPr>
                <w:rFonts w:ascii="Aptos" w:hAnsi="Aptos"/>
                <w:sz w:val="18"/>
              </w:rPr>
              <w:t>Calendar, duration, reminder, escalation role/office and maximum escalation chain.</w:t>
            </w:r>
          </w:p>
        </w:tc>
      </w:tr>
      <w:tr>
        <w:tc>
          <w:tcPr>
            <w:tcW w:type="dxa" w:w="2520"/>
            <w:vAlign w:val="center"/>
            <w:tcMar>
              <w:top w:w="90" w:type="dxa"/>
              <w:start w:w="110" w:type="dxa"/>
              <w:bottom w:w="90" w:type="dxa"/>
              <w:end w:w="110" w:type="dxa"/>
            </w:tcMar>
          </w:tcPr>
          <w:p>
            <w:pPr>
              <w:spacing w:after="40" w:before="40"/>
            </w:pPr>
            <w:r>
              <w:rPr>
                <w:rFonts w:ascii="Aptos" w:hAnsi="Aptos"/>
                <w:sz w:val="18"/>
              </w:rPr>
              <w:t>Parallel / Conditional Gateway</w:t>
            </w:r>
          </w:p>
        </w:tc>
        <w:tc>
          <w:tcPr>
            <w:tcW w:type="dxa" w:w="7272"/>
            <w:vAlign w:val="center"/>
            <w:tcMar>
              <w:top w:w="90" w:type="dxa"/>
              <w:start w:w="110" w:type="dxa"/>
              <w:bottom w:w="90" w:type="dxa"/>
              <w:end w:w="110" w:type="dxa"/>
            </w:tcMar>
          </w:tcPr>
          <w:p>
            <w:pPr>
              <w:spacing w:after="40" w:before="40"/>
            </w:pPr>
            <w:r>
              <w:rPr>
                <w:rFonts w:ascii="Aptos" w:hAnsi="Aptos"/>
                <w:sz w:val="18"/>
              </w:rPr>
              <w:t>Deterministic branch expression and join semantics.</w:t>
            </w:r>
          </w:p>
        </w:tc>
      </w:tr>
      <w:tr>
        <w:tc>
          <w:tcPr>
            <w:tcW w:type="dxa" w:w="2520"/>
            <w:vAlign w:val="center"/>
            <w:tcMar>
              <w:top w:w="90" w:type="dxa"/>
              <w:start w:w="110" w:type="dxa"/>
              <w:bottom w:w="90" w:type="dxa"/>
              <w:end w:w="110" w:type="dxa"/>
            </w:tcMar>
          </w:tcPr>
          <w:p>
            <w:pPr>
              <w:spacing w:after="40" w:before="40"/>
            </w:pPr>
            <w:r>
              <w:rPr>
                <w:rFonts w:ascii="Aptos" w:hAnsi="Aptos"/>
                <w:sz w:val="18"/>
              </w:rPr>
              <w:t>Integration/API</w:t>
            </w:r>
          </w:p>
        </w:tc>
        <w:tc>
          <w:tcPr>
            <w:tcW w:type="dxa" w:w="7272"/>
            <w:vAlign w:val="center"/>
            <w:tcMar>
              <w:top w:w="90" w:type="dxa"/>
              <w:start w:w="110" w:type="dxa"/>
              <w:bottom w:w="90" w:type="dxa"/>
              <w:end w:w="110" w:type="dxa"/>
            </w:tcMar>
          </w:tcPr>
          <w:p>
            <w:pPr>
              <w:spacing w:after="40" w:before="40"/>
            </w:pPr>
            <w:r>
              <w:rPr>
                <w:rFonts w:ascii="Aptos" w:hAnsi="Aptos"/>
                <w:sz w:val="18"/>
              </w:rPr>
              <w:t>Approved connector, request mapping, timeout, retry budget, idempotency and fallback.</w:t>
            </w:r>
          </w:p>
        </w:tc>
      </w:tr>
      <w:tr>
        <w:tc>
          <w:tcPr>
            <w:tcW w:type="dxa" w:w="2520"/>
            <w:vAlign w:val="center"/>
            <w:tcMar>
              <w:top w:w="90" w:type="dxa"/>
              <w:start w:w="110" w:type="dxa"/>
              <w:bottom w:w="90" w:type="dxa"/>
              <w:end w:w="110" w:type="dxa"/>
            </w:tcMar>
          </w:tcPr>
          <w:p>
            <w:pPr>
              <w:spacing w:after="40" w:before="40"/>
            </w:pPr>
            <w:r>
              <w:rPr>
                <w:rFonts w:ascii="Aptos" w:hAnsi="Aptos"/>
                <w:sz w:val="18"/>
              </w:rPr>
              <w:t>Sign / Issue / Notify</w:t>
            </w:r>
          </w:p>
        </w:tc>
        <w:tc>
          <w:tcPr>
            <w:tcW w:type="dxa" w:w="7272"/>
            <w:vAlign w:val="center"/>
            <w:tcMar>
              <w:top w:w="90" w:type="dxa"/>
              <w:start w:w="110" w:type="dxa"/>
              <w:bottom w:w="90" w:type="dxa"/>
              <w:end w:w="110" w:type="dxa"/>
            </w:tcMar>
          </w:tcPr>
          <w:p>
            <w:pPr>
              <w:spacing w:after="40" w:before="40"/>
            </w:pPr>
            <w:r>
              <w:rPr>
                <w:rFonts w:ascii="Aptos" w:hAnsi="Aptos"/>
                <w:sz w:val="18"/>
              </w:rPr>
              <w:t>Signatory policy, credential template, registry/QR, DigiLocker publication and notification triggers.</w:t>
            </w:r>
          </w:p>
        </w:tc>
      </w:tr>
    </w:tbl>
    <w:tbl>
      <w:tblPr>
        <w:tblW w:type="auto" w:w="0"/>
        <w:jc w:val="center"/>
        <w:tblLook w:firstColumn="1" w:firstRow="1" w:lastColumn="0" w:lastRow="0" w:noHBand="0" w:noVBand="1" w:val="04A0"/>
      </w:tblPr>
      <w:tblGrid>
        <w:gridCol w:w="10166"/>
      </w:tblGrid>
      <w:tr>
        <w:tc>
          <w:tcPr>
            <w:tcW w:type="dxa" w:w="10166"/>
            <w:shd w:fill="EAF1F8"/>
            <w:tcMar>
              <w:top w:w="150" w:type="dxa"/>
              <w:start w:w="160" w:type="dxa"/>
              <w:bottom w:w="150" w:type="dxa"/>
              <w:end w:w="160" w:type="dxa"/>
            </w:tcMar>
          </w:tcPr>
          <w:p>
            <w:pPr>
              <w:jc w:val="left"/>
            </w:pPr>
            <w:r/>
            <w:r>
              <w:rPr>
                <w:b/>
                <w:color w:val="17365D"/>
                <w:sz w:val="20"/>
              </w:rPr>
              <w:t>Assignment rule: Workflow definitions assign work to role + organisation/office + jurisdiction + optional skill, never to a permanent named officer. Runtime task resolution handles transfer, delegation, leave and vacancy without editing the workflow.</w:t>
            </w:r>
          </w:p>
        </w:tc>
      </w:tr>
    </w:tbl>
    <w:p>
      <w:pPr>
        <w:pStyle w:val="Heading2"/>
      </w:pPr>
      <w:r>
        <w:t>19.10 Tenant-specific workflow and service overrides</w:t>
      </w:r>
    </w:p>
    <w:p>
      <w:pPr>
        <w:spacing w:after="120"/>
      </w:pPr>
      <w:r>
        <w:t>Tenant differences are stored as structured overlays against a specific canonical template version. Overlays can add/disable fields, map master data, change evidence policy, adjust fee/SLA, insert or remove supported workflow steps, and map roles/offices. The system must show a semantic diff before approval.</w:t>
      </w:r>
    </w:p>
    <w:tbl>
      <w:tblPr>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tcMar>
              <w:top w:w="90" w:type="dxa"/>
              <w:start w:w="110" w:type="dxa"/>
              <w:bottom w:w="90" w:type="dxa"/>
              <w:end w:w="110" w:type="dxa"/>
            </w:tcMar>
            <w:shd w:fill="17365D"/>
          </w:tcPr>
          <w:p>
            <w:pPr>
              <w:spacing w:after="40" w:before="40"/>
            </w:pPr>
            <w:r>
              <w:rPr>
                <w:rFonts w:ascii="Aptos" w:hAnsi="Aptos"/>
                <w:b/>
                <w:color w:val="FFFFFF"/>
                <w:sz w:val="18"/>
              </w:rPr>
              <w:t>Override class</w:t>
            </w:r>
          </w:p>
        </w:tc>
        <w:tc>
          <w:tcPr>
            <w:tcW w:type="dxa" w:w="4032"/>
            <w:vAlign w:val="center"/>
            <w:tcMar>
              <w:top w:w="90" w:type="dxa"/>
              <w:start w:w="110" w:type="dxa"/>
              <w:bottom w:w="90" w:type="dxa"/>
              <w:end w:w="110" w:type="dxa"/>
            </w:tcMar>
            <w:shd w:fill="17365D"/>
          </w:tcPr>
          <w:p>
            <w:pPr>
              <w:spacing w:after="40" w:before="40"/>
            </w:pPr>
            <w:r>
              <w:rPr>
                <w:rFonts w:ascii="Aptos" w:hAnsi="Aptos"/>
                <w:b/>
                <w:color w:val="FFFFFF"/>
                <w:sz w:val="18"/>
              </w:rPr>
              <w:t>Allowed example</w:t>
            </w:r>
          </w:p>
        </w:tc>
        <w:tc>
          <w:tcPr>
            <w:tcW w:type="dxa" w:w="3744"/>
            <w:vAlign w:val="center"/>
            <w:tcMar>
              <w:top w:w="90" w:type="dxa"/>
              <w:start w:w="110" w:type="dxa"/>
              <w:bottom w:w="90" w:type="dxa"/>
              <w:end w:w="110" w:type="dxa"/>
            </w:tcMar>
            <w:shd w:fill="17365D"/>
          </w:tcPr>
          <w:p>
            <w:pPr>
              <w:spacing w:after="40" w:before="40"/>
            </w:pPr>
            <w:r>
              <w:rPr>
                <w:rFonts w:ascii="Aptos" w:hAnsi="Aptos"/>
                <w:b/>
                <w:color w:val="FFFFFF"/>
                <w:sz w:val="18"/>
              </w:rPr>
              <w:t>Governance</w:t>
            </w:r>
          </w:p>
        </w:tc>
      </w:tr>
      <w:tr>
        <w:tc>
          <w:tcPr>
            <w:tcW w:type="dxa" w:w="2016"/>
            <w:vAlign w:val="center"/>
            <w:tcMar>
              <w:top w:w="90" w:type="dxa"/>
              <w:start w:w="110" w:type="dxa"/>
              <w:bottom w:w="90" w:type="dxa"/>
              <w:end w:w="110" w:type="dxa"/>
            </w:tcMar>
          </w:tcPr>
          <w:p>
            <w:pPr>
              <w:spacing w:after="40" w:before="40"/>
            </w:pPr>
            <w:r>
              <w:rPr>
                <w:rFonts w:ascii="Aptos" w:hAnsi="Aptos"/>
                <w:sz w:val="18"/>
              </w:rPr>
              <w:t>Presentation</w:t>
            </w:r>
          </w:p>
        </w:tc>
        <w:tc>
          <w:tcPr>
            <w:tcW w:type="dxa" w:w="4032"/>
            <w:vAlign w:val="center"/>
            <w:tcMar>
              <w:top w:w="90" w:type="dxa"/>
              <w:start w:w="110" w:type="dxa"/>
              <w:bottom w:w="90" w:type="dxa"/>
              <w:end w:w="110" w:type="dxa"/>
            </w:tcMar>
          </w:tcPr>
          <w:p>
            <w:pPr>
              <w:spacing w:after="40" w:before="40"/>
            </w:pPr>
            <w:r>
              <w:rPr>
                <w:rFonts w:ascii="Aptos" w:hAnsi="Aptos"/>
                <w:sz w:val="18"/>
              </w:rPr>
              <w:t>Label/help text/layout/translation</w:t>
            </w:r>
          </w:p>
        </w:tc>
        <w:tc>
          <w:tcPr>
            <w:tcW w:type="dxa" w:w="3744"/>
            <w:vAlign w:val="center"/>
            <w:tcMar>
              <w:top w:w="90" w:type="dxa"/>
              <w:start w:w="110" w:type="dxa"/>
              <w:bottom w:w="90" w:type="dxa"/>
              <w:end w:w="110" w:type="dxa"/>
            </w:tcMar>
          </w:tcPr>
          <w:p>
            <w:pPr>
              <w:spacing w:after="40" w:before="40"/>
            </w:pPr>
            <w:r>
              <w:rPr>
                <w:rFonts w:ascii="Aptos" w:hAnsi="Aptos"/>
                <w:sz w:val="18"/>
              </w:rPr>
              <w:t>Tenant maker-checker.</w:t>
            </w:r>
          </w:p>
        </w:tc>
      </w:tr>
      <w:tr>
        <w:tc>
          <w:tcPr>
            <w:tcW w:type="dxa" w:w="2016"/>
            <w:vAlign w:val="center"/>
            <w:tcMar>
              <w:top w:w="90" w:type="dxa"/>
              <w:start w:w="110" w:type="dxa"/>
              <w:bottom w:w="90" w:type="dxa"/>
              <w:end w:w="110" w:type="dxa"/>
            </w:tcMar>
          </w:tcPr>
          <w:p>
            <w:pPr>
              <w:spacing w:after="40" w:before="40"/>
            </w:pPr>
            <w:r>
              <w:rPr>
                <w:rFonts w:ascii="Aptos" w:hAnsi="Aptos"/>
                <w:sz w:val="18"/>
              </w:rPr>
              <w:t>Form structure</w:t>
            </w:r>
          </w:p>
        </w:tc>
        <w:tc>
          <w:tcPr>
            <w:tcW w:type="dxa" w:w="4032"/>
            <w:vAlign w:val="center"/>
            <w:tcMar>
              <w:top w:w="90" w:type="dxa"/>
              <w:start w:w="110" w:type="dxa"/>
              <w:bottom w:w="90" w:type="dxa"/>
              <w:end w:w="110" w:type="dxa"/>
            </w:tcMar>
          </w:tcPr>
          <w:p>
            <w:pPr>
              <w:spacing w:after="40" w:before="40"/>
            </w:pPr>
            <w:r>
              <w:rPr>
                <w:rFonts w:ascii="Aptos" w:hAnsi="Aptos"/>
                <w:sz w:val="18"/>
              </w:rPr>
              <w:t>Add local field/section; make optional/required within policy</w:t>
            </w:r>
          </w:p>
        </w:tc>
        <w:tc>
          <w:tcPr>
            <w:tcW w:type="dxa" w:w="3744"/>
            <w:vAlign w:val="center"/>
            <w:tcMar>
              <w:top w:w="90" w:type="dxa"/>
              <w:start w:w="110" w:type="dxa"/>
              <w:bottom w:w="90" w:type="dxa"/>
              <w:end w:w="110" w:type="dxa"/>
            </w:tcMar>
          </w:tcPr>
          <w:p>
            <w:pPr>
              <w:spacing w:after="40" w:before="40"/>
            </w:pPr>
            <w:r>
              <w:rPr>
                <w:rFonts w:ascii="Aptos" w:hAnsi="Aptos"/>
                <w:sz w:val="18"/>
              </w:rPr>
              <w:t>Validation + regression tests.</w:t>
            </w:r>
          </w:p>
        </w:tc>
      </w:tr>
      <w:tr>
        <w:tc>
          <w:tcPr>
            <w:tcW w:type="dxa" w:w="2016"/>
            <w:vAlign w:val="center"/>
            <w:tcMar>
              <w:top w:w="90" w:type="dxa"/>
              <w:start w:w="110" w:type="dxa"/>
              <w:bottom w:w="90" w:type="dxa"/>
              <w:end w:w="110" w:type="dxa"/>
            </w:tcMar>
          </w:tcPr>
          <w:p>
            <w:pPr>
              <w:spacing w:after="40" w:before="40"/>
            </w:pPr>
            <w:r>
              <w:rPr>
                <w:rFonts w:ascii="Aptos" w:hAnsi="Aptos"/>
                <w:sz w:val="18"/>
              </w:rPr>
              <w:t>Evidence</w:t>
            </w:r>
          </w:p>
        </w:tc>
        <w:tc>
          <w:tcPr>
            <w:tcW w:type="dxa" w:w="4032"/>
            <w:vAlign w:val="center"/>
            <w:tcMar>
              <w:top w:w="90" w:type="dxa"/>
              <w:start w:w="110" w:type="dxa"/>
              <w:bottom w:w="90" w:type="dxa"/>
              <w:end w:w="110" w:type="dxa"/>
            </w:tcMar>
          </w:tcPr>
          <w:p>
            <w:pPr>
              <w:spacing w:after="40" w:before="40"/>
            </w:pPr>
            <w:r>
              <w:rPr>
                <w:rFonts w:ascii="Aptos" w:hAnsi="Aptos"/>
                <w:sz w:val="18"/>
              </w:rPr>
              <w:t>Add local proof; map DigiLocker document; configure fallback</w:t>
            </w:r>
          </w:p>
        </w:tc>
        <w:tc>
          <w:tcPr>
            <w:tcW w:type="dxa" w:w="3744"/>
            <w:vAlign w:val="center"/>
            <w:tcMar>
              <w:top w:w="90" w:type="dxa"/>
              <w:start w:w="110" w:type="dxa"/>
              <w:bottom w:w="90" w:type="dxa"/>
              <w:end w:w="110" w:type="dxa"/>
            </w:tcMar>
          </w:tcPr>
          <w:p>
            <w:pPr>
              <w:spacing w:after="40" w:before="40"/>
            </w:pPr>
            <w:r>
              <w:rPr>
                <w:rFonts w:ascii="Aptos" w:hAnsi="Aptos"/>
                <w:sz w:val="18"/>
              </w:rPr>
              <w:t>Rule/evidence validation.</w:t>
            </w:r>
          </w:p>
        </w:tc>
      </w:tr>
      <w:tr>
        <w:tc>
          <w:tcPr>
            <w:tcW w:type="dxa" w:w="2016"/>
            <w:vAlign w:val="center"/>
            <w:tcMar>
              <w:top w:w="90" w:type="dxa"/>
              <w:start w:w="110" w:type="dxa"/>
              <w:bottom w:w="90" w:type="dxa"/>
              <w:end w:w="110" w:type="dxa"/>
            </w:tcMar>
          </w:tcPr>
          <w:p>
            <w:pPr>
              <w:spacing w:after="40" w:before="40"/>
            </w:pPr>
            <w:r>
              <w:rPr>
                <w:rFonts w:ascii="Aptos" w:hAnsi="Aptos"/>
                <w:sz w:val="18"/>
              </w:rPr>
              <w:t>Workflow</w:t>
            </w:r>
          </w:p>
        </w:tc>
        <w:tc>
          <w:tcPr>
            <w:tcW w:type="dxa" w:w="4032"/>
            <w:vAlign w:val="center"/>
            <w:tcMar>
              <w:top w:w="90" w:type="dxa"/>
              <w:start w:w="110" w:type="dxa"/>
              <w:bottom w:w="90" w:type="dxa"/>
              <w:end w:w="110" w:type="dxa"/>
            </w:tcMar>
          </w:tcPr>
          <w:p>
            <w:pPr>
              <w:spacing w:after="40" w:before="40"/>
            </w:pPr>
            <w:r>
              <w:rPr>
                <w:rFonts w:ascii="Aptos" w:hAnsi="Aptos"/>
                <w:sz w:val="18"/>
              </w:rPr>
              <w:t>Insert field inspection; change approval role; modify escalation</w:t>
            </w:r>
          </w:p>
        </w:tc>
        <w:tc>
          <w:tcPr>
            <w:tcW w:type="dxa" w:w="3744"/>
            <w:vAlign w:val="center"/>
            <w:tcMar>
              <w:top w:w="90" w:type="dxa"/>
              <w:start w:w="110" w:type="dxa"/>
              <w:bottom w:w="90" w:type="dxa"/>
              <w:end w:w="110" w:type="dxa"/>
            </w:tcMar>
          </w:tcPr>
          <w:p>
            <w:pPr>
              <w:spacing w:after="40" w:before="40"/>
            </w:pPr>
            <w:r>
              <w:rPr>
                <w:rFonts w:ascii="Aptos" w:hAnsi="Aptos"/>
                <w:sz w:val="18"/>
              </w:rPr>
              <w:t>Workflow lint + task-scope tests.</w:t>
            </w:r>
          </w:p>
        </w:tc>
      </w:tr>
      <w:tr>
        <w:tc>
          <w:tcPr>
            <w:tcW w:type="dxa" w:w="2016"/>
            <w:vAlign w:val="center"/>
            <w:tcMar>
              <w:top w:w="90" w:type="dxa"/>
              <w:start w:w="110" w:type="dxa"/>
              <w:bottom w:w="90" w:type="dxa"/>
              <w:end w:w="110" w:type="dxa"/>
            </w:tcMar>
          </w:tcPr>
          <w:p>
            <w:pPr>
              <w:spacing w:after="40" w:before="40"/>
            </w:pPr>
            <w:r>
              <w:rPr>
                <w:rFonts w:ascii="Aptos" w:hAnsi="Aptos"/>
                <w:sz w:val="18"/>
              </w:rPr>
              <w:t>SLA / fee</w:t>
            </w:r>
          </w:p>
        </w:tc>
        <w:tc>
          <w:tcPr>
            <w:tcW w:type="dxa" w:w="4032"/>
            <w:vAlign w:val="center"/>
            <w:tcMar>
              <w:top w:w="90" w:type="dxa"/>
              <w:start w:w="110" w:type="dxa"/>
              <w:bottom w:w="90" w:type="dxa"/>
              <w:end w:w="110" w:type="dxa"/>
            </w:tcMar>
          </w:tcPr>
          <w:p>
            <w:pPr>
              <w:spacing w:after="40" w:before="40"/>
            </w:pPr>
            <w:r>
              <w:rPr>
                <w:rFonts w:ascii="Aptos" w:hAnsi="Aptos"/>
                <w:sz w:val="18"/>
              </w:rPr>
              <w:t>Change approved timeline/fee/waiver/calendar</w:t>
            </w:r>
          </w:p>
        </w:tc>
        <w:tc>
          <w:tcPr>
            <w:tcW w:type="dxa" w:w="3744"/>
            <w:vAlign w:val="center"/>
            <w:tcMar>
              <w:top w:w="90" w:type="dxa"/>
              <w:start w:w="110" w:type="dxa"/>
              <w:bottom w:w="90" w:type="dxa"/>
              <w:end w:w="110" w:type="dxa"/>
            </w:tcMar>
          </w:tcPr>
          <w:p>
            <w:pPr>
              <w:spacing w:after="40" w:before="40"/>
            </w:pPr>
            <w:r>
              <w:rPr>
                <w:rFonts w:ascii="Aptos" w:hAnsi="Aptos"/>
                <w:sz w:val="18"/>
              </w:rPr>
              <w:t>Source/provenance + checker approval.</w:t>
            </w:r>
          </w:p>
        </w:tc>
      </w:tr>
      <w:tr>
        <w:tc>
          <w:tcPr>
            <w:tcW w:type="dxa" w:w="2016"/>
            <w:vAlign w:val="center"/>
            <w:tcMar>
              <w:top w:w="90" w:type="dxa"/>
              <w:start w:w="110" w:type="dxa"/>
              <w:bottom w:w="90" w:type="dxa"/>
              <w:end w:w="110" w:type="dxa"/>
            </w:tcMar>
          </w:tcPr>
          <w:p>
            <w:pPr>
              <w:spacing w:after="40" w:before="40"/>
            </w:pPr>
            <w:r>
              <w:rPr>
                <w:rFonts w:ascii="Aptos" w:hAnsi="Aptos"/>
                <w:sz w:val="18"/>
              </w:rPr>
              <w:t>Legal semantics</w:t>
            </w:r>
          </w:p>
        </w:tc>
        <w:tc>
          <w:tcPr>
            <w:tcW w:type="dxa" w:w="4032"/>
            <w:vAlign w:val="center"/>
            <w:tcMar>
              <w:top w:w="90" w:type="dxa"/>
              <w:start w:w="110" w:type="dxa"/>
              <w:bottom w:w="90" w:type="dxa"/>
              <w:end w:w="110" w:type="dxa"/>
            </w:tcMar>
          </w:tcPr>
          <w:p>
            <w:pPr>
              <w:spacing w:after="40" w:before="40"/>
            </w:pPr>
            <w:r>
              <w:rPr>
                <w:rFonts w:ascii="Aptos" w:hAnsi="Aptos"/>
                <w:sz w:val="18"/>
              </w:rPr>
              <w:t>Materially change statutory eligibility/credential meaning</w:t>
            </w:r>
          </w:p>
        </w:tc>
        <w:tc>
          <w:tcPr>
            <w:tcW w:type="dxa" w:w="3744"/>
            <w:vAlign w:val="center"/>
            <w:tcMar>
              <w:top w:w="90" w:type="dxa"/>
              <w:start w:w="110" w:type="dxa"/>
              <w:bottom w:w="90" w:type="dxa"/>
              <w:end w:w="110" w:type="dxa"/>
            </w:tcMar>
          </w:tcPr>
          <w:p>
            <w:pPr>
              <w:spacing w:after="40" w:before="40"/>
            </w:pPr>
            <w:r>
              <w:rPr>
                <w:rFonts w:ascii="Aptos" w:hAnsi="Aptos"/>
                <w:sz w:val="18"/>
              </w:rPr>
              <w:t>May require controlled fork and platform/legal governance.</w:t>
            </w:r>
          </w:p>
        </w:tc>
      </w:tr>
    </w:tbl>
    <w:p>
      <w:pPr>
        <w:pStyle w:val="Heading2"/>
      </w:pPr>
      <w:r>
        <w:t>19.11 AI-assisted service creation and document import</w:t>
      </w:r>
    </w:p>
    <w:p>
      <w:pPr>
        <w:pStyle w:val="ListBullet"/>
        <w:spacing w:after="40"/>
      </w:pPr>
      <w:r>
        <w:t>Natural-language authoring: a maker describes the service, applicant, evidence, workflow, SLA, fee, languages and credential; AI creates a draft package with traceable assumptions.</w:t>
      </w:r>
    </w:p>
    <w:p>
      <w:pPr>
        <w:pStyle w:val="ListBullet"/>
        <w:spacing w:after="40"/>
      </w:pPr>
      <w:r>
        <w:t>Import existing PDF/DOCX/image: Document Intelligence extracts sections, fields, tables, instructions, evidence lists and declarations and proposes a structured ServiceForm draft.</w:t>
      </w:r>
    </w:p>
    <w:p>
      <w:pPr>
        <w:pStyle w:val="ListBullet"/>
        <w:spacing w:after="40"/>
      </w:pPr>
      <w:r>
        <w:t>AI may propose form layout, validation, translations, rule drafts, workflow nodes, test scenarios and mappings, but it cannot publish or silently invent statutory requirements.</w:t>
      </w:r>
    </w:p>
    <w:p>
      <w:pPr>
        <w:pStyle w:val="ListBullet"/>
        <w:spacing w:after="40"/>
      </w:pPr>
      <w:r>
        <w:t>Every AI-generated requirement/rule must be marked with source/provenance: existing template, uploaded document/page, tenant instruction or unresolved assumption.</w:t>
      </w:r>
    </w:p>
    <w:p>
      <w:pPr>
        <w:pStyle w:val="ListBullet"/>
        <w:spacing w:after="40"/>
      </w:pPr>
      <w:r>
        <w:t>Uncertain statutory fields/rules become BLOCKING QUESTIONS for the maker/checker rather than autonomous AI decisions.</w:t>
      </w:r>
    </w:p>
    <w:p>
      <w:pPr>
        <w:pStyle w:val="Heading2"/>
      </w:pPr>
      <w:r>
        <w:t>19.12 Citizen/runtime form capabilities</w:t>
      </w:r>
    </w:p>
    <w:tbl>
      <w:tblPr>
        <w:tblW w:type="auto" w:w="0"/>
        <w:jc w:val="center"/>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Capability</w:t>
            </w:r>
          </w:p>
        </w:tc>
        <w:tc>
          <w:tcPr>
            <w:tcW w:type="dxa" w:w="7560"/>
            <w:vAlign w:val="center"/>
            <w:tcMar>
              <w:top w:w="90" w:type="dxa"/>
              <w:start w:w="110" w:type="dxa"/>
              <w:bottom w:w="90" w:type="dxa"/>
              <w:end w:w="110" w:type="dxa"/>
            </w:tcMar>
            <w:shd w:fill="17365D"/>
          </w:tcPr>
          <w:p>
            <w:pPr>
              <w:spacing w:after="40" w:before="40"/>
            </w:pPr>
            <w:r>
              <w:rPr>
                <w:rFonts w:ascii="Aptos" w:hAnsi="Aptos"/>
                <w:b/>
                <w:color w:val="FFFFFF"/>
                <w:sz w:val="18"/>
              </w:rPr>
              <w:t>Runtime requirement</w:t>
            </w:r>
          </w:p>
        </w:tc>
      </w:tr>
      <w:tr>
        <w:tc>
          <w:tcPr>
            <w:tcW w:type="dxa" w:w="2232"/>
            <w:vAlign w:val="center"/>
            <w:tcMar>
              <w:top w:w="90" w:type="dxa"/>
              <w:start w:w="110" w:type="dxa"/>
              <w:bottom w:w="90" w:type="dxa"/>
              <w:end w:w="110" w:type="dxa"/>
            </w:tcMar>
          </w:tcPr>
          <w:p>
            <w:pPr>
              <w:spacing w:after="40" w:before="40"/>
            </w:pPr>
            <w:r>
              <w:rPr>
                <w:rFonts w:ascii="Aptos" w:hAnsi="Aptos"/>
                <w:sz w:val="18"/>
              </w:rPr>
              <w:t>Save and resume</w:t>
            </w:r>
          </w:p>
        </w:tc>
        <w:tc>
          <w:tcPr>
            <w:tcW w:type="dxa" w:w="7560"/>
            <w:vAlign w:val="center"/>
            <w:tcMar>
              <w:top w:w="90" w:type="dxa"/>
              <w:start w:w="110" w:type="dxa"/>
              <w:bottom w:w="90" w:type="dxa"/>
              <w:end w:w="110" w:type="dxa"/>
            </w:tcMar>
          </w:tcPr>
          <w:p>
            <w:pPr>
              <w:spacing w:after="40" w:before="40"/>
            </w:pPr>
            <w:r>
              <w:rPr>
                <w:rFonts w:ascii="Aptos" w:hAnsi="Aptos"/>
                <w:sz w:val="18"/>
              </w:rPr>
              <w:t>Server-side draft with optimistic concurrency; safe autosave; resume across devices after authentication.</w:t>
            </w:r>
          </w:p>
        </w:tc>
      </w:tr>
      <w:tr>
        <w:tc>
          <w:tcPr>
            <w:tcW w:type="dxa" w:w="2232"/>
            <w:vAlign w:val="center"/>
            <w:tcMar>
              <w:top w:w="90" w:type="dxa"/>
              <w:start w:w="110" w:type="dxa"/>
              <w:bottom w:w="90" w:type="dxa"/>
              <w:end w:w="110" w:type="dxa"/>
            </w:tcMar>
          </w:tcPr>
          <w:p>
            <w:pPr>
              <w:spacing w:after="40" w:before="40"/>
            </w:pPr>
            <w:r>
              <w:rPr>
                <w:rFonts w:ascii="Aptos" w:hAnsi="Aptos"/>
                <w:sz w:val="18"/>
              </w:rPr>
              <w:t>Prefill</w:t>
            </w:r>
          </w:p>
        </w:tc>
        <w:tc>
          <w:tcPr>
            <w:tcW w:type="dxa" w:w="7560"/>
            <w:vAlign w:val="center"/>
            <w:tcMar>
              <w:top w:w="90" w:type="dxa"/>
              <w:start w:w="110" w:type="dxa"/>
              <w:bottom w:w="90" w:type="dxa"/>
              <w:end w:w="110" w:type="dxa"/>
            </w:tcMar>
          </w:tcPr>
          <w:p>
            <w:pPr>
              <w:spacing w:after="40" w:before="40"/>
            </w:pPr>
            <w:r>
              <w:rPr>
                <w:rFonts w:ascii="Aptos" w:hAnsi="Aptos"/>
                <w:sz w:val="18"/>
              </w:rPr>
              <w:t>Use verified profile/claims where consent/purpose permits; visibly distinguish verified, user-entered and derived values.</w:t>
            </w:r>
          </w:p>
        </w:tc>
      </w:tr>
      <w:tr>
        <w:tc>
          <w:tcPr>
            <w:tcW w:type="dxa" w:w="2232"/>
            <w:vAlign w:val="center"/>
            <w:tcMar>
              <w:top w:w="90" w:type="dxa"/>
              <w:start w:w="110" w:type="dxa"/>
              <w:bottom w:w="90" w:type="dxa"/>
              <w:end w:w="110" w:type="dxa"/>
            </w:tcMar>
          </w:tcPr>
          <w:p>
            <w:pPr>
              <w:spacing w:after="40" w:before="40"/>
            </w:pPr>
            <w:r>
              <w:rPr>
                <w:rFonts w:ascii="Aptos" w:hAnsi="Aptos"/>
                <w:sz w:val="18"/>
              </w:rPr>
              <w:t>Conditional behavior</w:t>
            </w:r>
          </w:p>
        </w:tc>
        <w:tc>
          <w:tcPr>
            <w:tcW w:type="dxa" w:w="7560"/>
            <w:vAlign w:val="center"/>
            <w:tcMar>
              <w:top w:w="90" w:type="dxa"/>
              <w:start w:w="110" w:type="dxa"/>
              <w:bottom w:w="90" w:type="dxa"/>
              <w:end w:w="110" w:type="dxa"/>
            </w:tcMar>
          </w:tcPr>
          <w:p>
            <w:pPr>
              <w:spacing w:after="40" w:before="40"/>
            </w:pPr>
            <w:r>
              <w:rPr>
                <w:rFonts w:ascii="Aptos" w:hAnsi="Aptos"/>
                <w:sz w:val="18"/>
              </w:rPr>
              <w:t>Deterministic, safe, versioned expressions; same behavior on web/mobile.</w:t>
            </w:r>
          </w:p>
        </w:tc>
      </w:tr>
      <w:tr>
        <w:tc>
          <w:tcPr>
            <w:tcW w:type="dxa" w:w="2232"/>
            <w:vAlign w:val="center"/>
            <w:tcMar>
              <w:top w:w="90" w:type="dxa"/>
              <w:start w:w="110" w:type="dxa"/>
              <w:bottom w:w="90" w:type="dxa"/>
              <w:end w:w="110" w:type="dxa"/>
            </w:tcMar>
          </w:tcPr>
          <w:p>
            <w:pPr>
              <w:spacing w:after="40" w:before="40"/>
            </w:pPr>
            <w:r>
              <w:rPr>
                <w:rFonts w:ascii="Aptos" w:hAnsi="Aptos"/>
                <w:sz w:val="18"/>
              </w:rPr>
              <w:t>Repeaters / household data</w:t>
            </w:r>
          </w:p>
        </w:tc>
        <w:tc>
          <w:tcPr>
            <w:tcW w:type="dxa" w:w="7560"/>
            <w:vAlign w:val="center"/>
            <w:tcMar>
              <w:top w:w="90" w:type="dxa"/>
              <w:start w:w="110" w:type="dxa"/>
              <w:bottom w:w="90" w:type="dxa"/>
              <w:end w:w="110" w:type="dxa"/>
            </w:tcMar>
          </w:tcPr>
          <w:p>
            <w:pPr>
              <w:spacing w:after="40" w:before="40"/>
            </w:pPr>
            <w:r>
              <w:rPr>
                <w:rFonts w:ascii="Aptos" w:hAnsi="Aptos"/>
                <w:sz w:val="18"/>
              </w:rPr>
              <w:t>Nested collections with validation, stable item identifiers and accessible add/remove/reorder.</w:t>
            </w:r>
          </w:p>
        </w:tc>
      </w:tr>
      <w:tr>
        <w:tc>
          <w:tcPr>
            <w:tcW w:type="dxa" w:w="2232"/>
            <w:vAlign w:val="center"/>
            <w:tcMar>
              <w:top w:w="90" w:type="dxa"/>
              <w:start w:w="110" w:type="dxa"/>
              <w:bottom w:w="90" w:type="dxa"/>
              <w:end w:w="110" w:type="dxa"/>
            </w:tcMar>
          </w:tcPr>
          <w:p>
            <w:pPr>
              <w:spacing w:after="40" w:before="40"/>
            </w:pPr>
            <w:r>
              <w:rPr>
                <w:rFonts w:ascii="Aptos" w:hAnsi="Aptos"/>
                <w:sz w:val="18"/>
              </w:rPr>
              <w:t>Evidence</w:t>
            </w:r>
          </w:p>
        </w:tc>
        <w:tc>
          <w:tcPr>
            <w:tcW w:type="dxa" w:w="7560"/>
            <w:vAlign w:val="center"/>
            <w:tcMar>
              <w:top w:w="90" w:type="dxa"/>
              <w:start w:w="110" w:type="dxa"/>
              <w:bottom w:w="90" w:type="dxa"/>
              <w:end w:w="110" w:type="dxa"/>
            </w:tcMar>
          </w:tcPr>
          <w:p>
            <w:pPr>
              <w:spacing w:after="40" w:before="40"/>
            </w:pPr>
            <w:r>
              <w:rPr>
                <w:rFonts w:ascii="Aptos" w:hAnsi="Aptos"/>
                <w:sz w:val="18"/>
              </w:rPr>
              <w:t>Upload/DigiLocker choices, quarantine/scanning, progress, retry, evidence mapping and validity feedback.</w:t>
            </w:r>
          </w:p>
        </w:tc>
      </w:tr>
      <w:tr>
        <w:tc>
          <w:tcPr>
            <w:tcW w:type="dxa" w:w="2232"/>
            <w:vAlign w:val="center"/>
            <w:tcMar>
              <w:top w:w="90" w:type="dxa"/>
              <w:start w:w="110" w:type="dxa"/>
              <w:bottom w:w="90" w:type="dxa"/>
              <w:end w:w="110" w:type="dxa"/>
            </w:tcMar>
          </w:tcPr>
          <w:p>
            <w:pPr>
              <w:spacing w:after="40" w:before="40"/>
            </w:pPr>
            <w:r>
              <w:rPr>
                <w:rFonts w:ascii="Aptos" w:hAnsi="Aptos"/>
                <w:sz w:val="18"/>
              </w:rPr>
              <w:t>Low bandwidth</w:t>
            </w:r>
          </w:p>
        </w:tc>
        <w:tc>
          <w:tcPr>
            <w:tcW w:type="dxa" w:w="7560"/>
            <w:vAlign w:val="center"/>
            <w:tcMar>
              <w:top w:w="90" w:type="dxa"/>
              <w:start w:w="110" w:type="dxa"/>
              <w:bottom w:w="90" w:type="dxa"/>
              <w:end w:w="110" w:type="dxa"/>
            </w:tcMar>
          </w:tcPr>
          <w:p>
            <w:pPr>
              <w:spacing w:after="40" w:before="40"/>
            </w:pPr>
            <w:r>
              <w:rPr>
                <w:rFonts w:ascii="Aptos" w:hAnsi="Aptos"/>
                <w:sz w:val="18"/>
              </w:rPr>
              <w:t>Avoid excessive round trips; compress assets; resilient upload; preserve draft on transient failures.</w:t>
            </w:r>
          </w:p>
        </w:tc>
      </w:tr>
      <w:tr>
        <w:tc>
          <w:tcPr>
            <w:tcW w:type="dxa" w:w="2232"/>
            <w:vAlign w:val="center"/>
            <w:tcMar>
              <w:top w:w="90" w:type="dxa"/>
              <w:start w:w="110" w:type="dxa"/>
              <w:bottom w:w="90" w:type="dxa"/>
              <w:end w:w="110" w:type="dxa"/>
            </w:tcMar>
          </w:tcPr>
          <w:p>
            <w:pPr>
              <w:spacing w:after="40" w:before="40"/>
            </w:pPr>
            <w:r>
              <w:rPr>
                <w:rFonts w:ascii="Aptos" w:hAnsi="Aptos"/>
                <w:sz w:val="18"/>
              </w:rPr>
              <w:t>Accessibility</w:t>
            </w:r>
          </w:p>
        </w:tc>
        <w:tc>
          <w:tcPr>
            <w:tcW w:type="dxa" w:w="7560"/>
            <w:vAlign w:val="center"/>
            <w:tcMar>
              <w:top w:w="90" w:type="dxa"/>
              <w:start w:w="110" w:type="dxa"/>
              <w:bottom w:w="90" w:type="dxa"/>
              <w:end w:w="110" w:type="dxa"/>
            </w:tcMar>
          </w:tcPr>
          <w:p>
            <w:pPr>
              <w:spacing w:after="40" w:before="40"/>
            </w:pPr>
            <w:r>
              <w:rPr>
                <w:rFonts w:ascii="Aptos" w:hAnsi="Aptos"/>
                <w:sz w:val="18"/>
              </w:rPr>
              <w:t>Keyboard, focus order, labels/errors, screen reader semantics, contrast and accessible dynamic updates.</w:t>
            </w:r>
          </w:p>
        </w:tc>
      </w:tr>
      <w:tr>
        <w:tc>
          <w:tcPr>
            <w:tcW w:type="dxa" w:w="2232"/>
            <w:vAlign w:val="center"/>
            <w:tcMar>
              <w:top w:w="90" w:type="dxa"/>
              <w:start w:w="110" w:type="dxa"/>
              <w:bottom w:w="90" w:type="dxa"/>
              <w:end w:w="110" w:type="dxa"/>
            </w:tcMar>
          </w:tcPr>
          <w:p>
            <w:pPr>
              <w:spacing w:after="40" w:before="40"/>
            </w:pPr>
            <w:r>
              <w:rPr>
                <w:rFonts w:ascii="Aptos" w:hAnsi="Aptos"/>
                <w:sz w:val="18"/>
              </w:rPr>
              <w:t>Localization</w:t>
            </w:r>
          </w:p>
        </w:tc>
        <w:tc>
          <w:tcPr>
            <w:tcW w:type="dxa" w:w="7560"/>
            <w:vAlign w:val="center"/>
            <w:tcMar>
              <w:top w:w="90" w:type="dxa"/>
              <w:start w:w="110" w:type="dxa"/>
              <w:bottom w:w="90" w:type="dxa"/>
              <w:end w:w="110" w:type="dxa"/>
            </w:tcMar>
          </w:tcPr>
          <w:p>
            <w:pPr>
              <w:spacing w:after="40" w:before="40"/>
            </w:pPr>
            <w:r>
              <w:rPr>
                <w:rFonts w:ascii="Aptos" w:hAnsi="Aptos"/>
                <w:sz w:val="18"/>
              </w:rPr>
              <w:t>All labels/help/errors/options referenced by translation keys; fallback language policy; Unicode-safe.</w:t>
            </w:r>
          </w:p>
        </w:tc>
      </w:tr>
    </w:tbl>
    <w:p>
      <w:pPr>
        <w:pStyle w:val="Heading2"/>
      </w:pPr>
      <w:r>
        <w:t>19.13 Preview, simulation and Test Studio</w:t>
      </w:r>
    </w:p>
    <w:p>
      <w:pPr>
        <w:spacing w:after="120"/>
      </w:pPr>
      <w:r>
        <w:t>Before publishing, authors can preview the service as different personas, devices, languages and data conditions. Test Studio executes branch and configuration tests without creating production applications.</w:t>
      </w:r>
    </w:p>
    <w:tbl>
      <w:tblPr>
        <w:tblW w:type="auto" w:w="0"/>
        <w:jc w:val="center"/>
        <w:tblLook w:firstColumn="1" w:firstRow="1" w:lastColumn="0" w:lastRow="0" w:noHBand="0" w:noVBand="1" w:val="04A0"/>
      </w:tblPr>
      <w:tblGrid>
        <w:gridCol w:w="5083"/>
        <w:gridCol w:w="5083"/>
      </w:tblGrid>
      <w:tr>
        <w:trPr>
          <w:tblHeader w:val="true"/>
        </w:trPr>
        <w:tc>
          <w:tcPr>
            <w:tcW w:type="dxa" w:w="2160"/>
            <w:vAlign w:val="center"/>
            <w:tcMar>
              <w:top w:w="90" w:type="dxa"/>
              <w:start w:w="110" w:type="dxa"/>
              <w:bottom w:w="90" w:type="dxa"/>
              <w:end w:w="110" w:type="dxa"/>
            </w:tcMar>
            <w:shd w:fill="17365D"/>
          </w:tcPr>
          <w:p>
            <w:pPr>
              <w:spacing w:after="40" w:before="40"/>
            </w:pPr>
            <w:r>
              <w:rPr>
                <w:rFonts w:ascii="Aptos" w:hAnsi="Aptos"/>
                <w:b/>
                <w:color w:val="FFFFFF"/>
                <w:sz w:val="18"/>
              </w:rPr>
              <w:t>Test mode</w:t>
            </w:r>
          </w:p>
        </w:tc>
        <w:tc>
          <w:tcPr>
            <w:tcW w:type="dxa" w:w="7632"/>
            <w:vAlign w:val="center"/>
            <w:tcMar>
              <w:top w:w="90" w:type="dxa"/>
              <w:start w:w="110" w:type="dxa"/>
              <w:bottom w:w="90" w:type="dxa"/>
              <w:end w:w="110" w:type="dxa"/>
            </w:tcMar>
            <w:shd w:fill="17365D"/>
          </w:tcPr>
          <w:p>
            <w:pPr>
              <w:spacing w:after="40" w:before="40"/>
            </w:pPr>
            <w:r>
              <w:rPr>
                <w:rFonts w:ascii="Aptos" w:hAnsi="Aptos"/>
                <w:b/>
                <w:color w:val="FFFFFF"/>
                <w:sz w:val="18"/>
              </w:rPr>
              <w:t>Examples</w:t>
            </w:r>
          </w:p>
        </w:tc>
      </w:tr>
      <w:tr>
        <w:tc>
          <w:tcPr>
            <w:tcW w:type="dxa" w:w="2160"/>
            <w:vAlign w:val="center"/>
            <w:tcMar>
              <w:top w:w="90" w:type="dxa"/>
              <w:start w:w="110" w:type="dxa"/>
              <w:bottom w:w="90" w:type="dxa"/>
              <w:end w:w="110" w:type="dxa"/>
            </w:tcMar>
          </w:tcPr>
          <w:p>
            <w:pPr>
              <w:spacing w:after="40" w:before="40"/>
            </w:pPr>
            <w:r>
              <w:rPr>
                <w:rFonts w:ascii="Aptos" w:hAnsi="Aptos"/>
                <w:sz w:val="18"/>
              </w:rPr>
              <w:t>Persona</w:t>
            </w:r>
          </w:p>
        </w:tc>
        <w:tc>
          <w:tcPr>
            <w:tcW w:type="dxa" w:w="7632"/>
            <w:vAlign w:val="center"/>
            <w:tcMar>
              <w:top w:w="90" w:type="dxa"/>
              <w:start w:w="110" w:type="dxa"/>
              <w:bottom w:w="90" w:type="dxa"/>
              <w:end w:w="110" w:type="dxa"/>
            </w:tcMar>
          </w:tcPr>
          <w:p>
            <w:pPr>
              <w:spacing w:after="40" w:before="40"/>
            </w:pPr>
            <w:r>
              <w:rPr>
                <w:rFonts w:ascii="Aptos" w:hAnsi="Aptos"/>
                <w:sz w:val="18"/>
              </w:rPr>
              <w:t>Eligible citizen, ineligible citizen, senior citizen, minor/guardian, business applicant, missing evidence.</w:t>
            </w:r>
          </w:p>
        </w:tc>
      </w:tr>
      <w:tr>
        <w:tc>
          <w:tcPr>
            <w:tcW w:type="dxa" w:w="2160"/>
            <w:vAlign w:val="center"/>
            <w:tcMar>
              <w:top w:w="90" w:type="dxa"/>
              <w:start w:w="110" w:type="dxa"/>
              <w:bottom w:w="90" w:type="dxa"/>
              <w:end w:w="110" w:type="dxa"/>
            </w:tcMar>
          </w:tcPr>
          <w:p>
            <w:pPr>
              <w:spacing w:after="40" w:before="40"/>
            </w:pPr>
            <w:r>
              <w:rPr>
                <w:rFonts w:ascii="Aptos" w:hAnsi="Aptos"/>
                <w:sz w:val="18"/>
              </w:rPr>
              <w:t>Device</w:t>
            </w:r>
          </w:p>
        </w:tc>
        <w:tc>
          <w:tcPr>
            <w:tcW w:type="dxa" w:w="7632"/>
            <w:vAlign w:val="center"/>
            <w:tcMar>
              <w:top w:w="90" w:type="dxa"/>
              <w:start w:w="110" w:type="dxa"/>
              <w:bottom w:w="90" w:type="dxa"/>
              <w:end w:w="110" w:type="dxa"/>
            </w:tcMar>
          </w:tcPr>
          <w:p>
            <w:pPr>
              <w:spacing w:after="40" w:before="40"/>
            </w:pPr>
            <w:r>
              <w:rPr>
                <w:rFonts w:ascii="Aptos" w:hAnsi="Aptos"/>
                <w:sz w:val="18"/>
              </w:rPr>
              <w:t>Desktop, tablet, common mobile viewport and Flutter runtime.</w:t>
            </w:r>
          </w:p>
        </w:tc>
      </w:tr>
      <w:tr>
        <w:tc>
          <w:tcPr>
            <w:tcW w:type="dxa" w:w="2160"/>
            <w:vAlign w:val="center"/>
            <w:tcMar>
              <w:top w:w="90" w:type="dxa"/>
              <w:start w:w="110" w:type="dxa"/>
              <w:bottom w:w="90" w:type="dxa"/>
              <w:end w:w="110" w:type="dxa"/>
            </w:tcMar>
          </w:tcPr>
          <w:p>
            <w:pPr>
              <w:spacing w:after="40" w:before="40"/>
            </w:pPr>
            <w:r>
              <w:rPr>
                <w:rFonts w:ascii="Aptos" w:hAnsi="Aptos"/>
                <w:sz w:val="18"/>
              </w:rPr>
              <w:t>Language</w:t>
            </w:r>
          </w:p>
        </w:tc>
        <w:tc>
          <w:tcPr>
            <w:tcW w:type="dxa" w:w="7632"/>
            <w:vAlign w:val="center"/>
            <w:tcMar>
              <w:top w:w="90" w:type="dxa"/>
              <w:start w:w="110" w:type="dxa"/>
              <w:bottom w:w="90" w:type="dxa"/>
              <w:end w:w="110" w:type="dxa"/>
            </w:tcMar>
          </w:tcPr>
          <w:p>
            <w:pPr>
              <w:spacing w:after="40" w:before="40"/>
            </w:pPr>
            <w:r>
              <w:rPr>
                <w:rFonts w:ascii="Aptos" w:hAnsi="Aptos"/>
                <w:sz w:val="18"/>
              </w:rPr>
              <w:t>English plus configured Indian languages; missing-key detection.</w:t>
            </w:r>
          </w:p>
        </w:tc>
      </w:tr>
      <w:tr>
        <w:tc>
          <w:tcPr>
            <w:tcW w:type="dxa" w:w="2160"/>
            <w:vAlign w:val="center"/>
            <w:tcMar>
              <w:top w:w="90" w:type="dxa"/>
              <w:start w:w="110" w:type="dxa"/>
              <w:bottom w:w="90" w:type="dxa"/>
              <w:end w:w="110" w:type="dxa"/>
            </w:tcMar>
          </w:tcPr>
          <w:p>
            <w:pPr>
              <w:spacing w:after="40" w:before="40"/>
            </w:pPr>
            <w:r>
              <w:rPr>
                <w:rFonts w:ascii="Aptos" w:hAnsi="Aptos"/>
                <w:sz w:val="18"/>
              </w:rPr>
              <w:t>Trust state</w:t>
            </w:r>
          </w:p>
        </w:tc>
        <w:tc>
          <w:tcPr>
            <w:tcW w:type="dxa" w:w="7632"/>
            <w:vAlign w:val="center"/>
            <w:tcMar>
              <w:top w:w="90" w:type="dxa"/>
              <w:start w:w="110" w:type="dxa"/>
              <w:bottom w:w="90" w:type="dxa"/>
              <w:end w:w="110" w:type="dxa"/>
            </w:tcMar>
          </w:tcPr>
          <w:p>
            <w:pPr>
              <w:spacing w:after="40" w:before="40"/>
            </w:pPr>
            <w:r>
              <w:rPr>
                <w:rFonts w:ascii="Aptos" w:hAnsi="Aptos"/>
                <w:sz w:val="18"/>
              </w:rPr>
              <w:t>Verified profile present/absent, DigiLocker available/unavailable, assurance level below requirement.</w:t>
            </w:r>
          </w:p>
        </w:tc>
      </w:tr>
      <w:tr>
        <w:tc>
          <w:tcPr>
            <w:tcW w:type="dxa" w:w="2160"/>
            <w:vAlign w:val="center"/>
            <w:tcMar>
              <w:top w:w="90" w:type="dxa"/>
              <w:start w:w="110" w:type="dxa"/>
              <w:bottom w:w="90" w:type="dxa"/>
              <w:end w:w="110" w:type="dxa"/>
            </w:tcMar>
          </w:tcPr>
          <w:p>
            <w:pPr>
              <w:spacing w:after="40" w:before="40"/>
            </w:pPr>
            <w:r>
              <w:rPr>
                <w:rFonts w:ascii="Aptos" w:hAnsi="Aptos"/>
                <w:sz w:val="18"/>
              </w:rPr>
              <w:t>Workflow branch</w:t>
            </w:r>
          </w:p>
        </w:tc>
        <w:tc>
          <w:tcPr>
            <w:tcW w:type="dxa" w:w="7632"/>
            <w:vAlign w:val="center"/>
            <w:tcMar>
              <w:top w:w="90" w:type="dxa"/>
              <w:start w:w="110" w:type="dxa"/>
              <w:bottom w:w="90" w:type="dxa"/>
              <w:end w:w="110" w:type="dxa"/>
            </w:tcMar>
          </w:tcPr>
          <w:p>
            <w:pPr>
              <w:spacing w:after="40" w:before="40"/>
            </w:pPr>
            <w:r>
              <w:rPr>
                <w:rFonts w:ascii="Aptos" w:hAnsi="Aptos"/>
                <w:sz w:val="18"/>
              </w:rPr>
              <w:t>No inspection, inspection required, deficiency, payment failure, rejection, approval, escalation.</w:t>
            </w:r>
          </w:p>
        </w:tc>
      </w:tr>
      <w:tr>
        <w:tc>
          <w:tcPr>
            <w:tcW w:type="dxa" w:w="2160"/>
            <w:vAlign w:val="center"/>
            <w:tcMar>
              <w:top w:w="90" w:type="dxa"/>
              <w:start w:w="110" w:type="dxa"/>
              <w:bottom w:w="90" w:type="dxa"/>
              <w:end w:w="110" w:type="dxa"/>
            </w:tcMar>
          </w:tcPr>
          <w:p>
            <w:pPr>
              <w:spacing w:after="40" w:before="40"/>
            </w:pPr>
            <w:r>
              <w:rPr>
                <w:rFonts w:ascii="Aptos" w:hAnsi="Aptos"/>
                <w:sz w:val="18"/>
              </w:rPr>
              <w:t>Accessibility</w:t>
            </w:r>
          </w:p>
        </w:tc>
        <w:tc>
          <w:tcPr>
            <w:tcW w:type="dxa" w:w="7632"/>
            <w:vAlign w:val="center"/>
            <w:tcMar>
              <w:top w:w="90" w:type="dxa"/>
              <w:start w:w="110" w:type="dxa"/>
              <w:bottom w:w="90" w:type="dxa"/>
              <w:end w:w="110" w:type="dxa"/>
            </w:tcMar>
          </w:tcPr>
          <w:p>
            <w:pPr>
              <w:spacing w:after="40" w:before="40"/>
            </w:pPr>
            <w:r>
              <w:rPr>
                <w:rFonts w:ascii="Aptos" w:hAnsi="Aptos"/>
                <w:sz w:val="18"/>
              </w:rPr>
              <w:t>Keyboard-only traversal, semantic form structure, error announcement, focus behavior.</w:t>
            </w:r>
          </w:p>
        </w:tc>
      </w:tr>
    </w:tbl>
    <w:p>
      <w:pPr>
        <w:pStyle w:val="Heading2"/>
      </w:pPr>
      <w:r>
        <w:t>19.14 Automated publish validation</w:t>
      </w:r>
    </w:p>
    <w:tbl>
      <w:tblPr>
        <w:tblW w:type="auto" w:w="0"/>
        <w:jc w:val="center"/>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Validator</w:t>
            </w:r>
          </w:p>
        </w:tc>
        <w:tc>
          <w:tcPr>
            <w:tcW w:type="dxa" w:w="7560"/>
            <w:vAlign w:val="center"/>
            <w:tcMar>
              <w:top w:w="90" w:type="dxa"/>
              <w:start w:w="110" w:type="dxa"/>
              <w:bottom w:w="90" w:type="dxa"/>
              <w:end w:w="110" w:type="dxa"/>
            </w:tcMar>
            <w:shd w:fill="17365D"/>
          </w:tcPr>
          <w:p>
            <w:pPr>
              <w:spacing w:after="40" w:before="40"/>
            </w:pPr>
            <w:r>
              <w:rPr>
                <w:rFonts w:ascii="Aptos" w:hAnsi="Aptos"/>
                <w:b/>
                <w:color w:val="FFFFFF"/>
                <w:sz w:val="18"/>
              </w:rPr>
              <w:t>Blocking examples</w:t>
            </w:r>
          </w:p>
        </w:tc>
      </w:tr>
      <w:tr>
        <w:tc>
          <w:tcPr>
            <w:tcW w:type="dxa" w:w="2232"/>
            <w:vAlign w:val="center"/>
            <w:tcMar>
              <w:top w:w="90" w:type="dxa"/>
              <w:start w:w="110" w:type="dxa"/>
              <w:bottom w:w="90" w:type="dxa"/>
              <w:end w:w="110" w:type="dxa"/>
            </w:tcMar>
          </w:tcPr>
          <w:p>
            <w:pPr>
              <w:spacing w:after="40" w:before="40"/>
            </w:pPr>
            <w:r>
              <w:rPr>
                <w:rFonts w:ascii="Aptos" w:hAnsi="Aptos"/>
                <w:sz w:val="18"/>
              </w:rPr>
              <w:t>Form/schema</w:t>
            </w:r>
          </w:p>
        </w:tc>
        <w:tc>
          <w:tcPr>
            <w:tcW w:type="dxa" w:w="7560"/>
            <w:vAlign w:val="center"/>
            <w:tcMar>
              <w:top w:w="90" w:type="dxa"/>
              <w:start w:w="110" w:type="dxa"/>
              <w:bottom w:w="90" w:type="dxa"/>
              <w:end w:w="110" w:type="dxa"/>
            </w:tcMar>
          </w:tcPr>
          <w:p>
            <w:pPr>
              <w:spacing w:after="40" w:before="40"/>
            </w:pPr>
            <w:r>
              <w:rPr>
                <w:rFonts w:ascii="Aptos" w:hAnsi="Aptos"/>
                <w:sz w:val="18"/>
              </w:rPr>
              <w:t>Invalid schema, duplicate field IDs, unreachable required field, invalid enum/data source, unsupported component version.</w:t>
            </w:r>
          </w:p>
        </w:tc>
      </w:tr>
      <w:tr>
        <w:tc>
          <w:tcPr>
            <w:tcW w:type="dxa" w:w="2232"/>
            <w:vAlign w:val="center"/>
            <w:tcMar>
              <w:top w:w="90" w:type="dxa"/>
              <w:start w:w="110" w:type="dxa"/>
              <w:bottom w:w="90" w:type="dxa"/>
              <w:end w:w="110" w:type="dxa"/>
            </w:tcMar>
          </w:tcPr>
          <w:p>
            <w:pPr>
              <w:spacing w:after="40" w:before="40"/>
            </w:pPr>
            <w:r>
              <w:rPr>
                <w:rFonts w:ascii="Aptos" w:hAnsi="Aptos"/>
                <w:sz w:val="18"/>
              </w:rPr>
              <w:t>Rules</w:t>
            </w:r>
          </w:p>
        </w:tc>
        <w:tc>
          <w:tcPr>
            <w:tcW w:type="dxa" w:w="7560"/>
            <w:vAlign w:val="center"/>
            <w:tcMar>
              <w:top w:w="90" w:type="dxa"/>
              <w:start w:w="110" w:type="dxa"/>
              <w:bottom w:w="90" w:type="dxa"/>
              <w:end w:w="110" w:type="dxa"/>
            </w:tcMar>
          </w:tcPr>
          <w:p>
            <w:pPr>
              <w:spacing w:after="40" w:before="40"/>
            </w:pPr>
            <w:r>
              <w:rPr>
                <w:rFonts w:ascii="Aptos" w:hAnsi="Aptos"/>
                <w:sz w:val="18"/>
              </w:rPr>
              <w:t>Circular dependency, invalid field reference, non-deterministic/unsupported expression, contradictory mandatory rules.</w:t>
            </w:r>
          </w:p>
        </w:tc>
      </w:tr>
      <w:tr>
        <w:tc>
          <w:tcPr>
            <w:tcW w:type="dxa" w:w="2232"/>
            <w:vAlign w:val="center"/>
            <w:tcMar>
              <w:top w:w="90" w:type="dxa"/>
              <w:start w:w="110" w:type="dxa"/>
              <w:bottom w:w="90" w:type="dxa"/>
              <w:end w:w="110" w:type="dxa"/>
            </w:tcMar>
          </w:tcPr>
          <w:p>
            <w:pPr>
              <w:spacing w:after="40" w:before="40"/>
            </w:pPr>
            <w:r>
              <w:rPr>
                <w:rFonts w:ascii="Aptos" w:hAnsi="Aptos"/>
                <w:sz w:val="18"/>
              </w:rPr>
              <w:t>Workflow</w:t>
            </w:r>
          </w:p>
        </w:tc>
        <w:tc>
          <w:tcPr>
            <w:tcW w:type="dxa" w:w="7560"/>
            <w:vAlign w:val="center"/>
            <w:tcMar>
              <w:top w:w="90" w:type="dxa"/>
              <w:start w:w="110" w:type="dxa"/>
              <w:bottom w:w="90" w:type="dxa"/>
              <w:end w:w="110" w:type="dxa"/>
            </w:tcMar>
          </w:tcPr>
          <w:p>
            <w:pPr>
              <w:spacing w:after="40" w:before="40"/>
            </w:pPr>
            <w:r>
              <w:rPr>
                <w:rFonts w:ascii="Aptos" w:hAnsi="Aptos"/>
                <w:sz w:val="18"/>
              </w:rPr>
              <w:t>Orphan node, dead end, unreachable decision outcome, missing assignee policy, missing terminal path, invalid join.</w:t>
            </w:r>
          </w:p>
        </w:tc>
      </w:tr>
      <w:tr>
        <w:tc>
          <w:tcPr>
            <w:tcW w:type="dxa" w:w="2232"/>
            <w:vAlign w:val="center"/>
            <w:tcMar>
              <w:top w:w="90" w:type="dxa"/>
              <w:start w:w="110" w:type="dxa"/>
              <w:bottom w:w="90" w:type="dxa"/>
              <w:end w:w="110" w:type="dxa"/>
            </w:tcMar>
          </w:tcPr>
          <w:p>
            <w:pPr>
              <w:spacing w:after="40" w:before="40"/>
            </w:pPr>
            <w:r>
              <w:rPr>
                <w:rFonts w:ascii="Aptos" w:hAnsi="Aptos"/>
                <w:sz w:val="18"/>
              </w:rPr>
              <w:t>Evidence</w:t>
            </w:r>
          </w:p>
        </w:tc>
        <w:tc>
          <w:tcPr>
            <w:tcW w:type="dxa" w:w="7560"/>
            <w:vAlign w:val="center"/>
            <w:tcMar>
              <w:top w:w="90" w:type="dxa"/>
              <w:start w:w="110" w:type="dxa"/>
              <w:bottom w:w="90" w:type="dxa"/>
              <w:end w:w="110" w:type="dxa"/>
            </w:tcMar>
          </w:tcPr>
          <w:p>
            <w:pPr>
              <w:spacing w:after="40" w:before="40"/>
            </w:pPr>
            <w:r>
              <w:rPr>
                <w:rFonts w:ascii="Aptos" w:hAnsi="Aptos"/>
                <w:sz w:val="18"/>
              </w:rPr>
              <w:t>Required evidence not collectable, missing fallback when configured, invalid DigiLocker mapping.</w:t>
            </w:r>
          </w:p>
        </w:tc>
      </w:tr>
      <w:tr>
        <w:tc>
          <w:tcPr>
            <w:tcW w:type="dxa" w:w="2232"/>
            <w:vAlign w:val="center"/>
            <w:tcMar>
              <w:top w:w="90" w:type="dxa"/>
              <w:start w:w="110" w:type="dxa"/>
              <w:bottom w:w="90" w:type="dxa"/>
              <w:end w:w="110" w:type="dxa"/>
            </w:tcMar>
          </w:tcPr>
          <w:p>
            <w:pPr>
              <w:spacing w:after="40" w:before="40"/>
            </w:pPr>
            <w:r>
              <w:rPr>
                <w:rFonts w:ascii="Aptos" w:hAnsi="Aptos"/>
                <w:sz w:val="18"/>
              </w:rPr>
              <w:t>SLA / fee</w:t>
            </w:r>
          </w:p>
        </w:tc>
        <w:tc>
          <w:tcPr>
            <w:tcW w:type="dxa" w:w="7560"/>
            <w:vAlign w:val="center"/>
            <w:tcMar>
              <w:top w:w="90" w:type="dxa"/>
              <w:start w:w="110" w:type="dxa"/>
              <w:bottom w:w="90" w:type="dxa"/>
              <w:end w:w="110" w:type="dxa"/>
            </w:tcMar>
          </w:tcPr>
          <w:p>
            <w:pPr>
              <w:spacing w:after="40" w:before="40"/>
            </w:pPr>
            <w:r>
              <w:rPr>
                <w:rFonts w:ascii="Aptos" w:hAnsi="Aptos"/>
                <w:sz w:val="18"/>
              </w:rPr>
              <w:t>Missing calendar/pause rule, negative/ambiguous fee, payment node inconsistent with fee policy.</w:t>
            </w:r>
          </w:p>
        </w:tc>
      </w:tr>
      <w:tr>
        <w:tc>
          <w:tcPr>
            <w:tcW w:type="dxa" w:w="2232"/>
            <w:vAlign w:val="center"/>
            <w:tcMar>
              <w:top w:w="90" w:type="dxa"/>
              <w:start w:w="110" w:type="dxa"/>
              <w:bottom w:w="90" w:type="dxa"/>
              <w:end w:w="110" w:type="dxa"/>
            </w:tcMar>
          </w:tcPr>
          <w:p>
            <w:pPr>
              <w:spacing w:after="40" w:before="40"/>
            </w:pPr>
            <w:r>
              <w:rPr>
                <w:rFonts w:ascii="Aptos" w:hAnsi="Aptos"/>
                <w:sz w:val="18"/>
              </w:rPr>
              <w:t>Credential</w:t>
            </w:r>
          </w:p>
        </w:tc>
        <w:tc>
          <w:tcPr>
            <w:tcW w:type="dxa" w:w="7560"/>
            <w:vAlign w:val="center"/>
            <w:tcMar>
              <w:top w:w="90" w:type="dxa"/>
              <w:start w:w="110" w:type="dxa"/>
              <w:bottom w:w="90" w:type="dxa"/>
              <w:end w:w="110" w:type="dxa"/>
            </w:tcMar>
          </w:tcPr>
          <w:p>
            <w:pPr>
              <w:spacing w:after="40" w:before="40"/>
            </w:pPr>
            <w:r>
              <w:rPr>
                <w:rFonts w:ascii="Aptos" w:hAnsi="Aptos"/>
                <w:sz w:val="18"/>
              </w:rPr>
              <w:t>Missing mandatory output mapping/signatory/verification status path.</w:t>
            </w:r>
          </w:p>
        </w:tc>
      </w:tr>
      <w:tr>
        <w:tc>
          <w:tcPr>
            <w:tcW w:type="dxa" w:w="2232"/>
            <w:vAlign w:val="center"/>
            <w:tcMar>
              <w:top w:w="90" w:type="dxa"/>
              <w:start w:w="110" w:type="dxa"/>
              <w:bottom w:w="90" w:type="dxa"/>
              <w:end w:w="110" w:type="dxa"/>
            </w:tcMar>
          </w:tcPr>
          <w:p>
            <w:pPr>
              <w:spacing w:after="40" w:before="40"/>
            </w:pPr>
            <w:r>
              <w:rPr>
                <w:rFonts w:ascii="Aptos" w:hAnsi="Aptos"/>
                <w:sz w:val="18"/>
              </w:rPr>
              <w:t>Localization/accessibility</w:t>
            </w:r>
          </w:p>
        </w:tc>
        <w:tc>
          <w:tcPr>
            <w:tcW w:type="dxa" w:w="7560"/>
            <w:vAlign w:val="center"/>
            <w:tcMar>
              <w:top w:w="90" w:type="dxa"/>
              <w:start w:w="110" w:type="dxa"/>
              <w:bottom w:w="90" w:type="dxa"/>
              <w:end w:w="110" w:type="dxa"/>
            </w:tcMar>
          </w:tcPr>
          <w:p>
            <w:pPr>
              <w:spacing w:after="40" w:before="40"/>
            </w:pPr>
            <w:r>
              <w:rPr>
                <w:rFonts w:ascii="Aptos" w:hAnsi="Aptos"/>
                <w:sz w:val="18"/>
              </w:rPr>
              <w:t>Missing critical translation, unlabeled field, inaccessible custom component.</w:t>
            </w:r>
          </w:p>
        </w:tc>
      </w:tr>
      <w:tr>
        <w:tc>
          <w:tcPr>
            <w:tcW w:type="dxa" w:w="2232"/>
            <w:vAlign w:val="center"/>
            <w:tcMar>
              <w:top w:w="90" w:type="dxa"/>
              <w:start w:w="110" w:type="dxa"/>
              <w:bottom w:w="90" w:type="dxa"/>
              <w:end w:w="110" w:type="dxa"/>
            </w:tcMar>
          </w:tcPr>
          <w:p>
            <w:pPr>
              <w:spacing w:after="40" w:before="40"/>
            </w:pPr>
            <w:r>
              <w:rPr>
                <w:rFonts w:ascii="Aptos" w:hAnsi="Aptos"/>
                <w:sz w:val="18"/>
              </w:rPr>
              <w:t>Tenancy/security</w:t>
            </w:r>
          </w:p>
        </w:tc>
        <w:tc>
          <w:tcPr>
            <w:tcW w:type="dxa" w:w="7560"/>
            <w:vAlign w:val="center"/>
            <w:tcMar>
              <w:top w:w="90" w:type="dxa"/>
              <w:start w:w="110" w:type="dxa"/>
              <w:bottom w:w="90" w:type="dxa"/>
              <w:end w:w="110" w:type="dxa"/>
            </w:tcMar>
          </w:tcPr>
          <w:p>
            <w:pPr>
              <w:spacing w:after="40" w:before="40"/>
            </w:pPr>
            <w:r>
              <w:rPr>
                <w:rFonts w:ascii="Aptos" w:hAnsi="Aptos"/>
                <w:sz w:val="18"/>
              </w:rPr>
              <w:t>Unscoped integration, cross-tenant reference, unsupported role/jurisdiction mapping.</w:t>
            </w:r>
          </w:p>
        </w:tc>
      </w:tr>
      <w:tr>
        <w:tc>
          <w:tcPr>
            <w:tcW w:type="dxa" w:w="2232"/>
            <w:vAlign w:val="center"/>
            <w:tcMar>
              <w:top w:w="90" w:type="dxa"/>
              <w:start w:w="110" w:type="dxa"/>
              <w:bottom w:w="90" w:type="dxa"/>
              <w:end w:w="110" w:type="dxa"/>
            </w:tcMar>
          </w:tcPr>
          <w:p>
            <w:pPr>
              <w:spacing w:after="40" w:before="40"/>
            </w:pPr>
            <w:r>
              <w:rPr>
                <w:rFonts w:ascii="Aptos" w:hAnsi="Aptos"/>
                <w:sz w:val="18"/>
              </w:rPr>
              <w:t>Tests</w:t>
            </w:r>
          </w:p>
        </w:tc>
        <w:tc>
          <w:tcPr>
            <w:tcW w:type="dxa" w:w="7560"/>
            <w:vAlign w:val="center"/>
            <w:tcMar>
              <w:top w:w="90" w:type="dxa"/>
              <w:start w:w="110" w:type="dxa"/>
              <w:bottom w:w="90" w:type="dxa"/>
              <w:end w:w="110" w:type="dxa"/>
            </w:tcMar>
          </w:tcPr>
          <w:p>
            <w:pPr>
              <w:spacing w:after="40" w:before="40"/>
            </w:pPr>
            <w:r>
              <w:rPr>
                <w:rFonts w:ascii="Aptos" w:hAnsi="Aptos"/>
                <w:sz w:val="18"/>
              </w:rPr>
              <w:t>Required golden and negative scenarios absent or failing.</w:t>
            </w:r>
          </w:p>
        </w:tc>
      </w:tr>
    </w:tbl>
    <w:p>
      <w:pPr>
        <w:pStyle w:val="Heading2"/>
      </w:pPr>
      <w:r>
        <w:t>19.15 Maker-checker publishing and immutable versions</w:t>
      </w:r>
    </w:p>
    <w:p>
      <w:pPr>
        <w:spacing w:after="120"/>
      </w:pPr>
      <w:r>
        <w:t>The authoring lifecycle is DRAFT -&gt; VALIDATE -&gt; SIMULATE/TEST -&gt; MAKER SUBMITS -&gt; CHECKER REVIEWS -&gt; APPROVED -&gt; PUBLISHED -&gt; SUPERSEDED. AI can assist each step but cannot cross the approval boundary.</w:t>
      </w:r>
    </w:p>
    <w:p>
      <w:pPr>
        <w:pStyle w:val="ListBullet"/>
        <w:spacing w:after="40"/>
      </w:pPr>
      <w:r>
        <w:t>Publishing creates immutable service/form/rule/evidence/workflow/fee/SLA/credential/notification versions and a single published package manifest that pins them together.</w:t>
      </w:r>
    </w:p>
    <w:p>
      <w:pPr>
        <w:pStyle w:val="ListBullet"/>
        <w:spacing w:after="40"/>
      </w:pPr>
      <w:r>
        <w:t>The checker receives a semantic diff: base template changes, tenant overlay changes, generated schema/rule/workflow changes, test results and unresolved warnings.</w:t>
      </w:r>
    </w:p>
    <w:p>
      <w:pPr>
        <w:pStyle w:val="ListBullet"/>
        <w:spacing w:after="40"/>
      </w:pPr>
      <w:r>
        <w:t>Rollback means publishing a new version or reactivating an approved compatible version according to governance; historical application pins are never rewritten.</w:t>
      </w:r>
    </w:p>
    <w:p>
      <w:pPr>
        <w:pStyle w:val="Heading2"/>
      </w:pPr>
      <w:r>
        <w:t>19.16 Template upgrades, overlay rebase and controlled fork</w:t>
      </w:r>
    </w:p>
    <w:tbl>
      <w:tblPr>
        <w:tblW w:type="auto" w:w="0"/>
        <w:jc w:val="center"/>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7365D"/>
          </w:tcPr>
          <w:p>
            <w:pPr>
              <w:spacing w:after="40" w:before="40"/>
            </w:pPr>
            <w:r>
              <w:rPr>
                <w:rFonts w:ascii="Aptos" w:hAnsi="Aptos"/>
                <w:b/>
                <w:color w:val="FFFFFF"/>
                <w:sz w:val="18"/>
              </w:rPr>
              <w:t>Situation</w:t>
            </w:r>
          </w:p>
        </w:tc>
        <w:tc>
          <w:tcPr>
            <w:tcW w:type="dxa" w:w="7200"/>
            <w:vAlign w:val="center"/>
            <w:tcMar>
              <w:top w:w="90" w:type="dxa"/>
              <w:start w:w="110" w:type="dxa"/>
              <w:bottom w:w="90" w:type="dxa"/>
              <w:end w:w="110" w:type="dxa"/>
            </w:tcMar>
            <w:shd w:fill="17365D"/>
          </w:tcPr>
          <w:p>
            <w:pPr>
              <w:spacing w:after="40" w:before="40"/>
            </w:pPr>
            <w:r>
              <w:rPr>
                <w:rFonts w:ascii="Aptos" w:hAnsi="Aptos"/>
                <w:b/>
                <w:color w:val="FFFFFF"/>
                <w:sz w:val="18"/>
              </w:rPr>
              <w:t>Required platform behavior</w:t>
            </w:r>
          </w:p>
        </w:tc>
      </w:tr>
      <w:tr>
        <w:tc>
          <w:tcPr>
            <w:tcW w:type="dxa" w:w="2592"/>
            <w:vAlign w:val="center"/>
            <w:tcMar>
              <w:top w:w="90" w:type="dxa"/>
              <w:start w:w="110" w:type="dxa"/>
              <w:bottom w:w="90" w:type="dxa"/>
              <w:end w:w="110" w:type="dxa"/>
            </w:tcMar>
          </w:tcPr>
          <w:p>
            <w:pPr>
              <w:spacing w:after="40" w:before="40"/>
            </w:pPr>
            <w:r>
              <w:rPr>
                <w:rFonts w:ascii="Aptos" w:hAnsi="Aptos"/>
                <w:sz w:val="18"/>
              </w:rPr>
              <w:t>Canonical template v3 -&gt; v4</w:t>
            </w:r>
          </w:p>
        </w:tc>
        <w:tc>
          <w:tcPr>
            <w:tcW w:type="dxa" w:w="7200"/>
            <w:vAlign w:val="center"/>
            <w:tcMar>
              <w:top w:w="90" w:type="dxa"/>
              <w:start w:w="110" w:type="dxa"/>
              <w:bottom w:w="90" w:type="dxa"/>
              <w:end w:w="110" w:type="dxa"/>
            </w:tcMar>
          </w:tcPr>
          <w:p>
            <w:pPr>
              <w:spacing w:after="40" w:before="40"/>
            </w:pPr>
            <w:r>
              <w:rPr>
                <w:rFonts w:ascii="Aptos" w:hAnsi="Aptos"/>
                <w:sz w:val="18"/>
              </w:rPr>
              <w:t>Show semantic diff and identify which tenant overlays cleanly rebase. No automatic production change.</w:t>
            </w:r>
          </w:p>
        </w:tc>
      </w:tr>
      <w:tr>
        <w:tc>
          <w:tcPr>
            <w:tcW w:type="dxa" w:w="2592"/>
            <w:vAlign w:val="center"/>
            <w:tcMar>
              <w:top w:w="90" w:type="dxa"/>
              <w:start w:w="110" w:type="dxa"/>
              <w:bottom w:w="90" w:type="dxa"/>
              <w:end w:w="110" w:type="dxa"/>
            </w:tcMar>
          </w:tcPr>
          <w:p>
            <w:pPr>
              <w:spacing w:after="40" w:before="40"/>
            </w:pPr>
            <w:r>
              <w:rPr>
                <w:rFonts w:ascii="Aptos" w:hAnsi="Aptos"/>
                <w:sz w:val="18"/>
              </w:rPr>
              <w:t>Non-conflicting tenant overlay</w:t>
            </w:r>
          </w:p>
        </w:tc>
        <w:tc>
          <w:tcPr>
            <w:tcW w:type="dxa" w:w="7200"/>
            <w:vAlign w:val="center"/>
            <w:tcMar>
              <w:top w:w="90" w:type="dxa"/>
              <w:start w:w="110" w:type="dxa"/>
              <w:bottom w:w="90" w:type="dxa"/>
              <w:end w:w="110" w:type="dxa"/>
            </w:tcMar>
          </w:tcPr>
          <w:p>
            <w:pPr>
              <w:spacing w:after="40" w:before="40"/>
            </w:pPr>
            <w:r>
              <w:rPr>
                <w:rFonts w:ascii="Aptos" w:hAnsi="Aptos"/>
                <w:sz w:val="18"/>
              </w:rPr>
              <w:t>Generate proposed rebased draft; rerun validation/tests; maker-checker publish.</w:t>
            </w:r>
          </w:p>
        </w:tc>
      </w:tr>
      <w:tr>
        <w:tc>
          <w:tcPr>
            <w:tcW w:type="dxa" w:w="2592"/>
            <w:vAlign w:val="center"/>
            <w:tcMar>
              <w:top w:w="90" w:type="dxa"/>
              <w:start w:w="110" w:type="dxa"/>
              <w:bottom w:w="90" w:type="dxa"/>
              <w:end w:w="110" w:type="dxa"/>
            </w:tcMar>
          </w:tcPr>
          <w:p>
            <w:pPr>
              <w:spacing w:after="40" w:before="40"/>
            </w:pPr>
            <w:r>
              <w:rPr>
                <w:rFonts w:ascii="Aptos" w:hAnsi="Aptos"/>
                <w:sz w:val="18"/>
              </w:rPr>
              <w:t>Conflict</w:t>
            </w:r>
          </w:p>
        </w:tc>
        <w:tc>
          <w:tcPr>
            <w:tcW w:type="dxa" w:w="7200"/>
            <w:vAlign w:val="center"/>
            <w:tcMar>
              <w:top w:w="90" w:type="dxa"/>
              <w:start w:w="110" w:type="dxa"/>
              <w:bottom w:w="90" w:type="dxa"/>
              <w:end w:w="110" w:type="dxa"/>
            </w:tcMar>
          </w:tcPr>
          <w:p>
            <w:pPr>
              <w:spacing w:after="40" w:before="40"/>
            </w:pPr>
            <w:r>
              <w:rPr>
                <w:rFonts w:ascii="Aptos" w:hAnsi="Aptos"/>
                <w:sz w:val="18"/>
              </w:rPr>
              <w:t>Present field/rule/workflow conflict to author with side-by-side resolution options.</w:t>
            </w:r>
          </w:p>
        </w:tc>
      </w:tr>
      <w:tr>
        <w:tc>
          <w:tcPr>
            <w:tcW w:type="dxa" w:w="2592"/>
            <w:vAlign w:val="center"/>
            <w:tcMar>
              <w:top w:w="90" w:type="dxa"/>
              <w:start w:w="110" w:type="dxa"/>
              <w:bottom w:w="90" w:type="dxa"/>
              <w:end w:w="110" w:type="dxa"/>
            </w:tcMar>
          </w:tcPr>
          <w:p>
            <w:pPr>
              <w:spacing w:after="40" w:before="40"/>
            </w:pPr>
            <w:r>
              <w:rPr>
                <w:rFonts w:ascii="Aptos" w:hAnsi="Aptos"/>
                <w:sz w:val="18"/>
              </w:rPr>
              <w:t>Breaking legal/process divergence</w:t>
            </w:r>
          </w:p>
        </w:tc>
        <w:tc>
          <w:tcPr>
            <w:tcW w:type="dxa" w:w="7200"/>
            <w:vAlign w:val="center"/>
            <w:tcMar>
              <w:top w:w="90" w:type="dxa"/>
              <w:start w:w="110" w:type="dxa"/>
              <w:bottom w:w="90" w:type="dxa"/>
              <w:end w:w="110" w:type="dxa"/>
            </w:tcMar>
          </w:tcPr>
          <w:p>
            <w:pPr>
              <w:spacing w:after="40" w:before="40"/>
            </w:pPr>
            <w:r>
              <w:rPr>
                <w:rFonts w:ascii="Aptos" w:hAnsi="Aptos"/>
                <w:sz w:val="18"/>
              </w:rPr>
              <w:t>Create governed fork with reason, source, owner and independent lineage.</w:t>
            </w:r>
          </w:p>
        </w:tc>
      </w:tr>
      <w:tr>
        <w:tc>
          <w:tcPr>
            <w:tcW w:type="dxa" w:w="2592"/>
            <w:vAlign w:val="center"/>
            <w:tcMar>
              <w:top w:w="90" w:type="dxa"/>
              <w:start w:w="110" w:type="dxa"/>
              <w:bottom w:w="90" w:type="dxa"/>
              <w:end w:w="110" w:type="dxa"/>
            </w:tcMar>
          </w:tcPr>
          <w:p>
            <w:pPr>
              <w:spacing w:after="40" w:before="40"/>
            </w:pPr>
            <w:r>
              <w:rPr>
                <w:rFonts w:ascii="Aptos" w:hAnsi="Aptos"/>
                <w:sz w:val="18"/>
              </w:rPr>
              <w:t>Deprecated component/schema</w:t>
            </w:r>
          </w:p>
        </w:tc>
        <w:tc>
          <w:tcPr>
            <w:tcW w:type="dxa" w:w="7200"/>
            <w:vAlign w:val="center"/>
            <w:tcMar>
              <w:top w:w="90" w:type="dxa"/>
              <w:start w:w="110" w:type="dxa"/>
              <w:bottom w:w="90" w:type="dxa"/>
              <w:end w:w="110" w:type="dxa"/>
            </w:tcMar>
          </w:tcPr>
          <w:p>
            <w:pPr>
              <w:spacing w:after="40" w:before="40"/>
            </w:pPr>
            <w:r>
              <w:rPr>
                <w:rFonts w:ascii="Aptos" w:hAnsi="Aptos"/>
                <w:sz w:val="18"/>
              </w:rPr>
              <w:t>Migration assistant proposes replacement and identifies affected published/draft templates.</w:t>
            </w:r>
          </w:p>
        </w:tc>
      </w:tr>
    </w:tbl>
    <w:p>
      <w:pPr>
        <w:pStyle w:val="Heading2"/>
      </w:pPr>
      <w:r>
        <w:t>19.17 Roles and separation of duties</w:t>
      </w:r>
    </w:p>
    <w:tbl>
      <w:tblPr>
        <w:tblW w:type="auto" w:w="0"/>
        <w:jc w:val="center"/>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7365D"/>
          </w:tcPr>
          <w:p>
            <w:pPr>
              <w:spacing w:after="40" w:before="40"/>
            </w:pPr>
            <w:r>
              <w:rPr>
                <w:rFonts w:ascii="Aptos" w:hAnsi="Aptos"/>
                <w:b/>
                <w:color w:val="FFFFFF"/>
                <w:sz w:val="18"/>
              </w:rPr>
              <w:t>Role</w:t>
            </w:r>
          </w:p>
        </w:tc>
        <w:tc>
          <w:tcPr>
            <w:tcW w:type="dxa" w:w="7200"/>
            <w:vAlign w:val="center"/>
            <w:tcMar>
              <w:top w:w="90" w:type="dxa"/>
              <w:start w:w="110" w:type="dxa"/>
              <w:bottom w:w="90" w:type="dxa"/>
              <w:end w:w="110" w:type="dxa"/>
            </w:tcMar>
            <w:shd w:fill="17365D"/>
          </w:tcPr>
          <w:p>
            <w:pPr>
              <w:spacing w:after="40" w:before="40"/>
            </w:pPr>
            <w:r>
              <w:rPr>
                <w:rFonts w:ascii="Aptos" w:hAnsi="Aptos"/>
                <w:b/>
                <w:color w:val="FFFFFF"/>
                <w:sz w:val="18"/>
              </w:rPr>
              <w:t>Core permissions</w:t>
            </w:r>
          </w:p>
        </w:tc>
      </w:tr>
      <w:tr>
        <w:tc>
          <w:tcPr>
            <w:tcW w:type="dxa" w:w="2592"/>
            <w:vAlign w:val="center"/>
            <w:tcMar>
              <w:top w:w="90" w:type="dxa"/>
              <w:start w:w="110" w:type="dxa"/>
              <w:bottom w:w="90" w:type="dxa"/>
              <w:end w:w="110" w:type="dxa"/>
            </w:tcMar>
          </w:tcPr>
          <w:p>
            <w:pPr>
              <w:spacing w:after="40" w:before="40"/>
            </w:pPr>
            <w:r>
              <w:rPr>
                <w:rFonts w:ascii="Aptos" w:hAnsi="Aptos"/>
                <w:sz w:val="18"/>
              </w:rPr>
              <w:t>Platform Template Author</w:t>
            </w:r>
          </w:p>
        </w:tc>
        <w:tc>
          <w:tcPr>
            <w:tcW w:type="dxa" w:w="7200"/>
            <w:vAlign w:val="center"/>
            <w:tcMar>
              <w:top w:w="90" w:type="dxa"/>
              <w:start w:w="110" w:type="dxa"/>
              <w:bottom w:w="90" w:type="dxa"/>
              <w:end w:w="110" w:type="dxa"/>
            </w:tcMar>
          </w:tcPr>
          <w:p>
            <w:pPr>
              <w:spacing w:after="40" w:before="40"/>
            </w:pPr>
            <w:r>
              <w:rPr>
                <w:rFonts w:ascii="Aptos" w:hAnsi="Aptos"/>
                <w:sz w:val="18"/>
              </w:rPr>
              <w:t>Create/maintain canonical templates and reusable government components.</w:t>
            </w:r>
          </w:p>
        </w:tc>
      </w:tr>
      <w:tr>
        <w:tc>
          <w:tcPr>
            <w:tcW w:type="dxa" w:w="2592"/>
            <w:vAlign w:val="center"/>
            <w:tcMar>
              <w:top w:w="90" w:type="dxa"/>
              <w:start w:w="110" w:type="dxa"/>
              <w:bottom w:w="90" w:type="dxa"/>
              <w:end w:w="110" w:type="dxa"/>
            </w:tcMar>
          </w:tcPr>
          <w:p>
            <w:pPr>
              <w:spacing w:after="40" w:before="40"/>
            </w:pPr>
            <w:r>
              <w:rPr>
                <w:rFonts w:ascii="Aptos" w:hAnsi="Aptos"/>
                <w:sz w:val="18"/>
              </w:rPr>
              <w:t>Platform Template Approver</w:t>
            </w:r>
          </w:p>
        </w:tc>
        <w:tc>
          <w:tcPr>
            <w:tcW w:type="dxa" w:w="7200"/>
            <w:vAlign w:val="center"/>
            <w:tcMar>
              <w:top w:w="90" w:type="dxa"/>
              <w:start w:w="110" w:type="dxa"/>
              <w:bottom w:w="90" w:type="dxa"/>
              <w:end w:w="110" w:type="dxa"/>
            </w:tcMar>
          </w:tcPr>
          <w:p>
            <w:pPr>
              <w:spacing w:after="40" w:before="40"/>
            </w:pPr>
            <w:r>
              <w:rPr>
                <w:rFonts w:ascii="Aptos" w:hAnsi="Aptos"/>
                <w:sz w:val="18"/>
              </w:rPr>
              <w:t>Approve canonical published template versions.</w:t>
            </w:r>
          </w:p>
        </w:tc>
      </w:tr>
      <w:tr>
        <w:tc>
          <w:tcPr>
            <w:tcW w:type="dxa" w:w="2592"/>
            <w:vAlign w:val="center"/>
            <w:tcMar>
              <w:top w:w="90" w:type="dxa"/>
              <w:start w:w="110" w:type="dxa"/>
              <w:bottom w:w="90" w:type="dxa"/>
              <w:end w:w="110" w:type="dxa"/>
            </w:tcMar>
          </w:tcPr>
          <w:p>
            <w:pPr>
              <w:spacing w:after="40" w:before="40"/>
            </w:pPr>
            <w:r>
              <w:rPr>
                <w:rFonts w:ascii="Aptos" w:hAnsi="Aptos"/>
                <w:sz w:val="18"/>
              </w:rPr>
              <w:t>Tenant Maker</w:t>
            </w:r>
          </w:p>
        </w:tc>
        <w:tc>
          <w:tcPr>
            <w:tcW w:type="dxa" w:w="7200"/>
            <w:vAlign w:val="center"/>
            <w:tcMar>
              <w:top w:w="90" w:type="dxa"/>
              <w:start w:w="110" w:type="dxa"/>
              <w:bottom w:w="90" w:type="dxa"/>
              <w:end w:w="110" w:type="dxa"/>
            </w:tcMar>
          </w:tcPr>
          <w:p>
            <w:pPr>
              <w:spacing w:after="40" w:before="40"/>
            </w:pPr>
            <w:r>
              <w:rPr>
                <w:rFonts w:ascii="Aptos" w:hAnsi="Aptos"/>
                <w:sz w:val="18"/>
              </w:rPr>
              <w:t>Create/adapt tenant service draft, run simulation/tests and submit.</w:t>
            </w:r>
          </w:p>
        </w:tc>
      </w:tr>
      <w:tr>
        <w:tc>
          <w:tcPr>
            <w:tcW w:type="dxa" w:w="2592"/>
            <w:vAlign w:val="center"/>
            <w:tcMar>
              <w:top w:w="90" w:type="dxa"/>
              <w:start w:w="110" w:type="dxa"/>
              <w:bottom w:w="90" w:type="dxa"/>
              <w:end w:w="110" w:type="dxa"/>
            </w:tcMar>
          </w:tcPr>
          <w:p>
            <w:pPr>
              <w:spacing w:after="40" w:before="40"/>
            </w:pPr>
            <w:r>
              <w:rPr>
                <w:rFonts w:ascii="Aptos" w:hAnsi="Aptos"/>
                <w:sz w:val="18"/>
              </w:rPr>
              <w:t>Tenant Checker</w:t>
            </w:r>
          </w:p>
        </w:tc>
        <w:tc>
          <w:tcPr>
            <w:tcW w:type="dxa" w:w="7200"/>
            <w:vAlign w:val="center"/>
            <w:tcMar>
              <w:top w:w="90" w:type="dxa"/>
              <w:start w:w="110" w:type="dxa"/>
              <w:bottom w:w="90" w:type="dxa"/>
              <w:end w:w="110" w:type="dxa"/>
            </w:tcMar>
          </w:tcPr>
          <w:p>
            <w:pPr>
              <w:spacing w:after="40" w:before="40"/>
            </w:pPr>
            <w:r>
              <w:rPr>
                <w:rFonts w:ascii="Aptos" w:hAnsi="Aptos"/>
                <w:sz w:val="18"/>
              </w:rPr>
              <w:t>Review semantic diff, provenance, tests and approve/reject publication.</w:t>
            </w:r>
          </w:p>
        </w:tc>
      </w:tr>
      <w:tr>
        <w:tc>
          <w:tcPr>
            <w:tcW w:type="dxa" w:w="2592"/>
            <w:vAlign w:val="center"/>
            <w:tcMar>
              <w:top w:w="90" w:type="dxa"/>
              <w:start w:w="110" w:type="dxa"/>
              <w:bottom w:w="90" w:type="dxa"/>
              <w:end w:w="110" w:type="dxa"/>
            </w:tcMar>
          </w:tcPr>
          <w:p>
            <w:pPr>
              <w:spacing w:after="40" w:before="40"/>
            </w:pPr>
            <w:r>
              <w:rPr>
                <w:rFonts w:ascii="Aptos" w:hAnsi="Aptos"/>
                <w:sz w:val="18"/>
              </w:rPr>
              <w:t>Translator / Content Editor</w:t>
            </w:r>
          </w:p>
        </w:tc>
        <w:tc>
          <w:tcPr>
            <w:tcW w:type="dxa" w:w="7200"/>
            <w:vAlign w:val="center"/>
            <w:tcMar>
              <w:top w:w="90" w:type="dxa"/>
              <w:start w:w="110" w:type="dxa"/>
              <w:bottom w:w="90" w:type="dxa"/>
              <w:end w:w="110" w:type="dxa"/>
            </w:tcMar>
          </w:tcPr>
          <w:p>
            <w:pPr>
              <w:spacing w:after="40" w:before="40"/>
            </w:pPr>
            <w:r>
              <w:rPr>
                <w:rFonts w:ascii="Aptos" w:hAnsi="Aptos"/>
                <w:sz w:val="18"/>
              </w:rPr>
              <w:t>Edit approved localization/content scope without expanding functional authority.</w:t>
            </w:r>
          </w:p>
        </w:tc>
      </w:tr>
      <w:tr>
        <w:tc>
          <w:tcPr>
            <w:tcW w:type="dxa" w:w="2592"/>
            <w:vAlign w:val="center"/>
            <w:tcMar>
              <w:top w:w="90" w:type="dxa"/>
              <w:start w:w="110" w:type="dxa"/>
              <w:bottom w:w="90" w:type="dxa"/>
              <w:end w:w="110" w:type="dxa"/>
            </w:tcMar>
          </w:tcPr>
          <w:p>
            <w:pPr>
              <w:spacing w:after="40" w:before="40"/>
            </w:pPr>
            <w:r>
              <w:rPr>
                <w:rFonts w:ascii="Aptos" w:hAnsi="Aptos"/>
                <w:sz w:val="18"/>
              </w:rPr>
              <w:t>Integration Administrator</w:t>
            </w:r>
          </w:p>
        </w:tc>
        <w:tc>
          <w:tcPr>
            <w:tcW w:type="dxa" w:w="7200"/>
            <w:vAlign w:val="center"/>
            <w:tcMar>
              <w:top w:w="90" w:type="dxa"/>
              <w:start w:w="110" w:type="dxa"/>
              <w:bottom w:w="90" w:type="dxa"/>
              <w:end w:w="110" w:type="dxa"/>
            </w:tcMar>
          </w:tcPr>
          <w:p>
            <w:pPr>
              <w:spacing w:after="40" w:before="40"/>
            </w:pPr>
            <w:r>
              <w:rPr>
                <w:rFonts w:ascii="Aptos" w:hAnsi="Aptos"/>
                <w:sz w:val="18"/>
              </w:rPr>
              <w:t>Bind approved connectors/secrets/endpoints; cannot alter statutory rules unless separately authorized.</w:t>
            </w:r>
          </w:p>
        </w:tc>
      </w:tr>
      <w:tr>
        <w:tc>
          <w:tcPr>
            <w:tcW w:type="dxa" w:w="2592"/>
            <w:vAlign w:val="center"/>
            <w:tcMar>
              <w:top w:w="90" w:type="dxa"/>
              <w:start w:w="110" w:type="dxa"/>
              <w:bottom w:w="90" w:type="dxa"/>
              <w:end w:w="110" w:type="dxa"/>
            </w:tcMar>
          </w:tcPr>
          <w:p>
            <w:pPr>
              <w:spacing w:after="40" w:before="40"/>
            </w:pPr>
            <w:r>
              <w:rPr>
                <w:rFonts w:ascii="Aptos" w:hAnsi="Aptos"/>
                <w:sz w:val="18"/>
              </w:rPr>
              <w:t>Auditor</w:t>
            </w:r>
          </w:p>
        </w:tc>
        <w:tc>
          <w:tcPr>
            <w:tcW w:type="dxa" w:w="7200"/>
            <w:vAlign w:val="center"/>
            <w:tcMar>
              <w:top w:w="90" w:type="dxa"/>
              <w:start w:w="110" w:type="dxa"/>
              <w:bottom w:w="90" w:type="dxa"/>
              <w:end w:w="110" w:type="dxa"/>
            </w:tcMar>
          </w:tcPr>
          <w:p>
            <w:pPr>
              <w:spacing w:after="40" w:before="40"/>
            </w:pPr>
            <w:r>
              <w:rPr>
                <w:rFonts w:ascii="Aptos" w:hAnsi="Aptos"/>
                <w:sz w:val="18"/>
              </w:rPr>
              <w:t>Read design history, diffs, approvals and test evidence without edit rights.</w:t>
            </w:r>
          </w:p>
        </w:tc>
      </w:tr>
    </w:tbl>
    <w:p>
      <w:pPr>
        <w:pStyle w:val="Heading2"/>
      </w:pPr>
      <w:r>
        <w:t>19.18 PostgreSQL metadata model</w:t>
      </w:r>
    </w:p>
    <w:p>
      <w:pPr>
        <w:spacing w:after="120"/>
      </w:pPr>
      <w:r>
        <w:t>Aurora PostgreSQL remains the authoritative v1 store for all authoring metadata. Large imported documents and generated previews/artifacts reside in S3 with PostgreSQL metadata. Every tenant-owned authoring row is tenant scoped and protected by the isolation model defined elsewhere in this specification.</w:t>
      </w:r>
    </w:p>
    <w:tbl>
      <w:tblPr>
        <w:tblW w:type="auto" w:w="0"/>
        <w:jc w:val="center"/>
        <w:tblLook w:firstColumn="1" w:firstRow="1" w:lastColumn="0" w:lastRow="0" w:noHBand="0" w:noVBand="1" w:val="04A0"/>
      </w:tblPr>
      <w:tblGrid>
        <w:gridCol w:w="5083"/>
        <w:gridCol w:w="5083"/>
      </w:tblGrid>
      <w:tr>
        <w:trPr>
          <w:tblHeader w:val="true"/>
        </w:trPr>
        <w:tc>
          <w:tcPr>
            <w:tcW w:type="dxa" w:w="3024"/>
            <w:vAlign w:val="center"/>
            <w:tcMar>
              <w:top w:w="90" w:type="dxa"/>
              <w:start w:w="110" w:type="dxa"/>
              <w:bottom w:w="90" w:type="dxa"/>
              <w:end w:w="110" w:type="dxa"/>
            </w:tcMar>
            <w:shd w:fill="17365D"/>
          </w:tcPr>
          <w:p>
            <w:pPr>
              <w:spacing w:after="40" w:before="40"/>
            </w:pPr>
            <w:r>
              <w:rPr>
                <w:rFonts w:ascii="Aptos" w:hAnsi="Aptos"/>
                <w:b/>
                <w:color w:val="FFFFFF"/>
                <w:sz w:val="18"/>
              </w:rPr>
              <w:t>Entity</w:t>
            </w:r>
          </w:p>
        </w:tc>
        <w:tc>
          <w:tcPr>
            <w:tcW w:type="dxa" w:w="6768"/>
            <w:vAlign w:val="center"/>
            <w:tcMar>
              <w:top w:w="90" w:type="dxa"/>
              <w:start w:w="110" w:type="dxa"/>
              <w:bottom w:w="90" w:type="dxa"/>
              <w:end w:w="110" w:type="dxa"/>
            </w:tcMar>
            <w:shd w:fill="17365D"/>
          </w:tcPr>
          <w:p>
            <w:pPr>
              <w:spacing w:after="40" w:before="40"/>
            </w:pPr>
            <w:r>
              <w:rPr>
                <w:rFonts w:ascii="Aptos" w:hAnsi="Aptos"/>
                <w:b/>
                <w:color w:val="FFFFFF"/>
                <w:sz w:val="18"/>
              </w:rPr>
              <w:t>Key fields / purpose</w:t>
            </w:r>
          </w:p>
        </w:tc>
      </w:tr>
      <w:tr>
        <w:tc>
          <w:tcPr>
            <w:tcW w:type="dxa" w:w="3024"/>
            <w:vAlign w:val="center"/>
            <w:tcMar>
              <w:top w:w="90" w:type="dxa"/>
              <w:start w:w="110" w:type="dxa"/>
              <w:bottom w:w="90" w:type="dxa"/>
              <w:end w:w="110" w:type="dxa"/>
            </w:tcMar>
          </w:tcPr>
          <w:p>
            <w:pPr>
              <w:spacing w:after="40" w:before="40"/>
            </w:pPr>
            <w:r>
              <w:rPr>
                <w:rFonts w:ascii="Aptos" w:hAnsi="Aptos"/>
                <w:sz w:val="18"/>
              </w:rPr>
              <w:t>service_template</w:t>
            </w:r>
          </w:p>
        </w:tc>
        <w:tc>
          <w:tcPr>
            <w:tcW w:type="dxa" w:w="6768"/>
            <w:vAlign w:val="center"/>
            <w:tcMar>
              <w:top w:w="90" w:type="dxa"/>
              <w:start w:w="110" w:type="dxa"/>
              <w:bottom w:w="90" w:type="dxa"/>
              <w:end w:w="110" w:type="dxa"/>
            </w:tcMar>
          </w:tcPr>
          <w:p>
            <w:pPr>
              <w:spacing w:after="40" w:before="40"/>
            </w:pPr>
            <w:r>
              <w:rPr>
                <w:rFonts w:ascii="Aptos" w:hAnsi="Aptos"/>
                <w:sz w:val="18"/>
              </w:rPr>
              <w:t>template_id, canonical_service_id, owner_scope, status, current_version_id.</w:t>
            </w:r>
          </w:p>
        </w:tc>
      </w:tr>
      <w:tr>
        <w:tc>
          <w:tcPr>
            <w:tcW w:type="dxa" w:w="3024"/>
            <w:vAlign w:val="center"/>
            <w:tcMar>
              <w:top w:w="90" w:type="dxa"/>
              <w:start w:w="110" w:type="dxa"/>
              <w:bottom w:w="90" w:type="dxa"/>
              <w:end w:w="110" w:type="dxa"/>
            </w:tcMar>
          </w:tcPr>
          <w:p>
            <w:pPr>
              <w:spacing w:after="40" w:before="40"/>
            </w:pPr>
            <w:r>
              <w:rPr>
                <w:rFonts w:ascii="Aptos" w:hAnsi="Aptos"/>
                <w:sz w:val="18"/>
              </w:rPr>
              <w:t>service_template_version</w:t>
            </w:r>
          </w:p>
        </w:tc>
        <w:tc>
          <w:tcPr>
            <w:tcW w:type="dxa" w:w="6768"/>
            <w:vAlign w:val="center"/>
            <w:tcMar>
              <w:top w:w="90" w:type="dxa"/>
              <w:start w:w="110" w:type="dxa"/>
              <w:bottom w:w="90" w:type="dxa"/>
              <w:end w:w="110" w:type="dxa"/>
            </w:tcMar>
          </w:tcPr>
          <w:p>
            <w:pPr>
              <w:spacing w:after="40" w:before="40"/>
            </w:pPr>
            <w:r>
              <w:rPr>
                <w:rFonts w:ascii="Aptos" w:hAnsi="Aptos"/>
                <w:sz w:val="18"/>
              </w:rPr>
              <w:t>immutable published canonical package manifest + source/provenance.</w:t>
            </w:r>
          </w:p>
        </w:tc>
      </w:tr>
      <w:tr>
        <w:tc>
          <w:tcPr>
            <w:tcW w:type="dxa" w:w="3024"/>
            <w:vAlign w:val="center"/>
            <w:tcMar>
              <w:top w:w="90" w:type="dxa"/>
              <w:start w:w="110" w:type="dxa"/>
              <w:bottom w:w="90" w:type="dxa"/>
              <w:end w:w="110" w:type="dxa"/>
            </w:tcMar>
          </w:tcPr>
          <w:p>
            <w:pPr>
              <w:spacing w:after="40" w:before="40"/>
            </w:pPr>
            <w:r>
              <w:rPr>
                <w:rFonts w:ascii="Aptos" w:hAnsi="Aptos"/>
                <w:sz w:val="18"/>
              </w:rPr>
              <w:t>tenant_service_draft</w:t>
            </w:r>
          </w:p>
        </w:tc>
        <w:tc>
          <w:tcPr>
            <w:tcW w:type="dxa" w:w="6768"/>
            <w:vAlign w:val="center"/>
            <w:tcMar>
              <w:top w:w="90" w:type="dxa"/>
              <w:start w:w="110" w:type="dxa"/>
              <w:bottom w:w="90" w:type="dxa"/>
              <w:end w:w="110" w:type="dxa"/>
            </w:tcMar>
          </w:tcPr>
          <w:p>
            <w:pPr>
              <w:spacing w:after="40" w:before="40"/>
            </w:pPr>
            <w:r>
              <w:rPr>
                <w:rFonts w:ascii="Aptos" w:hAnsi="Aptos"/>
                <w:sz w:val="18"/>
              </w:rPr>
              <w:t>tenant_id, base_template_version_id, maker, working status.</w:t>
            </w:r>
          </w:p>
        </w:tc>
      </w:tr>
      <w:tr>
        <w:tc>
          <w:tcPr>
            <w:tcW w:type="dxa" w:w="3024"/>
            <w:vAlign w:val="center"/>
            <w:tcMar>
              <w:top w:w="90" w:type="dxa"/>
              <w:start w:w="110" w:type="dxa"/>
              <w:bottom w:w="90" w:type="dxa"/>
              <w:end w:w="110" w:type="dxa"/>
            </w:tcMar>
          </w:tcPr>
          <w:p>
            <w:pPr>
              <w:spacing w:after="40" w:before="40"/>
            </w:pPr>
            <w:r>
              <w:rPr>
                <w:rFonts w:ascii="Aptos" w:hAnsi="Aptos"/>
                <w:sz w:val="18"/>
              </w:rPr>
              <w:t>tenant_overlay</w:t>
            </w:r>
          </w:p>
        </w:tc>
        <w:tc>
          <w:tcPr>
            <w:tcW w:type="dxa" w:w="6768"/>
            <w:vAlign w:val="center"/>
            <w:tcMar>
              <w:top w:w="90" w:type="dxa"/>
              <w:start w:w="110" w:type="dxa"/>
              <w:bottom w:w="90" w:type="dxa"/>
              <w:end w:w="110" w:type="dxa"/>
            </w:tcMar>
          </w:tcPr>
          <w:p>
            <w:pPr>
              <w:spacing w:after="40" w:before="40"/>
            </w:pPr>
            <w:r>
              <w:rPr>
                <w:rFonts w:ascii="Aptos" w:hAnsi="Aptos"/>
                <w:sz w:val="18"/>
              </w:rPr>
              <w:t>structured patch/override entries against base artifacts.</w:t>
            </w:r>
          </w:p>
        </w:tc>
      </w:tr>
      <w:tr>
        <w:tc>
          <w:tcPr>
            <w:tcW w:type="dxa" w:w="3024"/>
            <w:vAlign w:val="center"/>
            <w:tcMar>
              <w:top w:w="90" w:type="dxa"/>
              <w:start w:w="110" w:type="dxa"/>
              <w:bottom w:w="90" w:type="dxa"/>
              <w:end w:w="110" w:type="dxa"/>
            </w:tcMar>
          </w:tcPr>
          <w:p>
            <w:pPr>
              <w:spacing w:after="40" w:before="40"/>
            </w:pPr>
            <w:r>
              <w:rPr>
                <w:rFonts w:ascii="Aptos" w:hAnsi="Aptos"/>
                <w:sz w:val="18"/>
              </w:rPr>
              <w:t>form_definition / form_version</w:t>
            </w:r>
          </w:p>
        </w:tc>
        <w:tc>
          <w:tcPr>
            <w:tcW w:type="dxa" w:w="6768"/>
            <w:vAlign w:val="center"/>
            <w:tcMar>
              <w:top w:w="90" w:type="dxa"/>
              <w:start w:w="110" w:type="dxa"/>
              <w:bottom w:w="90" w:type="dxa"/>
              <w:end w:w="110" w:type="dxa"/>
            </w:tcMar>
          </w:tcPr>
          <w:p>
            <w:pPr>
              <w:spacing w:after="40" w:before="40"/>
            </w:pPr>
            <w:r>
              <w:rPr>
                <w:rFonts w:ascii="Aptos" w:hAnsi="Aptos"/>
                <w:sz w:val="18"/>
              </w:rPr>
              <w:t>schema, UI schema, extensions, component versions, localization references.</w:t>
            </w:r>
          </w:p>
        </w:tc>
      </w:tr>
      <w:tr>
        <w:tc>
          <w:tcPr>
            <w:tcW w:type="dxa" w:w="3024"/>
            <w:vAlign w:val="center"/>
            <w:tcMar>
              <w:top w:w="90" w:type="dxa"/>
              <w:start w:w="110" w:type="dxa"/>
              <w:bottom w:w="90" w:type="dxa"/>
              <w:end w:w="110" w:type="dxa"/>
            </w:tcMar>
          </w:tcPr>
          <w:p>
            <w:pPr>
              <w:spacing w:after="40" w:before="40"/>
            </w:pPr>
            <w:r>
              <w:rPr>
                <w:rFonts w:ascii="Aptos" w:hAnsi="Aptos"/>
                <w:sz w:val="18"/>
              </w:rPr>
              <w:t>rule_definition / rule_version</w:t>
            </w:r>
          </w:p>
        </w:tc>
        <w:tc>
          <w:tcPr>
            <w:tcW w:type="dxa" w:w="6768"/>
            <w:vAlign w:val="center"/>
            <w:tcMar>
              <w:top w:w="90" w:type="dxa"/>
              <w:start w:w="110" w:type="dxa"/>
              <w:bottom w:w="90" w:type="dxa"/>
              <w:end w:w="110" w:type="dxa"/>
            </w:tcMar>
          </w:tcPr>
          <w:p>
            <w:pPr>
              <w:spacing w:after="40" w:before="40"/>
            </w:pPr>
            <w:r>
              <w:rPr>
                <w:rFonts w:ascii="Aptos" w:hAnsi="Aptos"/>
                <w:sz w:val="18"/>
              </w:rPr>
              <w:t>portable deterministic rule metadata and provenance.</w:t>
            </w:r>
          </w:p>
        </w:tc>
      </w:tr>
      <w:tr>
        <w:tc>
          <w:tcPr>
            <w:tcW w:type="dxa" w:w="3024"/>
            <w:vAlign w:val="center"/>
            <w:tcMar>
              <w:top w:w="90" w:type="dxa"/>
              <w:start w:w="110" w:type="dxa"/>
              <w:bottom w:w="90" w:type="dxa"/>
              <w:end w:w="110" w:type="dxa"/>
            </w:tcMar>
          </w:tcPr>
          <w:p>
            <w:pPr>
              <w:spacing w:after="40" w:before="40"/>
            </w:pPr>
            <w:r>
              <w:rPr>
                <w:rFonts w:ascii="Aptos" w:hAnsi="Aptos"/>
                <w:sz w:val="18"/>
              </w:rPr>
              <w:t>workflow_definition / workflow_version</w:t>
            </w:r>
          </w:p>
        </w:tc>
        <w:tc>
          <w:tcPr>
            <w:tcW w:type="dxa" w:w="6768"/>
            <w:vAlign w:val="center"/>
            <w:tcMar>
              <w:top w:w="90" w:type="dxa"/>
              <w:start w:w="110" w:type="dxa"/>
              <w:bottom w:w="90" w:type="dxa"/>
              <w:end w:w="110" w:type="dxa"/>
            </w:tcMar>
          </w:tcPr>
          <w:p>
            <w:pPr>
              <w:spacing w:after="40" w:before="40"/>
            </w:pPr>
            <w:r>
              <w:rPr>
                <w:rFonts w:ascii="Aptos" w:hAnsi="Aptos"/>
                <w:sz w:val="18"/>
              </w:rPr>
              <w:t>visual graph/DSL, node configs, role/jurisdiction bindings and compiled version reference.</w:t>
            </w:r>
          </w:p>
        </w:tc>
      </w:tr>
      <w:tr>
        <w:tc>
          <w:tcPr>
            <w:tcW w:type="dxa" w:w="3024"/>
            <w:vAlign w:val="center"/>
            <w:tcMar>
              <w:top w:w="90" w:type="dxa"/>
              <w:start w:w="110" w:type="dxa"/>
              <w:bottom w:w="90" w:type="dxa"/>
              <w:end w:w="110" w:type="dxa"/>
            </w:tcMar>
          </w:tcPr>
          <w:p>
            <w:pPr>
              <w:spacing w:after="40" w:before="40"/>
            </w:pPr>
            <w:r>
              <w:rPr>
                <w:rFonts w:ascii="Aptos" w:hAnsi="Aptos"/>
                <w:sz w:val="18"/>
              </w:rPr>
              <w:t>service_package_version</w:t>
            </w:r>
          </w:p>
        </w:tc>
        <w:tc>
          <w:tcPr>
            <w:tcW w:type="dxa" w:w="6768"/>
            <w:vAlign w:val="center"/>
            <w:tcMar>
              <w:top w:w="90" w:type="dxa"/>
              <w:start w:w="110" w:type="dxa"/>
              <w:bottom w:w="90" w:type="dxa"/>
              <w:end w:w="110" w:type="dxa"/>
            </w:tcMar>
          </w:tcPr>
          <w:p>
            <w:pPr>
              <w:spacing w:after="40" w:before="40"/>
            </w:pPr>
            <w:r>
              <w:rPr>
                <w:rFonts w:ascii="Aptos" w:hAnsi="Aptos"/>
                <w:sz w:val="18"/>
              </w:rPr>
              <w:t>pins service + form + rules + evidence + workflow + fee + SLA + credential + notifications.</w:t>
            </w:r>
          </w:p>
        </w:tc>
      </w:tr>
      <w:tr>
        <w:tc>
          <w:tcPr>
            <w:tcW w:type="dxa" w:w="3024"/>
            <w:vAlign w:val="center"/>
            <w:tcMar>
              <w:top w:w="90" w:type="dxa"/>
              <w:start w:w="110" w:type="dxa"/>
              <w:bottom w:w="90" w:type="dxa"/>
              <w:end w:w="110" w:type="dxa"/>
            </w:tcMar>
          </w:tcPr>
          <w:p>
            <w:pPr>
              <w:spacing w:after="40" w:before="40"/>
            </w:pPr>
            <w:r>
              <w:rPr>
                <w:rFonts w:ascii="Aptos" w:hAnsi="Aptos"/>
                <w:sz w:val="18"/>
              </w:rPr>
              <w:t>test_scenario / test_run</w:t>
            </w:r>
          </w:p>
        </w:tc>
        <w:tc>
          <w:tcPr>
            <w:tcW w:type="dxa" w:w="6768"/>
            <w:vAlign w:val="center"/>
            <w:tcMar>
              <w:top w:w="90" w:type="dxa"/>
              <w:start w:w="110" w:type="dxa"/>
              <w:bottom w:w="90" w:type="dxa"/>
              <w:end w:w="110" w:type="dxa"/>
            </w:tcMar>
          </w:tcPr>
          <w:p>
            <w:pPr>
              <w:spacing w:after="40" w:before="40"/>
            </w:pPr>
            <w:r>
              <w:rPr>
                <w:rFonts w:ascii="Aptos" w:hAnsi="Aptos"/>
                <w:sz w:val="18"/>
              </w:rPr>
              <w:t>versioned scenario input, expected outcome, execution evidence and result.</w:t>
            </w:r>
          </w:p>
        </w:tc>
      </w:tr>
      <w:tr>
        <w:tc>
          <w:tcPr>
            <w:tcW w:type="dxa" w:w="3024"/>
            <w:vAlign w:val="center"/>
            <w:tcMar>
              <w:top w:w="90" w:type="dxa"/>
              <w:start w:w="110" w:type="dxa"/>
              <w:bottom w:w="90" w:type="dxa"/>
              <w:end w:w="110" w:type="dxa"/>
            </w:tcMar>
          </w:tcPr>
          <w:p>
            <w:pPr>
              <w:spacing w:after="40" w:before="40"/>
            </w:pPr>
            <w:r>
              <w:rPr>
                <w:rFonts w:ascii="Aptos" w:hAnsi="Aptos"/>
                <w:sz w:val="18"/>
              </w:rPr>
              <w:t>publish_approval</w:t>
            </w:r>
          </w:p>
        </w:tc>
        <w:tc>
          <w:tcPr>
            <w:tcW w:type="dxa" w:w="6768"/>
            <w:vAlign w:val="center"/>
            <w:tcMar>
              <w:top w:w="90" w:type="dxa"/>
              <w:start w:w="110" w:type="dxa"/>
              <w:bottom w:w="90" w:type="dxa"/>
              <w:end w:w="110" w:type="dxa"/>
            </w:tcMar>
          </w:tcPr>
          <w:p>
            <w:pPr>
              <w:spacing w:after="40" w:before="40"/>
            </w:pPr>
            <w:r>
              <w:rPr>
                <w:rFonts w:ascii="Aptos" w:hAnsi="Aptos"/>
                <w:sz w:val="18"/>
              </w:rPr>
              <w:t>maker/checker, semantic diff hash, decision, reason, timestamp.</w:t>
            </w:r>
          </w:p>
        </w:tc>
      </w:tr>
      <w:tr>
        <w:tc>
          <w:tcPr>
            <w:tcW w:type="dxa" w:w="3024"/>
            <w:vAlign w:val="center"/>
            <w:tcMar>
              <w:top w:w="90" w:type="dxa"/>
              <w:start w:w="110" w:type="dxa"/>
              <w:bottom w:w="90" w:type="dxa"/>
              <w:end w:w="110" w:type="dxa"/>
            </w:tcMar>
          </w:tcPr>
          <w:p>
            <w:pPr>
              <w:spacing w:after="40" w:before="40"/>
            </w:pPr>
            <w:r>
              <w:rPr>
                <w:rFonts w:ascii="Aptos" w:hAnsi="Aptos"/>
                <w:sz w:val="18"/>
              </w:rPr>
              <w:t>template_fork</w:t>
            </w:r>
          </w:p>
        </w:tc>
        <w:tc>
          <w:tcPr>
            <w:tcW w:type="dxa" w:w="6768"/>
            <w:vAlign w:val="center"/>
            <w:tcMar>
              <w:top w:w="90" w:type="dxa"/>
              <w:start w:w="110" w:type="dxa"/>
              <w:bottom w:w="90" w:type="dxa"/>
              <w:end w:w="110" w:type="dxa"/>
            </w:tcMar>
          </w:tcPr>
          <w:p>
            <w:pPr>
              <w:spacing w:after="40" w:before="40"/>
            </w:pPr>
            <w:r>
              <w:rPr>
                <w:rFonts w:ascii="Aptos" w:hAnsi="Aptos"/>
                <w:sz w:val="18"/>
              </w:rPr>
              <w:t>parent version, fork reason, legal/process source, governance owner.</w:t>
            </w:r>
          </w:p>
        </w:tc>
      </w:tr>
    </w:tbl>
    <w:p>
      <w:pPr>
        <w:pStyle w:val="Heading2"/>
      </w:pPr>
      <w:r>
        <w:t>19.19 APIs and domain events</w:t>
      </w:r>
    </w:p>
    <w:tbl>
      <w:tblPr>
        <w:tblW w:type="auto" w:w="0"/>
        <w:jc w:val="center"/>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Contract</w:t>
            </w:r>
          </w:p>
        </w:tc>
        <w:tc>
          <w:tcPr>
            <w:tcW w:type="dxa" w:w="7560"/>
            <w:vAlign w:val="center"/>
            <w:tcMar>
              <w:top w:w="90" w:type="dxa"/>
              <w:start w:w="110" w:type="dxa"/>
              <w:bottom w:w="90" w:type="dxa"/>
              <w:end w:w="110" w:type="dxa"/>
            </w:tcMar>
            <w:shd w:fill="17365D"/>
          </w:tcPr>
          <w:p>
            <w:pPr>
              <w:spacing w:after="40" w:before="40"/>
            </w:pPr>
            <w:r>
              <w:rPr>
                <w:rFonts w:ascii="Aptos" w:hAnsi="Aptos"/>
                <w:b/>
                <w:color w:val="FFFFFF"/>
                <w:sz w:val="18"/>
              </w:rPr>
              <w:t>Examples</w:t>
            </w:r>
          </w:p>
        </w:tc>
      </w:tr>
      <w:tr>
        <w:tc>
          <w:tcPr>
            <w:tcW w:type="dxa" w:w="2232"/>
            <w:vAlign w:val="center"/>
            <w:tcMar>
              <w:top w:w="90" w:type="dxa"/>
              <w:start w:w="110" w:type="dxa"/>
              <w:bottom w:w="90" w:type="dxa"/>
              <w:end w:w="110" w:type="dxa"/>
            </w:tcMar>
          </w:tcPr>
          <w:p>
            <w:pPr>
              <w:spacing w:after="40" w:before="40"/>
            </w:pPr>
            <w:r>
              <w:rPr>
                <w:rFonts w:ascii="Aptos" w:hAnsi="Aptos"/>
                <w:sz w:val="18"/>
              </w:rPr>
              <w:t>Studio APIs</w:t>
            </w:r>
          </w:p>
        </w:tc>
        <w:tc>
          <w:tcPr>
            <w:tcW w:type="dxa" w:w="7560"/>
            <w:vAlign w:val="center"/>
            <w:tcMar>
              <w:top w:w="90" w:type="dxa"/>
              <w:start w:w="110" w:type="dxa"/>
              <w:bottom w:w="90" w:type="dxa"/>
              <w:end w:w="110" w:type="dxa"/>
            </w:tcMar>
          </w:tcPr>
          <w:p>
            <w:pPr>
              <w:spacing w:after="40" w:before="40"/>
            </w:pPr>
            <w:r>
              <w:rPr>
                <w:rFonts w:ascii="Aptos" w:hAnsi="Aptos"/>
                <w:sz w:val="18"/>
              </w:rPr>
              <w:t>Create draft, add/update component, validate, preview, simulate, semantic diff, submit for review, approve/reject, publish, rebase template, fork.</w:t>
            </w:r>
          </w:p>
        </w:tc>
      </w:tr>
      <w:tr>
        <w:tc>
          <w:tcPr>
            <w:tcW w:type="dxa" w:w="2232"/>
            <w:vAlign w:val="center"/>
            <w:tcMar>
              <w:top w:w="90" w:type="dxa"/>
              <w:start w:w="110" w:type="dxa"/>
              <w:bottom w:w="90" w:type="dxa"/>
              <w:end w:w="110" w:type="dxa"/>
            </w:tcMar>
          </w:tcPr>
          <w:p>
            <w:pPr>
              <w:spacing w:after="40" w:before="40"/>
            </w:pPr>
            <w:r>
              <w:rPr>
                <w:rFonts w:ascii="Aptos" w:hAnsi="Aptos"/>
                <w:sz w:val="18"/>
              </w:rPr>
              <w:t>Runtime resolve APIs</w:t>
            </w:r>
          </w:p>
        </w:tc>
        <w:tc>
          <w:tcPr>
            <w:tcW w:type="dxa" w:w="7560"/>
            <w:vAlign w:val="center"/>
            <w:tcMar>
              <w:top w:w="90" w:type="dxa"/>
              <w:start w:w="110" w:type="dxa"/>
              <w:bottom w:w="90" w:type="dxa"/>
              <w:end w:w="110" w:type="dxa"/>
            </w:tcMar>
          </w:tcPr>
          <w:p>
            <w:pPr>
              <w:spacing w:after="40" w:before="40"/>
            </w:pPr>
            <w:r>
              <w:rPr>
                <w:rFonts w:ascii="Aptos" w:hAnsi="Aptos"/>
                <w:sz w:val="18"/>
              </w:rPr>
              <w:t>Resolve published service package by tenant + local offering + effective version; retrieve form/translation/runtime metadata.</w:t>
            </w:r>
          </w:p>
        </w:tc>
      </w:tr>
      <w:tr>
        <w:tc>
          <w:tcPr>
            <w:tcW w:type="dxa" w:w="2232"/>
            <w:vAlign w:val="center"/>
            <w:tcMar>
              <w:top w:w="90" w:type="dxa"/>
              <w:start w:w="110" w:type="dxa"/>
              <w:bottom w:w="90" w:type="dxa"/>
              <w:end w:w="110" w:type="dxa"/>
            </w:tcMar>
          </w:tcPr>
          <w:p>
            <w:pPr>
              <w:spacing w:after="40" w:before="40"/>
            </w:pPr>
            <w:r>
              <w:rPr>
                <w:rFonts w:ascii="Aptos" w:hAnsi="Aptos"/>
                <w:sz w:val="18"/>
              </w:rPr>
              <w:t>Events</w:t>
            </w:r>
          </w:p>
        </w:tc>
        <w:tc>
          <w:tcPr>
            <w:tcW w:type="dxa" w:w="7560"/>
            <w:vAlign w:val="center"/>
            <w:tcMar>
              <w:top w:w="90" w:type="dxa"/>
              <w:start w:w="110" w:type="dxa"/>
              <w:bottom w:w="90" w:type="dxa"/>
              <w:end w:w="110" w:type="dxa"/>
            </w:tcMar>
          </w:tcPr>
          <w:p>
            <w:pPr>
              <w:spacing w:after="40" w:before="40"/>
            </w:pPr>
            <w:r>
              <w:rPr>
                <w:rFonts w:ascii="Aptos" w:hAnsi="Aptos"/>
                <w:sz w:val="18"/>
              </w:rPr>
              <w:t>ServiceDraftCreated, ServiceValidationCompleted, ServiceSubmittedForReview, ServiceApproved, ServicePublished, TemplateVersionPublished, TenantOverlayRebased, TemplateForkCreated.</w:t>
            </w:r>
          </w:p>
        </w:tc>
      </w:tr>
      <w:tr>
        <w:tc>
          <w:tcPr>
            <w:tcW w:type="dxa" w:w="2232"/>
            <w:vAlign w:val="center"/>
            <w:tcMar>
              <w:top w:w="90" w:type="dxa"/>
              <w:start w:w="110" w:type="dxa"/>
              <w:bottom w:w="90" w:type="dxa"/>
              <w:end w:w="110" w:type="dxa"/>
            </w:tcMar>
          </w:tcPr>
          <w:p>
            <w:pPr>
              <w:spacing w:after="40" w:before="40"/>
            </w:pPr>
            <w:r>
              <w:rPr>
                <w:rFonts w:ascii="Aptos" w:hAnsi="Aptos"/>
                <w:sz w:val="18"/>
              </w:rPr>
              <w:t>Audit</w:t>
            </w:r>
          </w:p>
        </w:tc>
        <w:tc>
          <w:tcPr>
            <w:tcW w:type="dxa" w:w="7560"/>
            <w:vAlign w:val="center"/>
            <w:tcMar>
              <w:top w:w="90" w:type="dxa"/>
              <w:start w:w="110" w:type="dxa"/>
              <w:bottom w:w="90" w:type="dxa"/>
              <w:end w:w="110" w:type="dxa"/>
            </w:tcMar>
          </w:tcPr>
          <w:p>
            <w:pPr>
              <w:spacing w:after="40" w:before="40"/>
            </w:pPr>
            <w:r>
              <w:rPr>
                <w:rFonts w:ascii="Aptos" w:hAnsi="Aptos"/>
                <w:sz w:val="18"/>
              </w:rPr>
              <w:t>Every design mutation records actor, tenant, artifact/version, operation, before/after hash, reason/context and correlation ID.</w:t>
            </w:r>
          </w:p>
        </w:tc>
      </w:tr>
    </w:tbl>
    <w:p>
      <w:pPr>
        <w:pStyle w:val="Heading2"/>
      </w:pPr>
      <w:r>
        <w:t>19.20 Authoring non-functional requirements</w:t>
      </w:r>
    </w:p>
    <w:tbl>
      <w:tblPr>
        <w:tblW w:type="auto" w:w="0"/>
        <w:jc w:val="center"/>
        <w:tblLook w:firstColumn="1" w:firstRow="1" w:lastColumn="0" w:lastRow="0" w:noHBand="0" w:noVBand="1" w:val="04A0"/>
      </w:tblPr>
      <w:tblGrid>
        <w:gridCol w:w="5083"/>
        <w:gridCol w:w="5083"/>
      </w:tblGrid>
      <w:tr>
        <w:trPr>
          <w:tblHeader w:val="true"/>
        </w:trPr>
        <w:tc>
          <w:tcPr>
            <w:tcW w:type="dxa" w:w="2088"/>
            <w:vAlign w:val="center"/>
            <w:tcMar>
              <w:top w:w="90" w:type="dxa"/>
              <w:start w:w="110" w:type="dxa"/>
              <w:bottom w:w="90" w:type="dxa"/>
              <w:end w:w="110" w:type="dxa"/>
            </w:tcMar>
            <w:shd w:fill="17365D"/>
          </w:tcPr>
          <w:p>
            <w:pPr>
              <w:spacing w:after="40" w:before="40"/>
            </w:pPr>
            <w:r>
              <w:rPr>
                <w:rFonts w:ascii="Aptos" w:hAnsi="Aptos"/>
                <w:b/>
                <w:color w:val="FFFFFF"/>
                <w:sz w:val="18"/>
              </w:rPr>
              <w:t>NFR</w:t>
            </w:r>
          </w:p>
        </w:tc>
        <w:tc>
          <w:tcPr>
            <w:tcW w:type="dxa" w:w="7704"/>
            <w:vAlign w:val="center"/>
            <w:tcMar>
              <w:top w:w="90" w:type="dxa"/>
              <w:start w:w="110" w:type="dxa"/>
              <w:bottom w:w="90" w:type="dxa"/>
              <w:end w:w="110" w:type="dxa"/>
            </w:tcMar>
            <w:shd w:fill="17365D"/>
          </w:tcPr>
          <w:p>
            <w:pPr>
              <w:spacing w:after="40" w:before="40"/>
            </w:pPr>
            <w:r>
              <w:rPr>
                <w:rFonts w:ascii="Aptos" w:hAnsi="Aptos"/>
                <w:b/>
                <w:color w:val="FFFFFF"/>
                <w:sz w:val="18"/>
              </w:rPr>
              <w:t>Engineering requirement</w:t>
            </w:r>
          </w:p>
        </w:tc>
      </w:tr>
      <w:tr>
        <w:tc>
          <w:tcPr>
            <w:tcW w:type="dxa" w:w="2088"/>
            <w:vAlign w:val="center"/>
            <w:tcMar>
              <w:top w:w="90" w:type="dxa"/>
              <w:start w:w="110" w:type="dxa"/>
              <w:bottom w:w="90" w:type="dxa"/>
              <w:end w:w="110" w:type="dxa"/>
            </w:tcMar>
          </w:tcPr>
          <w:p>
            <w:pPr>
              <w:spacing w:after="40" w:before="40"/>
            </w:pPr>
            <w:r>
              <w:rPr>
                <w:rFonts w:ascii="Aptos" w:hAnsi="Aptos"/>
                <w:sz w:val="18"/>
              </w:rPr>
              <w:t>Responsiveness</w:t>
            </w:r>
          </w:p>
        </w:tc>
        <w:tc>
          <w:tcPr>
            <w:tcW w:type="dxa" w:w="7704"/>
            <w:vAlign w:val="center"/>
            <w:tcMar>
              <w:top w:w="90" w:type="dxa"/>
              <w:start w:w="110" w:type="dxa"/>
              <w:bottom w:w="90" w:type="dxa"/>
              <w:end w:w="110" w:type="dxa"/>
            </w:tcMar>
          </w:tcPr>
          <w:p>
            <w:pPr>
              <w:spacing w:after="40" w:before="40"/>
            </w:pPr>
            <w:r>
              <w:rPr>
                <w:rFonts w:ascii="Aptos" w:hAnsi="Aptos"/>
                <w:sz w:val="18"/>
              </w:rPr>
              <w:t>Common drag/drop/property changes should feel immediate; expensive validation is incremental/background where possible.</w:t>
            </w:r>
          </w:p>
        </w:tc>
      </w:tr>
      <w:tr>
        <w:tc>
          <w:tcPr>
            <w:tcW w:type="dxa" w:w="2088"/>
            <w:vAlign w:val="center"/>
            <w:tcMar>
              <w:top w:w="90" w:type="dxa"/>
              <w:start w:w="110" w:type="dxa"/>
              <w:bottom w:w="90" w:type="dxa"/>
              <w:end w:w="110" w:type="dxa"/>
            </w:tcMar>
          </w:tcPr>
          <w:p>
            <w:pPr>
              <w:spacing w:after="40" w:before="40"/>
            </w:pPr>
            <w:r>
              <w:rPr>
                <w:rFonts w:ascii="Aptos" w:hAnsi="Aptos"/>
                <w:sz w:val="18"/>
              </w:rPr>
              <w:t>Autosave</w:t>
            </w:r>
          </w:p>
        </w:tc>
        <w:tc>
          <w:tcPr>
            <w:tcW w:type="dxa" w:w="7704"/>
            <w:vAlign w:val="center"/>
            <w:tcMar>
              <w:top w:w="90" w:type="dxa"/>
              <w:start w:w="110" w:type="dxa"/>
              <w:bottom w:w="90" w:type="dxa"/>
              <w:end w:w="110" w:type="dxa"/>
            </w:tcMar>
          </w:tcPr>
          <w:p>
            <w:pPr>
              <w:spacing w:after="40" w:before="40"/>
            </w:pPr>
            <w:r>
              <w:rPr>
                <w:rFonts w:ascii="Aptos" w:hAnsi="Aptos"/>
                <w:sz w:val="18"/>
              </w:rPr>
              <w:t>Draft autosave with optimistic concurrency and visible conflict resolution; no silent overwrite of another author.</w:t>
            </w:r>
          </w:p>
        </w:tc>
      </w:tr>
      <w:tr>
        <w:tc>
          <w:tcPr>
            <w:tcW w:type="dxa" w:w="2088"/>
            <w:vAlign w:val="center"/>
            <w:tcMar>
              <w:top w:w="90" w:type="dxa"/>
              <w:start w:w="110" w:type="dxa"/>
              <w:bottom w:w="90" w:type="dxa"/>
              <w:end w:w="110" w:type="dxa"/>
            </w:tcMar>
          </w:tcPr>
          <w:p>
            <w:pPr>
              <w:spacing w:after="40" w:before="40"/>
            </w:pPr>
            <w:r>
              <w:rPr>
                <w:rFonts w:ascii="Aptos" w:hAnsi="Aptos"/>
                <w:sz w:val="18"/>
              </w:rPr>
              <w:t>Undo/redo</w:t>
            </w:r>
          </w:p>
        </w:tc>
        <w:tc>
          <w:tcPr>
            <w:tcW w:type="dxa" w:w="7704"/>
            <w:vAlign w:val="center"/>
            <w:tcMar>
              <w:top w:w="90" w:type="dxa"/>
              <w:start w:w="110" w:type="dxa"/>
              <w:bottom w:w="90" w:type="dxa"/>
              <w:end w:w="110" w:type="dxa"/>
            </w:tcMar>
          </w:tcPr>
          <w:p>
            <w:pPr>
              <w:spacing w:after="40" w:before="40"/>
            </w:pPr>
            <w:r>
              <w:rPr>
                <w:rFonts w:ascii="Aptos" w:hAnsi="Aptos"/>
                <w:sz w:val="18"/>
              </w:rPr>
              <w:t>Local edit history for normal authoring actions; published history remains immutable/audited.</w:t>
            </w:r>
          </w:p>
        </w:tc>
      </w:tr>
      <w:tr>
        <w:tc>
          <w:tcPr>
            <w:tcW w:type="dxa" w:w="2088"/>
            <w:vAlign w:val="center"/>
            <w:tcMar>
              <w:top w:w="90" w:type="dxa"/>
              <w:start w:w="110" w:type="dxa"/>
              <w:bottom w:w="90" w:type="dxa"/>
              <w:end w:w="110" w:type="dxa"/>
            </w:tcMar>
          </w:tcPr>
          <w:p>
            <w:pPr>
              <w:spacing w:after="40" w:before="40"/>
            </w:pPr>
            <w:r>
              <w:rPr>
                <w:rFonts w:ascii="Aptos" w:hAnsi="Aptos"/>
                <w:sz w:val="18"/>
              </w:rPr>
              <w:t>Collaboration</w:t>
            </w:r>
          </w:p>
        </w:tc>
        <w:tc>
          <w:tcPr>
            <w:tcW w:type="dxa" w:w="7704"/>
            <w:vAlign w:val="center"/>
            <w:tcMar>
              <w:top w:w="90" w:type="dxa"/>
              <w:start w:w="110" w:type="dxa"/>
              <w:bottom w:w="90" w:type="dxa"/>
              <w:end w:w="110" w:type="dxa"/>
            </w:tcMar>
          </w:tcPr>
          <w:p>
            <w:pPr>
              <w:spacing w:after="40" w:before="40"/>
            </w:pPr>
            <w:r>
              <w:rPr>
                <w:rFonts w:ascii="Aptos" w:hAnsi="Aptos"/>
                <w:sz w:val="18"/>
              </w:rPr>
              <w:t>At minimum safe concurrent detection/locking; later real-time collaboration may be added without changing metadata contracts.</w:t>
            </w:r>
          </w:p>
        </w:tc>
      </w:tr>
      <w:tr>
        <w:tc>
          <w:tcPr>
            <w:tcW w:type="dxa" w:w="2088"/>
            <w:vAlign w:val="center"/>
            <w:tcMar>
              <w:top w:w="90" w:type="dxa"/>
              <w:start w:w="110" w:type="dxa"/>
              <w:bottom w:w="90" w:type="dxa"/>
              <w:end w:w="110" w:type="dxa"/>
            </w:tcMar>
          </w:tcPr>
          <w:p>
            <w:pPr>
              <w:spacing w:after="40" w:before="40"/>
            </w:pPr>
            <w:r>
              <w:rPr>
                <w:rFonts w:ascii="Aptos" w:hAnsi="Aptos"/>
                <w:sz w:val="18"/>
              </w:rPr>
              <w:t>Scale</w:t>
            </w:r>
          </w:p>
        </w:tc>
        <w:tc>
          <w:tcPr>
            <w:tcW w:type="dxa" w:w="7704"/>
            <w:vAlign w:val="center"/>
            <w:tcMar>
              <w:top w:w="90" w:type="dxa"/>
              <w:start w:w="110" w:type="dxa"/>
              <w:bottom w:w="90" w:type="dxa"/>
              <w:end w:w="110" w:type="dxa"/>
            </w:tcMar>
          </w:tcPr>
          <w:p>
            <w:pPr>
              <w:spacing w:after="40" w:before="40"/>
            </w:pPr>
            <w:r>
              <w:rPr>
                <w:rFonts w:ascii="Aptos" w:hAnsi="Aptos"/>
                <w:sz w:val="18"/>
              </w:rPr>
              <w:t>Large forms (100+ fields, repeated groups and conditional logic) remain usable; runtime and designer performance tested separately.</w:t>
            </w:r>
          </w:p>
        </w:tc>
      </w:tr>
      <w:tr>
        <w:tc>
          <w:tcPr>
            <w:tcW w:type="dxa" w:w="2088"/>
            <w:vAlign w:val="center"/>
            <w:tcMar>
              <w:top w:w="90" w:type="dxa"/>
              <w:start w:w="110" w:type="dxa"/>
              <w:bottom w:w="90" w:type="dxa"/>
              <w:end w:w="110" w:type="dxa"/>
            </w:tcMar>
          </w:tcPr>
          <w:p>
            <w:pPr>
              <w:spacing w:after="40" w:before="40"/>
            </w:pPr>
            <w:r>
              <w:rPr>
                <w:rFonts w:ascii="Aptos" w:hAnsi="Aptos"/>
                <w:sz w:val="18"/>
              </w:rPr>
              <w:t>Portability</w:t>
            </w:r>
          </w:p>
        </w:tc>
        <w:tc>
          <w:tcPr>
            <w:tcW w:type="dxa" w:w="7704"/>
            <w:vAlign w:val="center"/>
            <w:tcMar>
              <w:top w:w="90" w:type="dxa"/>
              <w:start w:w="110" w:type="dxa"/>
              <w:bottom w:w="90" w:type="dxa"/>
              <w:end w:w="110" w:type="dxa"/>
            </w:tcMar>
          </w:tcPr>
          <w:p>
            <w:pPr>
              <w:spacing w:after="40" w:before="40"/>
            </w:pPr>
            <w:r>
              <w:rPr>
                <w:rFonts w:ascii="Aptos" w:hAnsi="Aptos"/>
                <w:sz w:val="18"/>
              </w:rPr>
              <w:t>Canonical definitions are exportable/importable as documented JSON packages; no proprietary binary authoring format.</w:t>
            </w:r>
          </w:p>
        </w:tc>
      </w:tr>
      <w:tr>
        <w:tc>
          <w:tcPr>
            <w:tcW w:type="dxa" w:w="2088"/>
            <w:vAlign w:val="center"/>
            <w:tcMar>
              <w:top w:w="90" w:type="dxa"/>
              <w:start w:w="110" w:type="dxa"/>
              <w:bottom w:w="90" w:type="dxa"/>
              <w:end w:w="110" w:type="dxa"/>
            </w:tcMar>
          </w:tcPr>
          <w:p>
            <w:pPr>
              <w:spacing w:after="40" w:before="40"/>
            </w:pPr>
            <w:r>
              <w:rPr>
                <w:rFonts w:ascii="Aptos" w:hAnsi="Aptos"/>
                <w:sz w:val="18"/>
              </w:rPr>
              <w:t>Security</w:t>
            </w:r>
          </w:p>
        </w:tc>
        <w:tc>
          <w:tcPr>
            <w:tcW w:type="dxa" w:w="7704"/>
            <w:vAlign w:val="center"/>
            <w:tcMar>
              <w:top w:w="90" w:type="dxa"/>
              <w:start w:w="110" w:type="dxa"/>
              <w:bottom w:w="90" w:type="dxa"/>
              <w:end w:w="110" w:type="dxa"/>
            </w:tcMar>
          </w:tcPr>
          <w:p>
            <w:pPr>
              <w:spacing w:after="40" w:before="40"/>
            </w:pPr>
            <w:r>
              <w:rPr>
                <w:rFonts w:ascii="Aptos" w:hAnsi="Aptos"/>
                <w:sz w:val="18"/>
              </w:rPr>
              <w:t>No arbitrary code execution; server-side authorization on every design/publish action; tenant isolation; safe connector/secret references.</w:t>
            </w:r>
          </w:p>
        </w:tc>
      </w:tr>
      <w:tr>
        <w:tc>
          <w:tcPr>
            <w:tcW w:type="dxa" w:w="2088"/>
            <w:vAlign w:val="center"/>
            <w:tcMar>
              <w:top w:w="90" w:type="dxa"/>
              <w:start w:w="110" w:type="dxa"/>
              <w:bottom w:w="90" w:type="dxa"/>
              <w:end w:w="110" w:type="dxa"/>
            </w:tcMar>
          </w:tcPr>
          <w:p>
            <w:pPr>
              <w:spacing w:after="40" w:before="40"/>
            </w:pPr>
            <w:r>
              <w:rPr>
                <w:rFonts w:ascii="Aptos" w:hAnsi="Aptos"/>
                <w:sz w:val="18"/>
              </w:rPr>
              <w:t>Accessibility</w:t>
            </w:r>
          </w:p>
        </w:tc>
        <w:tc>
          <w:tcPr>
            <w:tcW w:type="dxa" w:w="7704"/>
            <w:vAlign w:val="center"/>
            <w:tcMar>
              <w:top w:w="90" w:type="dxa"/>
              <w:start w:w="110" w:type="dxa"/>
              <w:bottom w:w="90" w:type="dxa"/>
              <w:end w:w="110" w:type="dxa"/>
            </w:tcMar>
          </w:tcPr>
          <w:p>
            <w:pPr>
              <w:spacing w:after="40" w:before="40"/>
            </w:pPr>
            <w:r>
              <w:rPr>
                <w:rFonts w:ascii="Aptos" w:hAnsi="Aptos"/>
                <w:sz w:val="18"/>
              </w:rPr>
              <w:t>Studio itself supports keyboard operation and accessible properties/validation, not only the citizen runtime.</w:t>
            </w:r>
          </w:p>
        </w:tc>
      </w:tr>
    </w:tbl>
    <w:p>
      <w:pPr>
        <w:pStyle w:val="Heading2"/>
      </w:pPr>
      <w:r>
        <w:t>19.21 AI validation and quality score</w:t>
      </w:r>
    </w:p>
    <w:p>
      <w:pPr>
        <w:spacing w:after="120"/>
      </w:pPr>
      <w:r>
        <w:t>AI may summarize readiness and highlight risk, but publish blocking must be driven by deterministic validators/tests. Any “readiness score” is advisory and must expose the underlying findings; it is never a statutory or approval decision.</w:t>
      </w:r>
    </w:p>
    <w:p>
      <w:pPr>
        <w:pStyle w:val="ListBullet"/>
        <w:spacing w:after="40"/>
      </w:pPr>
      <w:r>
        <w:t>Detect missing/ambiguous labels, evidence mappings, translations, error/help text and likely usability problems.</w:t>
      </w:r>
    </w:p>
    <w:p>
      <w:pPr>
        <w:pStyle w:val="ListBullet"/>
        <w:spacing w:after="40"/>
      </w:pPr>
      <w:r>
        <w:t>Generate additional branch/persona tests and identify uncovered workflow/rule branches.</w:t>
      </w:r>
    </w:p>
    <w:p>
      <w:pPr>
        <w:pStyle w:val="ListBullet"/>
        <w:spacing w:after="40"/>
      </w:pPr>
      <w:r>
        <w:t>Explain semantic diffs between template versions and tenant overlays in plain language.</w:t>
      </w:r>
    </w:p>
    <w:p>
      <w:pPr>
        <w:pStyle w:val="ListBullet"/>
        <w:spacing w:after="40"/>
      </w:pPr>
      <w:r>
        <w:t>Flag probable statutory ambiguity or unsupported assumptions and require human resolution.</w:t>
      </w:r>
    </w:p>
    <w:p>
      <w:pPr>
        <w:pStyle w:val="ListBullet"/>
        <w:spacing w:after="40"/>
      </w:pPr>
      <w:r>
        <w:t>Never mark a failed deterministic validator as passed based on model opinion.</w:t>
      </w:r>
    </w:p>
    <w:p>
      <w:pPr>
        <w:pStyle w:val="Heading2"/>
      </w:pPr>
      <w:r>
        <w:t>19.22 Implementation sequence for the Service Design Studio</w:t>
      </w:r>
    </w:p>
    <w:tbl>
      <w:tblPr>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tcMar>
              <w:top w:w="90" w:type="dxa"/>
              <w:start w:w="110" w:type="dxa"/>
              <w:bottom w:w="90" w:type="dxa"/>
              <w:end w:w="110" w:type="dxa"/>
            </w:tcMar>
            <w:shd w:fill="17365D"/>
          </w:tcPr>
          <w:p>
            <w:pPr>
              <w:spacing w:after="40" w:before="40"/>
            </w:pPr>
            <w:r>
              <w:rPr>
                <w:rFonts w:ascii="Aptos" w:hAnsi="Aptos"/>
                <w:b/>
                <w:color w:val="FFFFFF"/>
                <w:sz w:val="18"/>
              </w:rPr>
              <w:t>Stage</w:t>
            </w:r>
          </w:p>
        </w:tc>
        <w:tc>
          <w:tcPr>
            <w:tcW w:type="dxa" w:w="3528"/>
            <w:vAlign w:val="center"/>
            <w:tcMar>
              <w:top w:w="90" w:type="dxa"/>
              <w:start w:w="110" w:type="dxa"/>
              <w:bottom w:w="90" w:type="dxa"/>
              <w:end w:w="110" w:type="dxa"/>
            </w:tcMar>
            <w:shd w:fill="17365D"/>
          </w:tcPr>
          <w:p>
            <w:pPr>
              <w:spacing w:after="40" w:before="40"/>
            </w:pPr>
            <w:r>
              <w:rPr>
                <w:rFonts w:ascii="Aptos" w:hAnsi="Aptos"/>
                <w:b/>
                <w:color w:val="FFFFFF"/>
                <w:sz w:val="18"/>
              </w:rPr>
              <w:t>Deliverable</w:t>
            </w:r>
          </w:p>
        </w:tc>
        <w:tc>
          <w:tcPr>
            <w:tcW w:type="dxa" w:w="5112"/>
            <w:vAlign w:val="center"/>
            <w:tcMar>
              <w:top w:w="90" w:type="dxa"/>
              <w:start w:w="110" w:type="dxa"/>
              <w:bottom w:w="90" w:type="dxa"/>
              <w:end w:w="110" w:type="dxa"/>
            </w:tcMar>
            <w:shd w:fill="17365D"/>
          </w:tcPr>
          <w:p>
            <w:pPr>
              <w:spacing w:after="40" w:before="40"/>
            </w:pPr>
            <w:r>
              <w:rPr>
                <w:rFonts w:ascii="Aptos" w:hAnsi="Aptos"/>
                <w:b/>
                <w:color w:val="FFFFFF"/>
                <w:sz w:val="18"/>
              </w:rPr>
              <w:t>Exit gate</w:t>
            </w:r>
          </w:p>
        </w:tc>
      </w:tr>
      <w:tr>
        <w:tc>
          <w:tcPr>
            <w:tcW w:type="dxa" w:w="1152"/>
            <w:vAlign w:val="center"/>
            <w:tcMar>
              <w:top w:w="90" w:type="dxa"/>
              <w:start w:w="110" w:type="dxa"/>
              <w:bottom w:w="90" w:type="dxa"/>
              <w:end w:w="110" w:type="dxa"/>
            </w:tcMar>
          </w:tcPr>
          <w:p>
            <w:pPr>
              <w:spacing w:after="40" w:before="40"/>
            </w:pPr>
            <w:r>
              <w:rPr>
                <w:rFonts w:ascii="Aptos" w:hAnsi="Aptos"/>
                <w:sz w:val="18"/>
              </w:rPr>
              <w:t>SD-0</w:t>
            </w:r>
          </w:p>
        </w:tc>
        <w:tc>
          <w:tcPr>
            <w:tcW w:type="dxa" w:w="3528"/>
            <w:vAlign w:val="center"/>
            <w:tcMar>
              <w:top w:w="90" w:type="dxa"/>
              <w:start w:w="110" w:type="dxa"/>
              <w:bottom w:w="90" w:type="dxa"/>
              <w:end w:w="110" w:type="dxa"/>
            </w:tcMar>
          </w:tcPr>
          <w:p>
            <w:pPr>
              <w:spacing w:after="40" w:before="40"/>
            </w:pPr>
            <w:r>
              <w:rPr>
                <w:rFonts w:ascii="Aptos" w:hAnsi="Aptos"/>
                <w:sz w:val="18"/>
              </w:rPr>
              <w:t>Canonical metadata schemas + version/package contracts</w:t>
            </w:r>
          </w:p>
        </w:tc>
        <w:tc>
          <w:tcPr>
            <w:tcW w:type="dxa" w:w="5112"/>
            <w:vAlign w:val="center"/>
            <w:tcMar>
              <w:top w:w="90" w:type="dxa"/>
              <w:start w:w="110" w:type="dxa"/>
              <w:bottom w:w="90" w:type="dxa"/>
              <w:end w:w="110" w:type="dxa"/>
            </w:tcMar>
          </w:tcPr>
          <w:p>
            <w:pPr>
              <w:spacing w:after="40" w:before="40"/>
            </w:pPr>
            <w:r>
              <w:rPr>
                <w:rFonts w:ascii="Aptos" w:hAnsi="Aptos"/>
                <w:sz w:val="18"/>
              </w:rPr>
              <w:t>Round-trip schema validation; export/import; immutable IDs/versions.</w:t>
            </w:r>
          </w:p>
        </w:tc>
      </w:tr>
      <w:tr>
        <w:tc>
          <w:tcPr>
            <w:tcW w:type="dxa" w:w="1152"/>
            <w:vAlign w:val="center"/>
            <w:tcMar>
              <w:top w:w="90" w:type="dxa"/>
              <w:start w:w="110" w:type="dxa"/>
              <w:bottom w:w="90" w:type="dxa"/>
              <w:end w:w="110" w:type="dxa"/>
            </w:tcMar>
          </w:tcPr>
          <w:p>
            <w:pPr>
              <w:spacing w:after="40" w:before="40"/>
            </w:pPr>
            <w:r>
              <w:rPr>
                <w:rFonts w:ascii="Aptos" w:hAnsi="Aptos"/>
                <w:sz w:val="18"/>
              </w:rPr>
              <w:t>SD-1</w:t>
            </w:r>
          </w:p>
        </w:tc>
        <w:tc>
          <w:tcPr>
            <w:tcW w:type="dxa" w:w="3528"/>
            <w:vAlign w:val="center"/>
            <w:tcMar>
              <w:top w:w="90" w:type="dxa"/>
              <w:start w:w="110" w:type="dxa"/>
              <w:bottom w:w="90" w:type="dxa"/>
              <w:end w:w="110" w:type="dxa"/>
            </w:tcMar>
          </w:tcPr>
          <w:p>
            <w:pPr>
              <w:spacing w:after="40" w:before="40"/>
            </w:pPr>
            <w:r>
              <w:rPr>
                <w:rFonts w:ascii="Aptos" w:hAnsi="Aptos"/>
                <w:sz w:val="18"/>
              </w:rPr>
              <w:t>Runtime renderer + government component registry</w:t>
            </w:r>
          </w:p>
        </w:tc>
        <w:tc>
          <w:tcPr>
            <w:tcW w:type="dxa" w:w="5112"/>
            <w:vAlign w:val="center"/>
            <w:tcMar>
              <w:top w:w="90" w:type="dxa"/>
              <w:start w:w="110" w:type="dxa"/>
              <w:bottom w:w="90" w:type="dxa"/>
              <w:end w:w="110" w:type="dxa"/>
            </w:tcMar>
          </w:tcPr>
          <w:p>
            <w:pPr>
              <w:spacing w:after="40" w:before="40"/>
            </w:pPr>
            <w:r>
              <w:rPr>
                <w:rFonts w:ascii="Aptos" w:hAnsi="Aptos"/>
                <w:sz w:val="18"/>
              </w:rPr>
              <w:t>Representative pre-created forms render consistently on web/mobile and pass accessibility tests.</w:t>
            </w:r>
          </w:p>
        </w:tc>
      </w:tr>
      <w:tr>
        <w:tc>
          <w:tcPr>
            <w:tcW w:type="dxa" w:w="1152"/>
            <w:vAlign w:val="center"/>
            <w:tcMar>
              <w:top w:w="90" w:type="dxa"/>
              <w:start w:w="110" w:type="dxa"/>
              <w:bottom w:w="90" w:type="dxa"/>
              <w:end w:w="110" w:type="dxa"/>
            </w:tcMar>
          </w:tcPr>
          <w:p>
            <w:pPr>
              <w:spacing w:after="40" w:before="40"/>
            </w:pPr>
            <w:r>
              <w:rPr>
                <w:rFonts w:ascii="Aptos" w:hAnsi="Aptos"/>
                <w:sz w:val="18"/>
              </w:rPr>
              <w:t>SD-2</w:t>
            </w:r>
          </w:p>
        </w:tc>
        <w:tc>
          <w:tcPr>
            <w:tcW w:type="dxa" w:w="3528"/>
            <w:vAlign w:val="center"/>
            <w:tcMar>
              <w:top w:w="90" w:type="dxa"/>
              <w:start w:w="110" w:type="dxa"/>
              <w:bottom w:w="90" w:type="dxa"/>
              <w:end w:w="110" w:type="dxa"/>
            </w:tcMar>
          </w:tcPr>
          <w:p>
            <w:pPr>
              <w:spacing w:after="40" w:before="40"/>
            </w:pPr>
            <w:r>
              <w:rPr>
                <w:rFonts w:ascii="Aptos" w:hAnsi="Aptos"/>
                <w:sz w:val="18"/>
              </w:rPr>
              <w:t>Drag-and-drop Form Designer</w:t>
            </w:r>
          </w:p>
        </w:tc>
        <w:tc>
          <w:tcPr>
            <w:tcW w:type="dxa" w:w="5112"/>
            <w:vAlign w:val="center"/>
            <w:tcMar>
              <w:top w:w="90" w:type="dxa"/>
              <w:start w:w="110" w:type="dxa"/>
              <w:bottom w:w="90" w:type="dxa"/>
              <w:end w:w="110" w:type="dxa"/>
            </w:tcMar>
          </w:tcPr>
          <w:p>
            <w:pPr>
              <w:spacing w:after="40" w:before="40"/>
            </w:pPr>
            <w:r>
              <w:rPr>
                <w:rFonts w:ascii="Aptos" w:hAnsi="Aptos"/>
                <w:sz w:val="18"/>
              </w:rPr>
              <w:t>Author can build Residence Certificate without raw JSON/code; preview and schema output are deterministic.</w:t>
            </w:r>
          </w:p>
        </w:tc>
      </w:tr>
      <w:tr>
        <w:tc>
          <w:tcPr>
            <w:tcW w:type="dxa" w:w="1152"/>
            <w:vAlign w:val="center"/>
            <w:tcMar>
              <w:top w:w="90" w:type="dxa"/>
              <w:start w:w="110" w:type="dxa"/>
              <w:bottom w:w="90" w:type="dxa"/>
              <w:end w:w="110" w:type="dxa"/>
            </w:tcMar>
          </w:tcPr>
          <w:p>
            <w:pPr>
              <w:spacing w:after="40" w:before="40"/>
            </w:pPr>
            <w:r>
              <w:rPr>
                <w:rFonts w:ascii="Aptos" w:hAnsi="Aptos"/>
                <w:sz w:val="18"/>
              </w:rPr>
              <w:t>SD-3</w:t>
            </w:r>
          </w:p>
        </w:tc>
        <w:tc>
          <w:tcPr>
            <w:tcW w:type="dxa" w:w="3528"/>
            <w:vAlign w:val="center"/>
            <w:tcMar>
              <w:top w:w="90" w:type="dxa"/>
              <w:start w:w="110" w:type="dxa"/>
              <w:bottom w:w="90" w:type="dxa"/>
              <w:end w:w="110" w:type="dxa"/>
            </w:tcMar>
          </w:tcPr>
          <w:p>
            <w:pPr>
              <w:spacing w:after="40" w:before="40"/>
            </w:pPr>
            <w:r>
              <w:rPr>
                <w:rFonts w:ascii="Aptos" w:hAnsi="Aptos"/>
                <w:sz w:val="18"/>
              </w:rPr>
              <w:t>Visual Rules Designer</w:t>
            </w:r>
          </w:p>
        </w:tc>
        <w:tc>
          <w:tcPr>
            <w:tcW w:type="dxa" w:w="5112"/>
            <w:vAlign w:val="center"/>
            <w:tcMar>
              <w:top w:w="90" w:type="dxa"/>
              <w:start w:w="110" w:type="dxa"/>
              <w:bottom w:w="90" w:type="dxa"/>
              <w:end w:w="110" w:type="dxa"/>
            </w:tcMar>
          </w:tcPr>
          <w:p>
            <w:pPr>
              <w:spacing w:after="40" w:before="40"/>
            </w:pPr>
            <w:r>
              <w:rPr>
                <w:rFonts w:ascii="Aptos" w:hAnsi="Aptos"/>
                <w:sz w:val="18"/>
              </w:rPr>
              <w:t>Form behavior and service rule references configured visually; no tenant JavaScript.</w:t>
            </w:r>
          </w:p>
        </w:tc>
      </w:tr>
      <w:tr>
        <w:tc>
          <w:tcPr>
            <w:tcW w:type="dxa" w:w="1152"/>
            <w:vAlign w:val="center"/>
            <w:tcMar>
              <w:top w:w="90" w:type="dxa"/>
              <w:start w:w="110" w:type="dxa"/>
              <w:bottom w:w="90" w:type="dxa"/>
              <w:end w:w="110" w:type="dxa"/>
            </w:tcMar>
          </w:tcPr>
          <w:p>
            <w:pPr>
              <w:spacing w:after="40" w:before="40"/>
            </w:pPr>
            <w:r>
              <w:rPr>
                <w:rFonts w:ascii="Aptos" w:hAnsi="Aptos"/>
                <w:sz w:val="18"/>
              </w:rPr>
              <w:t>SD-4</w:t>
            </w:r>
          </w:p>
        </w:tc>
        <w:tc>
          <w:tcPr>
            <w:tcW w:type="dxa" w:w="3528"/>
            <w:vAlign w:val="center"/>
            <w:tcMar>
              <w:top w:w="90" w:type="dxa"/>
              <w:start w:w="110" w:type="dxa"/>
              <w:bottom w:w="90" w:type="dxa"/>
              <w:end w:w="110" w:type="dxa"/>
            </w:tcMar>
          </w:tcPr>
          <w:p>
            <w:pPr>
              <w:spacing w:after="40" w:before="40"/>
            </w:pPr>
            <w:r>
              <w:rPr>
                <w:rFonts w:ascii="Aptos" w:hAnsi="Aptos"/>
                <w:sz w:val="18"/>
              </w:rPr>
              <w:t>Visual Workflow Designer</w:t>
            </w:r>
          </w:p>
        </w:tc>
        <w:tc>
          <w:tcPr>
            <w:tcW w:type="dxa" w:w="5112"/>
            <w:vAlign w:val="center"/>
            <w:tcMar>
              <w:top w:w="90" w:type="dxa"/>
              <w:start w:w="110" w:type="dxa"/>
              <w:bottom w:w="90" w:type="dxa"/>
              <w:end w:w="110" w:type="dxa"/>
            </w:tcMar>
          </w:tcPr>
          <w:p>
            <w:pPr>
              <w:spacing w:after="40" w:before="40"/>
            </w:pPr>
            <w:r>
              <w:rPr>
                <w:rFonts w:ascii="Aptos" w:hAnsi="Aptos"/>
                <w:sz w:val="18"/>
              </w:rPr>
              <w:t>Residence workflow created visually and executes through generic Temporal workflow code.</w:t>
            </w:r>
          </w:p>
        </w:tc>
      </w:tr>
      <w:tr>
        <w:tc>
          <w:tcPr>
            <w:tcW w:type="dxa" w:w="1152"/>
            <w:vAlign w:val="center"/>
            <w:tcMar>
              <w:top w:w="90" w:type="dxa"/>
              <w:start w:w="110" w:type="dxa"/>
              <w:bottom w:w="90" w:type="dxa"/>
              <w:end w:w="110" w:type="dxa"/>
            </w:tcMar>
          </w:tcPr>
          <w:p>
            <w:pPr>
              <w:spacing w:after="40" w:before="40"/>
            </w:pPr>
            <w:r>
              <w:rPr>
                <w:rFonts w:ascii="Aptos" w:hAnsi="Aptos"/>
                <w:sz w:val="18"/>
              </w:rPr>
              <w:t>SD-5</w:t>
            </w:r>
          </w:p>
        </w:tc>
        <w:tc>
          <w:tcPr>
            <w:tcW w:type="dxa" w:w="3528"/>
            <w:vAlign w:val="center"/>
            <w:tcMar>
              <w:top w:w="90" w:type="dxa"/>
              <w:start w:w="110" w:type="dxa"/>
              <w:bottom w:w="90" w:type="dxa"/>
              <w:end w:w="110" w:type="dxa"/>
            </w:tcMar>
          </w:tcPr>
          <w:p>
            <w:pPr>
              <w:spacing w:after="40" w:before="40"/>
            </w:pPr>
            <w:r>
              <w:rPr>
                <w:rFonts w:ascii="Aptos" w:hAnsi="Aptos"/>
                <w:sz w:val="18"/>
              </w:rPr>
              <w:t>Template Marketplace + inheritance/overlay/rebase</w:t>
            </w:r>
          </w:p>
        </w:tc>
        <w:tc>
          <w:tcPr>
            <w:tcW w:type="dxa" w:w="5112"/>
            <w:vAlign w:val="center"/>
            <w:tcMar>
              <w:top w:w="90" w:type="dxa"/>
              <w:start w:w="110" w:type="dxa"/>
              <w:bottom w:w="90" w:type="dxa"/>
              <w:end w:w="110" w:type="dxa"/>
            </w:tcMar>
          </w:tcPr>
          <w:p>
            <w:pPr>
              <w:spacing w:after="40" w:before="40"/>
            </w:pPr>
            <w:r>
              <w:rPr>
                <w:rFonts w:ascii="Aptos" w:hAnsi="Aptos"/>
                <w:sz w:val="18"/>
              </w:rPr>
              <w:t>Two tenants publish materially different variants from one canonical template without copying backend code.</w:t>
            </w:r>
          </w:p>
        </w:tc>
      </w:tr>
      <w:tr>
        <w:tc>
          <w:tcPr>
            <w:tcW w:type="dxa" w:w="1152"/>
            <w:vAlign w:val="center"/>
            <w:tcMar>
              <w:top w:w="90" w:type="dxa"/>
              <w:start w:w="110" w:type="dxa"/>
              <w:bottom w:w="90" w:type="dxa"/>
              <w:end w:w="110" w:type="dxa"/>
            </w:tcMar>
          </w:tcPr>
          <w:p>
            <w:pPr>
              <w:spacing w:after="40" w:before="40"/>
            </w:pPr>
            <w:r>
              <w:rPr>
                <w:rFonts w:ascii="Aptos" w:hAnsi="Aptos"/>
                <w:sz w:val="18"/>
              </w:rPr>
              <w:t>SD-6</w:t>
            </w:r>
          </w:p>
        </w:tc>
        <w:tc>
          <w:tcPr>
            <w:tcW w:type="dxa" w:w="3528"/>
            <w:vAlign w:val="center"/>
            <w:tcMar>
              <w:top w:w="90" w:type="dxa"/>
              <w:start w:w="110" w:type="dxa"/>
              <w:bottom w:w="90" w:type="dxa"/>
              <w:end w:w="110" w:type="dxa"/>
            </w:tcMar>
          </w:tcPr>
          <w:p>
            <w:pPr>
              <w:spacing w:after="40" w:before="40"/>
            </w:pPr>
            <w:r>
              <w:rPr>
                <w:rFonts w:ascii="Aptos" w:hAnsi="Aptos"/>
                <w:sz w:val="18"/>
              </w:rPr>
              <w:t>Test Studio + maker-checker publishing</w:t>
            </w:r>
          </w:p>
        </w:tc>
        <w:tc>
          <w:tcPr>
            <w:tcW w:type="dxa" w:w="5112"/>
            <w:vAlign w:val="center"/>
            <w:tcMar>
              <w:top w:w="90" w:type="dxa"/>
              <w:start w:w="110" w:type="dxa"/>
              <w:bottom w:w="90" w:type="dxa"/>
              <w:end w:w="110" w:type="dxa"/>
            </w:tcMar>
          </w:tcPr>
          <w:p>
            <w:pPr>
              <w:spacing w:after="40" w:before="40"/>
            </w:pPr>
            <w:r>
              <w:rPr>
                <w:rFonts w:ascii="Aptos" w:hAnsi="Aptos"/>
                <w:sz w:val="18"/>
              </w:rPr>
              <w:t>Validation, simulation, semantic diff and immutable publish package fully automated.</w:t>
            </w:r>
          </w:p>
        </w:tc>
      </w:tr>
      <w:tr>
        <w:tc>
          <w:tcPr>
            <w:tcW w:type="dxa" w:w="1152"/>
            <w:vAlign w:val="center"/>
            <w:tcMar>
              <w:top w:w="90" w:type="dxa"/>
              <w:start w:w="110" w:type="dxa"/>
              <w:bottom w:w="90" w:type="dxa"/>
              <w:end w:w="110" w:type="dxa"/>
            </w:tcMar>
          </w:tcPr>
          <w:p>
            <w:pPr>
              <w:spacing w:after="40" w:before="40"/>
            </w:pPr>
            <w:r>
              <w:rPr>
                <w:rFonts w:ascii="Aptos" w:hAnsi="Aptos"/>
                <w:sz w:val="18"/>
              </w:rPr>
              <w:t>SD-7</w:t>
            </w:r>
          </w:p>
        </w:tc>
        <w:tc>
          <w:tcPr>
            <w:tcW w:type="dxa" w:w="3528"/>
            <w:vAlign w:val="center"/>
            <w:tcMar>
              <w:top w:w="90" w:type="dxa"/>
              <w:start w:w="110" w:type="dxa"/>
              <w:bottom w:w="90" w:type="dxa"/>
              <w:end w:w="110" w:type="dxa"/>
            </w:tcMar>
          </w:tcPr>
          <w:p>
            <w:pPr>
              <w:spacing w:after="40" w:before="40"/>
            </w:pPr>
            <w:r>
              <w:rPr>
                <w:rFonts w:ascii="Aptos" w:hAnsi="Aptos"/>
                <w:sz w:val="18"/>
              </w:rPr>
              <w:t>AI Service Designer + PDF/DOCX import</w:t>
            </w:r>
          </w:p>
        </w:tc>
        <w:tc>
          <w:tcPr>
            <w:tcW w:type="dxa" w:w="5112"/>
            <w:vAlign w:val="center"/>
            <w:tcMar>
              <w:top w:w="90" w:type="dxa"/>
              <w:start w:w="110" w:type="dxa"/>
              <w:bottom w:w="90" w:type="dxa"/>
              <w:end w:w="110" w:type="dxa"/>
            </w:tcMar>
          </w:tcPr>
          <w:p>
            <w:pPr>
              <w:spacing w:after="40" w:before="40"/>
            </w:pPr>
            <w:r>
              <w:rPr>
                <w:rFonts w:ascii="Aptos" w:hAnsi="Aptos"/>
                <w:sz w:val="18"/>
              </w:rPr>
              <w:t>AI creates traceable drafts; uncertainty/provenance and human approval gates verified.</w:t>
            </w:r>
          </w:p>
        </w:tc>
      </w:tr>
    </w:tbl>
    <w:p>
      <w:pPr>
        <w:pStyle w:val="Heading2"/>
      </w:pPr>
      <w:r>
        <w:t>19.23 Best-in-class benchmark patterns and architectural boundary</w:t>
      </w:r>
    </w:p>
    <w:p>
      <w:pPr>
        <w:spacing w:after="120"/>
      </w:pPr>
      <w:r>
        <w:t>Current commercial/open-source products demonstrate useful interaction patterns: visual drag/drop form authoring, GUI conditional logic, custom renderers and visual executable process modeling. ServiceForm AI should adopt those user-experience patterns while preserving its own national-scale metadata contract, government component library, tenant-inheritance model and generic Temporal runtime.</w:t>
      </w:r>
    </w:p>
    <w:tbl>
      <w:tblPr>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Benchmark</w:t>
            </w:r>
          </w:p>
        </w:tc>
        <w:tc>
          <w:tcPr>
            <w:tcW w:type="dxa" w:w="3816"/>
            <w:vAlign w:val="center"/>
            <w:tcMar>
              <w:top w:w="90" w:type="dxa"/>
              <w:start w:w="110" w:type="dxa"/>
              <w:bottom w:w="90" w:type="dxa"/>
              <w:end w:w="110" w:type="dxa"/>
            </w:tcMar>
            <w:shd w:fill="17365D"/>
          </w:tcPr>
          <w:p>
            <w:pPr>
              <w:spacing w:after="40" w:before="40"/>
            </w:pPr>
            <w:r>
              <w:rPr>
                <w:rFonts w:ascii="Aptos" w:hAnsi="Aptos"/>
                <w:b/>
                <w:color w:val="FFFFFF"/>
                <w:sz w:val="18"/>
              </w:rPr>
              <w:t>Pattern to adopt</w:t>
            </w:r>
          </w:p>
        </w:tc>
        <w:tc>
          <w:tcPr>
            <w:tcW w:type="dxa" w:w="3816"/>
            <w:vAlign w:val="center"/>
            <w:tcMar>
              <w:top w:w="90" w:type="dxa"/>
              <w:start w:w="110" w:type="dxa"/>
              <w:bottom w:w="90" w:type="dxa"/>
              <w:end w:w="110" w:type="dxa"/>
            </w:tcMar>
            <w:shd w:fill="17365D"/>
          </w:tcPr>
          <w:p>
            <w:pPr>
              <w:spacing w:after="40" w:before="40"/>
            </w:pPr>
            <w:r>
              <w:rPr>
                <w:rFonts w:ascii="Aptos" w:hAnsi="Aptos"/>
                <w:b/>
                <w:color w:val="FFFFFF"/>
                <w:sz w:val="18"/>
              </w:rPr>
              <w:t>ServiceForm boundary</w:t>
            </w:r>
          </w:p>
        </w:tc>
      </w:tr>
      <w:tr>
        <w:tc>
          <w:tcPr>
            <w:tcW w:type="dxa" w:w="2232"/>
            <w:vAlign w:val="center"/>
            <w:tcMar>
              <w:top w:w="90" w:type="dxa"/>
              <w:start w:w="110" w:type="dxa"/>
              <w:bottom w:w="90" w:type="dxa"/>
              <w:end w:w="110" w:type="dxa"/>
            </w:tcMar>
          </w:tcPr>
          <w:p>
            <w:pPr>
              <w:spacing w:after="40" w:before="40"/>
            </w:pPr>
            <w:r>
              <w:rPr>
                <w:rFonts w:ascii="Aptos" w:hAnsi="Aptos"/>
                <w:sz w:val="18"/>
              </w:rPr>
              <w:t>Camunda Modeler / Forms</w:t>
            </w:r>
          </w:p>
        </w:tc>
        <w:tc>
          <w:tcPr>
            <w:tcW w:type="dxa" w:w="3816"/>
            <w:vAlign w:val="center"/>
            <w:tcMar>
              <w:top w:w="90" w:type="dxa"/>
              <w:start w:w="110" w:type="dxa"/>
              <w:bottom w:w="90" w:type="dxa"/>
              <w:end w:w="110" w:type="dxa"/>
            </w:tcMar>
          </w:tcPr>
          <w:p>
            <w:pPr>
              <w:spacing w:after="40" w:before="40"/>
            </w:pPr>
            <w:r>
              <w:rPr>
                <w:rFonts w:ascii="Aptos" w:hAnsi="Aptos"/>
                <w:sz w:val="18"/>
              </w:rPr>
              <w:t>Drag/drop palette + properties; AI-assisted form generation; visual BPMN modeling.</w:t>
            </w:r>
          </w:p>
        </w:tc>
        <w:tc>
          <w:tcPr>
            <w:tcW w:type="dxa" w:w="3816"/>
            <w:vAlign w:val="center"/>
            <w:tcMar>
              <w:top w:w="90" w:type="dxa"/>
              <w:start w:w="110" w:type="dxa"/>
              <w:bottom w:w="90" w:type="dxa"/>
              <w:end w:w="110" w:type="dxa"/>
            </w:tcMar>
          </w:tcPr>
          <w:p>
            <w:pPr>
              <w:spacing w:after="40" w:before="40"/>
            </w:pPr>
            <w:r>
              <w:rPr>
                <w:rFonts w:ascii="Aptos" w:hAnsi="Aptos"/>
                <w:sz w:val="18"/>
              </w:rPr>
              <w:t>Use as UX benchmark only. ServiceForm retains its own workflow metadata/DSL and Temporal runtime decision.</w:t>
            </w:r>
          </w:p>
        </w:tc>
      </w:tr>
      <w:tr>
        <w:tc>
          <w:tcPr>
            <w:tcW w:type="dxa" w:w="2232"/>
            <w:vAlign w:val="center"/>
            <w:tcMar>
              <w:top w:w="90" w:type="dxa"/>
              <w:start w:w="110" w:type="dxa"/>
              <w:bottom w:w="90" w:type="dxa"/>
              <w:end w:w="110" w:type="dxa"/>
            </w:tcMar>
          </w:tcPr>
          <w:p>
            <w:pPr>
              <w:spacing w:after="40" w:before="40"/>
            </w:pPr>
            <w:r>
              <w:rPr>
                <w:rFonts w:ascii="Aptos" w:hAnsi="Aptos"/>
                <w:sz w:val="18"/>
              </w:rPr>
              <w:t>SurveyJS Creator</w:t>
            </w:r>
          </w:p>
        </w:tc>
        <w:tc>
          <w:tcPr>
            <w:tcW w:type="dxa" w:w="3816"/>
            <w:vAlign w:val="center"/>
            <w:tcMar>
              <w:top w:w="90" w:type="dxa"/>
              <w:start w:w="110" w:type="dxa"/>
              <w:bottom w:w="90" w:type="dxa"/>
              <w:end w:w="110" w:type="dxa"/>
            </w:tcMar>
          </w:tcPr>
          <w:p>
            <w:pPr>
              <w:spacing w:after="40" w:before="40"/>
            </w:pPr>
            <w:r>
              <w:rPr>
                <w:rFonts w:ascii="Aptos" w:hAnsi="Aptos"/>
                <w:sz w:val="18"/>
              </w:rPr>
              <w:t>GUI condition builders and branching logic for nontechnical authors.</w:t>
            </w:r>
          </w:p>
        </w:tc>
        <w:tc>
          <w:tcPr>
            <w:tcW w:type="dxa" w:w="3816"/>
            <w:vAlign w:val="center"/>
            <w:tcMar>
              <w:top w:w="90" w:type="dxa"/>
              <w:start w:w="110" w:type="dxa"/>
              <w:bottom w:w="90" w:type="dxa"/>
              <w:end w:w="110" w:type="dxa"/>
            </w:tcMar>
          </w:tcPr>
          <w:p>
            <w:pPr>
              <w:spacing w:after="40" w:before="40"/>
            </w:pPr>
            <w:r>
              <w:rPr>
                <w:rFonts w:ascii="Aptos" w:hAnsi="Aptos"/>
                <w:sz w:val="18"/>
              </w:rPr>
              <w:t>Adopt visual condition concepts; store rules in approved ServiceForm/GoRules model, not arbitrary expressions.</w:t>
            </w:r>
          </w:p>
        </w:tc>
      </w:tr>
      <w:tr>
        <w:tc>
          <w:tcPr>
            <w:tcW w:type="dxa" w:w="2232"/>
            <w:vAlign w:val="center"/>
            <w:tcMar>
              <w:top w:w="90" w:type="dxa"/>
              <w:start w:w="110" w:type="dxa"/>
              <w:bottom w:w="90" w:type="dxa"/>
              <w:end w:w="110" w:type="dxa"/>
            </w:tcMar>
          </w:tcPr>
          <w:p>
            <w:pPr>
              <w:spacing w:after="40" w:before="40"/>
            </w:pPr>
            <w:r>
              <w:rPr>
                <w:rFonts w:ascii="Aptos" w:hAnsi="Aptos"/>
                <w:sz w:val="18"/>
              </w:rPr>
              <w:t>JSON Forms</w:t>
            </w:r>
          </w:p>
        </w:tc>
        <w:tc>
          <w:tcPr>
            <w:tcW w:type="dxa" w:w="3816"/>
            <w:vAlign w:val="center"/>
            <w:tcMar>
              <w:top w:w="90" w:type="dxa"/>
              <w:start w:w="110" w:type="dxa"/>
              <w:bottom w:w="90" w:type="dxa"/>
              <w:end w:w="110" w:type="dxa"/>
            </w:tcMar>
          </w:tcPr>
          <w:p>
            <w:pPr>
              <w:spacing w:after="40" w:before="40"/>
            </w:pPr>
            <w:r>
              <w:rPr>
                <w:rFonts w:ascii="Aptos" w:hAnsi="Aptos"/>
                <w:sz w:val="18"/>
              </w:rPr>
              <w:t>Separate data schema/UI schema; extensible React custom renderers.</w:t>
            </w:r>
          </w:p>
        </w:tc>
        <w:tc>
          <w:tcPr>
            <w:tcW w:type="dxa" w:w="3816"/>
            <w:vAlign w:val="center"/>
            <w:tcMar>
              <w:top w:w="90" w:type="dxa"/>
              <w:start w:w="110" w:type="dxa"/>
              <w:bottom w:w="90" w:type="dxa"/>
              <w:end w:w="110" w:type="dxa"/>
            </w:tcMar>
          </w:tcPr>
          <w:p>
            <w:pPr>
              <w:spacing w:after="40" w:before="40"/>
            </w:pPr>
            <w:r>
              <w:rPr>
                <w:rFonts w:ascii="Aptos" w:hAnsi="Aptos"/>
                <w:sz w:val="18"/>
              </w:rPr>
              <w:t>Preferred runtime foundation for web; ServiceForm owns canonical extensions and government renderers.</w:t>
            </w:r>
          </w:p>
        </w:tc>
      </w:tr>
    </w:tbl>
    <w:p>
      <w:pPr>
        <w:spacing w:after="120"/>
      </w:pPr>
      <w:r>
        <w:t>Official benchmark references (verified 2 October 2026):</w:t>
      </w:r>
    </w:p>
    <w:p>
      <w:pPr>
        <w:pStyle w:val="ListBullet"/>
        <w:spacing w:after="40"/>
      </w:pPr>
      <w:r>
        <w:t>https://docs.camunda.io/docs/components/modeler/forms/utilizing-forms/</w:t>
      </w:r>
    </w:p>
    <w:p>
      <w:pPr>
        <w:pStyle w:val="ListBullet"/>
        <w:spacing w:after="40"/>
      </w:pPr>
      <w:r>
        <w:t>https://docs.camunda.io/docs/components/modeler/bpmn/</w:t>
      </w:r>
    </w:p>
    <w:p>
      <w:pPr>
        <w:pStyle w:val="ListBullet"/>
        <w:spacing w:after="40"/>
      </w:pPr>
      <w:r>
        <w:t>https://surveyjs.io/survey-creator/documentation/end-user-guide/branching-logic</w:t>
      </w:r>
    </w:p>
    <w:p>
      <w:pPr>
        <w:pStyle w:val="ListBullet"/>
        <w:spacing w:after="40"/>
      </w:pPr>
      <w:r>
        <w:t>https://jsonforms.io/docs/tutorial/custom-renderers/</w:t>
      </w:r>
    </w:p>
    <w:p>
      <w:pPr>
        <w:pStyle w:val="Heading2"/>
      </w:pPr>
      <w:r>
        <w:t>19.24 Acceptance criteria - “best-in-class no-code”</w:t>
      </w:r>
    </w:p>
    <w:p>
      <w:pPr>
        <w:pStyle w:val="ListBullet"/>
        <w:spacing w:after="40"/>
      </w:pPr>
      <w:r>
        <w:t>A trained tenant maker can configure and publish a supported service variant without editing code or raw metadata.</w:t>
      </w:r>
    </w:p>
    <w:p>
      <w:pPr>
        <w:pStyle w:val="ListBullet"/>
        <w:spacing w:after="40"/>
      </w:pPr>
      <w:r>
        <w:t>Residence Certificate can be created from the canonical marketplace template, tailored for at least two tenants with different workflows and published as separate immutable offerings.</w:t>
      </w:r>
    </w:p>
    <w:p>
      <w:pPr>
        <w:pStyle w:val="ListBullet"/>
        <w:spacing w:after="40"/>
      </w:pPr>
      <w:r>
        <w:t>A materially different second service can be onboarded primarily through templates/configuration; any new platform capability is generic and architecture-reviewed.</w:t>
      </w:r>
    </w:p>
    <w:p>
      <w:pPr>
        <w:pStyle w:val="ListBullet"/>
        <w:spacing w:after="40"/>
      </w:pPr>
      <w:r>
        <w:t>Form and workflow previews match runtime semantics; designer output is deterministic and machine-validatable.</w:t>
      </w:r>
    </w:p>
    <w:p>
      <w:pPr>
        <w:pStyle w:val="ListBullet"/>
        <w:spacing w:after="40"/>
      </w:pPr>
      <w:r>
        <w:t>Every published service package has passing form/rules/workflow/evidence/tenant/security tests and an auditable maker-checker decision.</w:t>
      </w:r>
    </w:p>
    <w:p>
      <w:pPr>
        <w:pStyle w:val="ListBullet"/>
        <w:spacing w:after="40"/>
      </w:pPr>
      <w:r>
        <w:t>Template upgrades never silently alter live tenant offerings; tenants receive a diff/rebase workflow.</w:t>
      </w:r>
    </w:p>
    <w:p>
      <w:pPr>
        <w:pStyle w:val="ListBullet"/>
        <w:spacing w:after="40"/>
      </w:pPr>
      <w:r>
        <w:t>No tenant-supplied arbitrary JavaScript or workflow code is executed in the platform runtime.</w:t>
      </w:r>
    </w:p>
    <w:p>
      <w:pPr>
        <w:pStyle w:val="ListBullet"/>
        <w:spacing w:after="40"/>
      </w:pPr>
      <w:r>
        <w:t>AI-generated services remain drafts until deterministic validation, tests and authorized human approval are complete.</w:t>
      </w:r>
    </w:p>
    <w:tbl>
      <w:tblPr>
        <w:tblW w:type="auto" w:w="0"/>
        <w:jc w:val="center"/>
        <w:tblLook w:firstColumn="1" w:firstRow="1" w:lastColumn="0" w:lastRow="0" w:noHBand="0" w:noVBand="1" w:val="04A0"/>
      </w:tblPr>
      <w:tblGrid>
        <w:gridCol w:w="10166"/>
      </w:tblGrid>
      <w:tr>
        <w:tc>
          <w:tcPr>
            <w:tcW w:type="dxa" w:w="10166"/>
            <w:shd w:fill="EAF1F8"/>
            <w:tcMar>
              <w:top w:w="150" w:type="dxa"/>
              <w:start w:w="160" w:type="dxa"/>
              <w:bottom w:w="150" w:type="dxa"/>
              <w:end w:w="160" w:type="dxa"/>
            </w:tcMar>
          </w:tcPr>
          <w:p>
            <w:pPr>
              <w:jc w:val="left"/>
            </w:pPr>
            <w:r/>
            <w:r>
              <w:rPr>
                <w:b/>
                <w:color w:val="17365D"/>
                <w:sz w:val="20"/>
              </w:rPr>
              <w:t>Architecture priority: The Service Design Studio is a top-tier product deliverable. A national catalogue is operationally scalable only when centrally pre-created templates can be safely inherited and adapted by thousands of tenants without bespoke development.</w:t>
            </w:r>
          </w:p>
        </w:tc>
      </w:tr>
    </w:tbl>
    <w:p>
      <w:r>
        <w:br w:type="page"/>
      </w:r>
    </w:p>
    <w:p>
      <w:pPr>
        <w:pStyle w:val="Heading1"/>
      </w:pPr>
      <w:r>
        <w:t>20. Tenant-Aware Authorization and Workflow Runtime Integration</w:t>
      </w:r>
    </w:p>
    <w:tbl>
      <w:tblPr>
        <w:tblW w:type="auto" w:w="0"/>
        <w:jc w:val="center"/>
        <w:tblLook w:firstColumn="1" w:firstRow="1" w:lastColumn="0" w:lastRow="0" w:noHBand="0" w:noVBand="1" w:val="04A0"/>
      </w:tblPr>
      <w:tblGrid>
        <w:gridCol w:w="10166"/>
      </w:tblGrid>
      <w:tr>
        <w:tc>
          <w:tcPr>
            <w:tcW w:type="dxa" w:w="10166"/>
            <w:shd w:fill="EAF1F8"/>
            <w:tcMar>
              <w:top w:w="150" w:type="dxa"/>
              <w:start w:w="160" w:type="dxa"/>
              <w:bottom w:w="150" w:type="dxa"/>
              <w:end w:w="160" w:type="dxa"/>
            </w:tcMar>
          </w:tcPr>
          <w:p>
            <w:r/>
            <w:r>
              <w:rPr>
                <w:b/>
                <w:color w:val="17365D"/>
                <w:sz w:val="20"/>
              </w:rPr>
              <w:t>Normative integration decision: tenants configure access policy and workflow through ServiceForm Studio. Tenants never write Rego, Temporal SDK code or tenant-specific backend workflow classes. ServiceForm compiles/publishes tenant-aware metadata; OPA, GoRules, PostgreSQL RLS and the generic Temporal runtime execute that metadata within strict responsibility boundaries.</w:t>
            </w:r>
          </w:p>
        </w:tc>
      </w:tr>
    </w:tbl>
    <w:p>
      <w:pPr>
        <w:jc w:val="center"/>
      </w:pPr>
      <w:r>
        <w:drawing>
          <wp:inline xmlns:a="http://schemas.openxmlformats.org/drawingml/2006/main" xmlns:pic="http://schemas.openxmlformats.org/drawingml/2006/picture">
            <wp:extent cx="6309360" cy="3740549"/>
            <wp:docPr id="13" name="Picture 13"/>
            <wp:cNvGraphicFramePr>
              <a:graphicFrameLocks noChangeAspect="1"/>
            </wp:cNvGraphicFramePr>
            <a:graphic>
              <a:graphicData uri="http://schemas.openxmlformats.org/drawingml/2006/picture">
                <pic:pic>
                  <pic:nvPicPr>
                    <pic:cNvPr id="0" name="tenant_runtime_integration.png"/>
                    <pic:cNvPicPr/>
                  </pic:nvPicPr>
                  <pic:blipFill>
                    <a:blip r:embed="rId23"/>
                    <a:stretch>
                      <a:fillRect/>
                    </a:stretch>
                  </pic:blipFill>
                  <pic:spPr>
                    <a:xfrm>
                      <a:off x="0" y="0"/>
                      <a:ext cx="6309360" cy="3740549"/>
                    </a:xfrm>
                    <a:prstGeom prst="rect"/>
                  </pic:spPr>
                </pic:pic>
              </a:graphicData>
            </a:graphic>
          </wp:inline>
        </w:drawing>
      </w:r>
    </w:p>
    <w:p>
      <w:pPr>
        <w:pStyle w:val="Caption"/>
        <w:jc w:val="center"/>
      </w:pPr>
      <w:r>
        <w:t>Figure 9 - Tenant-aware runtime responsibility boundaries</w:t>
      </w:r>
    </w:p>
    <w:p>
      <w:pPr>
        <w:pStyle w:val="Heading2"/>
      </w:pPr>
      <w:r>
        <w:t>20.1 Runtime responsibility model</w:t>
      </w:r>
    </w:p>
    <w:tbl>
      <w:tblPr>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tcMar>
              <w:top w:w="90" w:type="dxa"/>
              <w:start w:w="110" w:type="dxa"/>
              <w:bottom w:w="90" w:type="dxa"/>
              <w:end w:w="110" w:type="dxa"/>
            </w:tcMar>
            <w:shd w:fill="17365D"/>
          </w:tcPr>
          <w:p>
            <w:pPr>
              <w:spacing w:after="40" w:before="40"/>
            </w:pPr>
            <w:r>
              <w:rPr>
                <w:rFonts w:ascii="Aptos" w:hAnsi="Aptos"/>
                <w:b/>
                <w:color w:val="FFFFFF"/>
                <w:sz w:val="18"/>
              </w:rPr>
              <w:t>Engine / control</w:t>
            </w:r>
          </w:p>
        </w:tc>
        <w:tc>
          <w:tcPr>
            <w:tcW w:type="dxa" w:w="4392"/>
            <w:vAlign w:val="center"/>
            <w:tcMar>
              <w:top w:w="90" w:type="dxa"/>
              <w:start w:w="110" w:type="dxa"/>
              <w:bottom w:w="90" w:type="dxa"/>
              <w:end w:w="110" w:type="dxa"/>
            </w:tcMar>
            <w:shd w:fill="17365D"/>
          </w:tcPr>
          <w:p>
            <w:pPr>
              <w:spacing w:after="40" w:before="40"/>
            </w:pPr>
            <w:r>
              <w:rPr>
                <w:rFonts w:ascii="Aptos" w:hAnsi="Aptos"/>
                <w:b/>
                <w:color w:val="FFFFFF"/>
                <w:sz w:val="18"/>
              </w:rPr>
              <w:t>Authoritative responsibility</w:t>
            </w:r>
          </w:p>
        </w:tc>
        <w:tc>
          <w:tcPr>
            <w:tcW w:type="dxa" w:w="3384"/>
            <w:vAlign w:val="center"/>
            <w:tcMar>
              <w:top w:w="90" w:type="dxa"/>
              <w:start w:w="110" w:type="dxa"/>
              <w:bottom w:w="90" w:type="dxa"/>
              <w:end w:w="110" w:type="dxa"/>
            </w:tcMar>
            <w:shd w:fill="17365D"/>
          </w:tcPr>
          <w:p>
            <w:pPr>
              <w:spacing w:after="40" w:before="40"/>
            </w:pPr>
            <w:r>
              <w:rPr>
                <w:rFonts w:ascii="Aptos" w:hAnsi="Aptos"/>
                <w:b/>
                <w:color w:val="FFFFFF"/>
                <w:sz w:val="18"/>
              </w:rPr>
              <w:t>Must NOT do</w:t>
            </w:r>
          </w:p>
        </w:tc>
      </w:tr>
      <w:tr>
        <w:tc>
          <w:tcPr>
            <w:tcW w:type="dxa" w:w="1944"/>
            <w:vAlign w:val="center"/>
            <w:tcMar>
              <w:top w:w="90" w:type="dxa"/>
              <w:start w:w="110" w:type="dxa"/>
              <w:bottom w:w="90" w:type="dxa"/>
              <w:end w:w="110" w:type="dxa"/>
            </w:tcMar>
          </w:tcPr>
          <w:p>
            <w:pPr>
              <w:spacing w:after="40" w:before="40"/>
            </w:pPr>
            <w:r>
              <w:rPr>
                <w:rFonts w:ascii="Aptos" w:hAnsi="Aptos"/>
                <w:sz w:val="18"/>
              </w:rPr>
              <w:t>OPA</w:t>
            </w:r>
          </w:p>
        </w:tc>
        <w:tc>
          <w:tcPr>
            <w:tcW w:type="dxa" w:w="4392"/>
            <w:vAlign w:val="center"/>
            <w:tcMar>
              <w:top w:w="90" w:type="dxa"/>
              <w:start w:w="110" w:type="dxa"/>
              <w:bottom w:w="90" w:type="dxa"/>
              <w:end w:w="110" w:type="dxa"/>
            </w:tcMar>
          </w:tcPr>
          <w:p>
            <w:pPr>
              <w:spacing w:after="40" w:before="40"/>
            </w:pPr>
            <w:r>
              <w:rPr>
                <w:rFonts w:ascii="Aptos" w:hAnsi="Aptos"/>
                <w:sz w:val="18"/>
              </w:rPr>
              <w:t>Authorization: may this authenticated subject perform this action on this resource in this tenant/organisation/jurisdiction/service/workflow context?</w:t>
            </w:r>
          </w:p>
        </w:tc>
        <w:tc>
          <w:tcPr>
            <w:tcW w:type="dxa" w:w="3384"/>
            <w:vAlign w:val="center"/>
            <w:tcMar>
              <w:top w:w="90" w:type="dxa"/>
              <w:start w:w="110" w:type="dxa"/>
              <w:bottom w:w="90" w:type="dxa"/>
              <w:end w:w="110" w:type="dxa"/>
            </w:tcMar>
          </w:tcPr>
          <w:p>
            <w:pPr>
              <w:spacing w:after="40" w:before="40"/>
            </w:pPr>
            <w:r>
              <w:rPr>
                <w:rFonts w:ascii="Aptos" w:hAnsi="Aptos"/>
                <w:sz w:val="18"/>
              </w:rPr>
              <w:t>Statutory eligibility, case approval, workflow sequencing, database row filtering.</w:t>
            </w:r>
          </w:p>
        </w:tc>
      </w:tr>
      <w:tr>
        <w:tc>
          <w:tcPr>
            <w:tcW w:type="dxa" w:w="1944"/>
            <w:vAlign w:val="center"/>
            <w:tcMar>
              <w:top w:w="90" w:type="dxa"/>
              <w:start w:w="110" w:type="dxa"/>
              <w:bottom w:w="90" w:type="dxa"/>
              <w:end w:w="110" w:type="dxa"/>
            </w:tcMar>
          </w:tcPr>
          <w:p>
            <w:pPr>
              <w:spacing w:after="40" w:before="40"/>
            </w:pPr>
            <w:r>
              <w:rPr>
                <w:rFonts w:ascii="Aptos" w:hAnsi="Aptos"/>
                <w:sz w:val="18"/>
              </w:rPr>
              <w:t>GoRules / ZEN</w:t>
            </w:r>
          </w:p>
        </w:tc>
        <w:tc>
          <w:tcPr>
            <w:tcW w:type="dxa" w:w="4392"/>
            <w:vAlign w:val="center"/>
            <w:tcMar>
              <w:top w:w="90" w:type="dxa"/>
              <w:start w:w="110" w:type="dxa"/>
              <w:bottom w:w="90" w:type="dxa"/>
              <w:end w:w="110" w:type="dxa"/>
            </w:tcMar>
          </w:tcPr>
          <w:p>
            <w:pPr>
              <w:spacing w:after="40" w:before="40"/>
            </w:pPr>
            <w:r>
              <w:rPr>
                <w:rFonts w:ascii="Aptos" w:hAnsi="Aptos"/>
                <w:sz w:val="18"/>
              </w:rPr>
              <w:t>Deterministic business rules: eligibility, evidence requirements, fees, routing conditions and service-specific calculations.</w:t>
            </w:r>
          </w:p>
        </w:tc>
        <w:tc>
          <w:tcPr>
            <w:tcW w:type="dxa" w:w="3384"/>
            <w:vAlign w:val="center"/>
            <w:tcMar>
              <w:top w:w="90" w:type="dxa"/>
              <w:start w:w="110" w:type="dxa"/>
              <w:bottom w:w="90" w:type="dxa"/>
              <w:end w:w="110" w:type="dxa"/>
            </w:tcMar>
          </w:tcPr>
          <w:p>
            <w:pPr>
              <w:spacing w:after="40" w:before="40"/>
            </w:pPr>
            <w:r>
              <w:rPr>
                <w:rFonts w:ascii="Aptos" w:hAnsi="Aptos"/>
                <w:sz w:val="18"/>
              </w:rPr>
              <w:t>Identity authentication, tenant authorization, durable process state.</w:t>
            </w:r>
          </w:p>
        </w:tc>
      </w:tr>
      <w:tr>
        <w:tc>
          <w:tcPr>
            <w:tcW w:type="dxa" w:w="1944"/>
            <w:vAlign w:val="center"/>
            <w:tcMar>
              <w:top w:w="90" w:type="dxa"/>
              <w:start w:w="110" w:type="dxa"/>
              <w:bottom w:w="90" w:type="dxa"/>
              <w:end w:w="110" w:type="dxa"/>
            </w:tcMar>
          </w:tcPr>
          <w:p>
            <w:pPr>
              <w:spacing w:after="40" w:before="40"/>
            </w:pPr>
            <w:r>
              <w:rPr>
                <w:rFonts w:ascii="Aptos" w:hAnsi="Aptos"/>
                <w:sz w:val="18"/>
              </w:rPr>
              <w:t>Temporal</w:t>
            </w:r>
          </w:p>
        </w:tc>
        <w:tc>
          <w:tcPr>
            <w:tcW w:type="dxa" w:w="4392"/>
            <w:vAlign w:val="center"/>
            <w:tcMar>
              <w:top w:w="90" w:type="dxa"/>
              <w:start w:w="110" w:type="dxa"/>
              <w:bottom w:w="90" w:type="dxa"/>
              <w:end w:w="110" w:type="dxa"/>
            </w:tcMar>
          </w:tcPr>
          <w:p>
            <w:pPr>
              <w:spacing w:after="40" w:before="40"/>
            </w:pPr>
            <w:r>
              <w:rPr>
                <w:rFonts w:ascii="Aptos" w:hAnsi="Aptos"/>
                <w:sz w:val="18"/>
              </w:rPr>
              <w:t>Durable orchestration: sequence, wait, retry, timer, signal/update, activity execution and recovery.</w:t>
            </w:r>
          </w:p>
        </w:tc>
        <w:tc>
          <w:tcPr>
            <w:tcW w:type="dxa" w:w="3384"/>
            <w:vAlign w:val="center"/>
            <w:tcMar>
              <w:top w:w="90" w:type="dxa"/>
              <w:start w:w="110" w:type="dxa"/>
              <w:bottom w:w="90" w:type="dxa"/>
              <w:end w:w="110" w:type="dxa"/>
            </w:tcMar>
          </w:tcPr>
          <w:p>
            <w:pPr>
              <w:spacing w:after="40" w:before="40"/>
            </w:pPr>
            <w:r>
              <w:rPr>
                <w:rFonts w:ascii="Aptos" w:hAnsi="Aptos"/>
                <w:sz w:val="18"/>
              </w:rPr>
              <w:t>Decide legal eligibility, grant permissions, become the business system of record.</w:t>
            </w:r>
          </w:p>
        </w:tc>
      </w:tr>
      <w:tr>
        <w:tc>
          <w:tcPr>
            <w:tcW w:type="dxa" w:w="1944"/>
            <w:vAlign w:val="center"/>
            <w:tcMar>
              <w:top w:w="90" w:type="dxa"/>
              <w:start w:w="110" w:type="dxa"/>
              <w:bottom w:w="90" w:type="dxa"/>
              <w:end w:w="110" w:type="dxa"/>
            </w:tcMar>
          </w:tcPr>
          <w:p>
            <w:pPr>
              <w:spacing w:after="40" w:before="40"/>
            </w:pPr>
            <w:r>
              <w:rPr>
                <w:rFonts w:ascii="Aptos" w:hAnsi="Aptos"/>
                <w:sz w:val="18"/>
              </w:rPr>
              <w:t>PostgreSQL + RLS</w:t>
            </w:r>
          </w:p>
        </w:tc>
        <w:tc>
          <w:tcPr>
            <w:tcW w:type="dxa" w:w="4392"/>
            <w:vAlign w:val="center"/>
            <w:tcMar>
              <w:top w:w="90" w:type="dxa"/>
              <w:start w:w="110" w:type="dxa"/>
              <w:bottom w:w="90" w:type="dxa"/>
              <w:end w:w="110" w:type="dxa"/>
            </w:tcMar>
          </w:tcPr>
          <w:p>
            <w:pPr>
              <w:spacing w:after="40" w:before="40"/>
            </w:pPr>
            <w:r>
              <w:rPr>
                <w:rFonts w:ascii="Aptos" w:hAnsi="Aptos"/>
                <w:sz w:val="18"/>
              </w:rPr>
              <w:t>Authoritative application/case/task/policy metadata and hard tenant row isolation.</w:t>
            </w:r>
          </w:p>
        </w:tc>
        <w:tc>
          <w:tcPr>
            <w:tcW w:type="dxa" w:w="3384"/>
            <w:vAlign w:val="center"/>
            <w:tcMar>
              <w:top w:w="90" w:type="dxa"/>
              <w:start w:w="110" w:type="dxa"/>
              <w:bottom w:w="90" w:type="dxa"/>
              <w:end w:w="110" w:type="dxa"/>
            </w:tcMar>
          </w:tcPr>
          <w:p>
            <w:pPr>
              <w:spacing w:after="40" w:before="40"/>
            </w:pPr>
            <w:r>
              <w:rPr>
                <w:rFonts w:ascii="Aptos" w:hAnsi="Aptos"/>
                <w:sz w:val="18"/>
              </w:rPr>
              <w:t>Act as workflow engine or policy decision engine.</w:t>
            </w:r>
          </w:p>
        </w:tc>
      </w:tr>
      <w:tr>
        <w:tc>
          <w:tcPr>
            <w:tcW w:type="dxa" w:w="1944"/>
            <w:vAlign w:val="center"/>
            <w:tcMar>
              <w:top w:w="90" w:type="dxa"/>
              <w:start w:w="110" w:type="dxa"/>
              <w:bottom w:w="90" w:type="dxa"/>
              <w:end w:w="110" w:type="dxa"/>
            </w:tcMar>
          </w:tcPr>
          <w:p>
            <w:pPr>
              <w:spacing w:after="40" w:before="40"/>
            </w:pPr>
            <w:r>
              <w:rPr>
                <w:rFonts w:ascii="Aptos" w:hAnsi="Aptos"/>
                <w:sz w:val="18"/>
              </w:rPr>
              <w:t>ServiceForm Task Service</w:t>
            </w:r>
          </w:p>
        </w:tc>
        <w:tc>
          <w:tcPr>
            <w:tcW w:type="dxa" w:w="4392"/>
            <w:vAlign w:val="center"/>
            <w:tcMar>
              <w:top w:w="90" w:type="dxa"/>
              <w:start w:w="110" w:type="dxa"/>
              <w:bottom w:w="90" w:type="dxa"/>
              <w:end w:w="110" w:type="dxa"/>
            </w:tcMar>
          </w:tcPr>
          <w:p>
            <w:pPr>
              <w:spacing w:after="40" w:before="40"/>
            </w:pPr>
            <w:r>
              <w:rPr>
                <w:rFonts w:ascii="Aptos" w:hAnsi="Aptos"/>
                <w:sz w:val="18"/>
              </w:rPr>
              <w:t>Human task records, queues, claim/reassign/delegate/complete UX and audit.</w:t>
            </w:r>
          </w:p>
        </w:tc>
        <w:tc>
          <w:tcPr>
            <w:tcW w:type="dxa" w:w="3384"/>
            <w:vAlign w:val="center"/>
            <w:tcMar>
              <w:top w:w="90" w:type="dxa"/>
              <w:start w:w="110" w:type="dxa"/>
              <w:bottom w:w="90" w:type="dxa"/>
              <w:end w:w="110" w:type="dxa"/>
            </w:tcMar>
          </w:tcPr>
          <w:p>
            <w:pPr>
              <w:spacing w:after="40" w:before="40"/>
            </w:pPr>
            <w:r>
              <w:rPr>
                <w:rFonts w:ascii="Aptos" w:hAnsi="Aptos"/>
                <w:sz w:val="18"/>
              </w:rPr>
              <w:t>Replace Temporal durability or OPA authorization.</w:t>
            </w:r>
          </w:p>
        </w:tc>
      </w:tr>
    </w:tbl>
    <w:p>
      <w:pPr>
        <w:pStyle w:val="Heading2"/>
      </w:pPr>
      <w:r>
        <w:t>20.2 Tenant context contract</w:t>
      </w:r>
    </w:p>
    <w:p>
      <w:pPr>
        <w:spacing w:after="120"/>
      </w:pPr>
      <w:r>
        <w:t>Every runtime request and background operation must carry a trusted server-derived tenant context. Client-supplied tenant headers or form fields are never accepted as the authoritative tenant identity.</w:t>
      </w:r>
    </w:p>
    <w:tbl>
      <w:tblPr>
        <w:tblW w:type="auto" w:w="0"/>
        <w:jc w:val="center"/>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7365D"/>
          </w:tcPr>
          <w:p>
            <w:pPr>
              <w:spacing w:after="40" w:before="40"/>
            </w:pPr>
            <w:r>
              <w:rPr>
                <w:rFonts w:ascii="Aptos" w:hAnsi="Aptos"/>
                <w:b/>
                <w:color w:val="FFFFFF"/>
                <w:sz w:val="18"/>
              </w:rPr>
              <w:t>Context field</w:t>
            </w:r>
          </w:p>
        </w:tc>
        <w:tc>
          <w:tcPr>
            <w:tcW w:type="dxa" w:w="7128"/>
            <w:vAlign w:val="center"/>
            <w:tcMar>
              <w:top w:w="90" w:type="dxa"/>
              <w:start w:w="110" w:type="dxa"/>
              <w:bottom w:w="90" w:type="dxa"/>
              <w:end w:w="110" w:type="dxa"/>
            </w:tcMar>
            <w:shd w:fill="17365D"/>
          </w:tcPr>
          <w:p>
            <w:pPr>
              <w:spacing w:after="40" w:before="40"/>
            </w:pPr>
            <w:r>
              <w:rPr>
                <w:rFonts w:ascii="Aptos" w:hAnsi="Aptos"/>
                <w:b/>
                <w:color w:val="FFFFFF"/>
                <w:sz w:val="18"/>
              </w:rPr>
              <w:t>Source / meaning</w:t>
            </w:r>
          </w:p>
        </w:tc>
      </w:tr>
      <w:tr>
        <w:tc>
          <w:tcPr>
            <w:tcW w:type="dxa" w:w="2592"/>
            <w:vAlign w:val="center"/>
            <w:tcMar>
              <w:top w:w="90" w:type="dxa"/>
              <w:start w:w="110" w:type="dxa"/>
              <w:bottom w:w="90" w:type="dxa"/>
              <w:end w:w="110" w:type="dxa"/>
            </w:tcMar>
          </w:tcPr>
          <w:p>
            <w:pPr>
              <w:spacing w:after="40" w:before="40"/>
            </w:pPr>
            <w:r>
              <w:rPr>
                <w:rFonts w:ascii="Aptos" w:hAnsi="Aptos"/>
                <w:sz w:val="18"/>
              </w:rPr>
              <w:t>tenant_id</w:t>
            </w:r>
          </w:p>
        </w:tc>
        <w:tc>
          <w:tcPr>
            <w:tcW w:type="dxa" w:w="7128"/>
            <w:vAlign w:val="center"/>
            <w:tcMar>
              <w:top w:w="90" w:type="dxa"/>
              <w:start w:w="110" w:type="dxa"/>
              <w:bottom w:w="90" w:type="dxa"/>
              <w:end w:w="110" w:type="dxa"/>
            </w:tcMar>
          </w:tcPr>
          <w:p>
            <w:pPr>
              <w:spacing w:after="40" w:before="40"/>
            </w:pPr>
            <w:r>
              <w:rPr>
                <w:rFonts w:ascii="Aptos" w:hAnsi="Aptos"/>
                <w:sz w:val="18"/>
              </w:rPr>
              <w:t>Resolved from authenticated identity, tenant binding and server-side routing.</w:t>
            </w:r>
          </w:p>
        </w:tc>
      </w:tr>
      <w:tr>
        <w:tc>
          <w:tcPr>
            <w:tcW w:type="dxa" w:w="2592"/>
            <w:vAlign w:val="center"/>
            <w:tcMar>
              <w:top w:w="90" w:type="dxa"/>
              <w:start w:w="110" w:type="dxa"/>
              <w:bottom w:w="90" w:type="dxa"/>
              <w:end w:w="110" w:type="dxa"/>
            </w:tcMar>
          </w:tcPr>
          <w:p>
            <w:pPr>
              <w:spacing w:after="40" w:before="40"/>
            </w:pPr>
            <w:r>
              <w:rPr>
                <w:rFonts w:ascii="Aptos" w:hAnsi="Aptos"/>
                <w:sz w:val="18"/>
              </w:rPr>
              <w:t>organisation_id / office_id</w:t>
            </w:r>
          </w:p>
        </w:tc>
        <w:tc>
          <w:tcPr>
            <w:tcW w:type="dxa" w:w="7128"/>
            <w:vAlign w:val="center"/>
            <w:tcMar>
              <w:top w:w="90" w:type="dxa"/>
              <w:start w:w="110" w:type="dxa"/>
              <w:bottom w:w="90" w:type="dxa"/>
              <w:end w:w="110" w:type="dxa"/>
            </w:tcMar>
          </w:tcPr>
          <w:p>
            <w:pPr>
              <w:spacing w:after="40" w:before="40"/>
            </w:pPr>
            <w:r>
              <w:rPr>
                <w:rFonts w:ascii="Aptos" w:hAnsi="Aptos"/>
                <w:sz w:val="18"/>
              </w:rPr>
              <w:t>Officer or service-provider organisational scope.</w:t>
            </w:r>
          </w:p>
        </w:tc>
      </w:tr>
      <w:tr>
        <w:tc>
          <w:tcPr>
            <w:tcW w:type="dxa" w:w="2592"/>
            <w:vAlign w:val="center"/>
            <w:tcMar>
              <w:top w:w="90" w:type="dxa"/>
              <w:start w:w="110" w:type="dxa"/>
              <w:bottom w:w="90" w:type="dxa"/>
              <w:end w:w="110" w:type="dxa"/>
            </w:tcMar>
          </w:tcPr>
          <w:p>
            <w:pPr>
              <w:spacing w:after="40" w:before="40"/>
            </w:pPr>
            <w:r>
              <w:rPr>
                <w:rFonts w:ascii="Aptos" w:hAnsi="Aptos"/>
                <w:sz w:val="18"/>
              </w:rPr>
              <w:t>jurisdiction_ids</w:t>
            </w:r>
          </w:p>
        </w:tc>
        <w:tc>
          <w:tcPr>
            <w:tcW w:type="dxa" w:w="7128"/>
            <w:vAlign w:val="center"/>
            <w:tcMar>
              <w:top w:w="90" w:type="dxa"/>
              <w:start w:w="110" w:type="dxa"/>
              <w:bottom w:w="90" w:type="dxa"/>
              <w:end w:w="110" w:type="dxa"/>
            </w:tcMar>
          </w:tcPr>
          <w:p>
            <w:pPr>
              <w:spacing w:after="40" w:before="40"/>
            </w:pPr>
            <w:r>
              <w:rPr>
                <w:rFonts w:ascii="Aptos" w:hAnsi="Aptos"/>
                <w:sz w:val="18"/>
              </w:rPr>
              <w:t>Authorized geographic/administrative scope, including explicit delegation where applicable.</w:t>
            </w:r>
          </w:p>
        </w:tc>
      </w:tr>
      <w:tr>
        <w:tc>
          <w:tcPr>
            <w:tcW w:type="dxa" w:w="2592"/>
            <w:vAlign w:val="center"/>
            <w:tcMar>
              <w:top w:w="90" w:type="dxa"/>
              <w:start w:w="110" w:type="dxa"/>
              <w:bottom w:w="90" w:type="dxa"/>
              <w:end w:w="110" w:type="dxa"/>
            </w:tcMar>
          </w:tcPr>
          <w:p>
            <w:pPr>
              <w:spacing w:after="40" w:before="40"/>
            </w:pPr>
            <w:r>
              <w:rPr>
                <w:rFonts w:ascii="Aptos" w:hAnsi="Aptos"/>
                <w:sz w:val="18"/>
              </w:rPr>
              <w:t>roles / permissions</w:t>
            </w:r>
          </w:p>
        </w:tc>
        <w:tc>
          <w:tcPr>
            <w:tcW w:type="dxa" w:w="7128"/>
            <w:vAlign w:val="center"/>
            <w:tcMar>
              <w:top w:w="90" w:type="dxa"/>
              <w:start w:w="110" w:type="dxa"/>
              <w:bottom w:w="90" w:type="dxa"/>
              <w:end w:w="110" w:type="dxa"/>
            </w:tcMar>
          </w:tcPr>
          <w:p>
            <w:pPr>
              <w:spacing w:after="40" w:before="40"/>
            </w:pPr>
            <w:r>
              <w:rPr>
                <w:rFonts w:ascii="Aptos" w:hAnsi="Aptos"/>
                <w:sz w:val="18"/>
              </w:rPr>
              <w:t>Resolved platform/domain roles; never blindly trusted from UI input.</w:t>
            </w:r>
          </w:p>
        </w:tc>
      </w:tr>
      <w:tr>
        <w:tc>
          <w:tcPr>
            <w:tcW w:type="dxa" w:w="2592"/>
            <w:vAlign w:val="center"/>
            <w:tcMar>
              <w:top w:w="90" w:type="dxa"/>
              <w:start w:w="110" w:type="dxa"/>
              <w:bottom w:w="90" w:type="dxa"/>
              <w:end w:w="110" w:type="dxa"/>
            </w:tcMar>
          </w:tcPr>
          <w:p>
            <w:pPr>
              <w:spacing w:after="40" w:before="40"/>
            </w:pPr>
            <w:r>
              <w:rPr>
                <w:rFonts w:ascii="Aptos" w:hAnsi="Aptos"/>
                <w:sz w:val="18"/>
              </w:rPr>
              <w:t>service_offering_id</w:t>
            </w:r>
          </w:p>
        </w:tc>
        <w:tc>
          <w:tcPr>
            <w:tcW w:type="dxa" w:w="7128"/>
            <w:vAlign w:val="center"/>
            <w:tcMar>
              <w:top w:w="90" w:type="dxa"/>
              <w:start w:w="110" w:type="dxa"/>
              <w:bottom w:w="90" w:type="dxa"/>
              <w:end w:w="110" w:type="dxa"/>
            </w:tcMar>
          </w:tcPr>
          <w:p>
            <w:pPr>
              <w:spacing w:after="40" w:before="40"/>
            </w:pPr>
            <w:r>
              <w:rPr>
                <w:rFonts w:ascii="Aptos" w:hAnsi="Aptos"/>
                <w:sz w:val="18"/>
              </w:rPr>
              <w:t>Published tenant-local service offering being accessed.</w:t>
            </w:r>
          </w:p>
        </w:tc>
      </w:tr>
      <w:tr>
        <w:tc>
          <w:tcPr>
            <w:tcW w:type="dxa" w:w="2592"/>
            <w:vAlign w:val="center"/>
            <w:tcMar>
              <w:top w:w="90" w:type="dxa"/>
              <w:start w:w="110" w:type="dxa"/>
              <w:bottom w:w="90" w:type="dxa"/>
              <w:end w:w="110" w:type="dxa"/>
            </w:tcMar>
          </w:tcPr>
          <w:p>
            <w:pPr>
              <w:spacing w:after="40" w:before="40"/>
            </w:pPr>
            <w:r>
              <w:rPr>
                <w:rFonts w:ascii="Aptos" w:hAnsi="Aptos"/>
                <w:sz w:val="18"/>
              </w:rPr>
              <w:t>application_id / task_id</w:t>
            </w:r>
          </w:p>
        </w:tc>
        <w:tc>
          <w:tcPr>
            <w:tcW w:type="dxa" w:w="7128"/>
            <w:vAlign w:val="center"/>
            <w:tcMar>
              <w:top w:w="90" w:type="dxa"/>
              <w:start w:w="110" w:type="dxa"/>
              <w:bottom w:w="90" w:type="dxa"/>
              <w:end w:w="110" w:type="dxa"/>
            </w:tcMar>
          </w:tcPr>
          <w:p>
            <w:pPr>
              <w:spacing w:after="40" w:before="40"/>
            </w:pPr>
            <w:r>
              <w:rPr>
                <w:rFonts w:ascii="Aptos" w:hAnsi="Aptos"/>
                <w:sz w:val="18"/>
              </w:rPr>
              <w:t>Target aggregate/resource when applicable.</w:t>
            </w:r>
          </w:p>
        </w:tc>
      </w:tr>
      <w:tr>
        <w:tc>
          <w:tcPr>
            <w:tcW w:type="dxa" w:w="2592"/>
            <w:vAlign w:val="center"/>
            <w:tcMar>
              <w:top w:w="90" w:type="dxa"/>
              <w:start w:w="110" w:type="dxa"/>
              <w:bottom w:w="90" w:type="dxa"/>
              <w:end w:w="110" w:type="dxa"/>
            </w:tcMar>
          </w:tcPr>
          <w:p>
            <w:pPr>
              <w:spacing w:after="40" w:before="40"/>
            </w:pPr>
            <w:r>
              <w:rPr>
                <w:rFonts w:ascii="Aptos" w:hAnsi="Aptos"/>
                <w:sz w:val="18"/>
              </w:rPr>
              <w:t>workflow_node_id</w:t>
            </w:r>
          </w:p>
        </w:tc>
        <w:tc>
          <w:tcPr>
            <w:tcW w:type="dxa" w:w="7128"/>
            <w:vAlign w:val="center"/>
            <w:tcMar>
              <w:top w:w="90" w:type="dxa"/>
              <w:start w:w="110" w:type="dxa"/>
              <w:bottom w:w="90" w:type="dxa"/>
              <w:end w:w="110" w:type="dxa"/>
            </w:tcMar>
          </w:tcPr>
          <w:p>
            <w:pPr>
              <w:spacing w:after="40" w:before="40"/>
            </w:pPr>
            <w:r>
              <w:rPr>
                <w:rFonts w:ascii="Aptos" w:hAnsi="Aptos"/>
                <w:sz w:val="18"/>
              </w:rPr>
              <w:t>Current task/activity context used for action authorization.</w:t>
            </w:r>
          </w:p>
        </w:tc>
      </w:tr>
      <w:tr>
        <w:tc>
          <w:tcPr>
            <w:tcW w:type="dxa" w:w="2592"/>
            <w:vAlign w:val="center"/>
            <w:tcMar>
              <w:top w:w="90" w:type="dxa"/>
              <w:start w:w="110" w:type="dxa"/>
              <w:bottom w:w="90" w:type="dxa"/>
              <w:end w:w="110" w:type="dxa"/>
            </w:tcMar>
          </w:tcPr>
          <w:p>
            <w:pPr>
              <w:spacing w:after="40" w:before="40"/>
            </w:pPr>
            <w:r>
              <w:rPr>
                <w:rFonts w:ascii="Aptos" w:hAnsi="Aptos"/>
                <w:sz w:val="18"/>
              </w:rPr>
              <w:t>policy_version_id</w:t>
            </w:r>
          </w:p>
        </w:tc>
        <w:tc>
          <w:tcPr>
            <w:tcW w:type="dxa" w:w="7128"/>
            <w:vAlign w:val="center"/>
            <w:tcMar>
              <w:top w:w="90" w:type="dxa"/>
              <w:start w:w="110" w:type="dxa"/>
              <w:bottom w:w="90" w:type="dxa"/>
              <w:end w:w="110" w:type="dxa"/>
            </w:tcMar>
          </w:tcPr>
          <w:p>
            <w:pPr>
              <w:spacing w:after="40" w:before="40"/>
            </w:pPr>
            <w:r>
              <w:rPr>
                <w:rFonts w:ascii="Aptos" w:hAnsi="Aptos"/>
                <w:sz w:val="18"/>
              </w:rPr>
              <w:t>Pinned/effective authorization policy version for traceability.</w:t>
            </w:r>
          </w:p>
        </w:tc>
      </w:tr>
      <w:tr>
        <w:tc>
          <w:tcPr>
            <w:tcW w:type="dxa" w:w="2592"/>
            <w:vAlign w:val="center"/>
            <w:tcMar>
              <w:top w:w="90" w:type="dxa"/>
              <w:start w:w="110" w:type="dxa"/>
              <w:bottom w:w="90" w:type="dxa"/>
              <w:end w:w="110" w:type="dxa"/>
            </w:tcMar>
          </w:tcPr>
          <w:p>
            <w:pPr>
              <w:spacing w:after="40" w:before="40"/>
            </w:pPr>
            <w:r>
              <w:rPr>
                <w:rFonts w:ascii="Aptos" w:hAnsi="Aptos"/>
                <w:sz w:val="18"/>
              </w:rPr>
              <w:t>correlation_id / trace_id</w:t>
            </w:r>
          </w:p>
        </w:tc>
        <w:tc>
          <w:tcPr>
            <w:tcW w:type="dxa" w:w="7128"/>
            <w:vAlign w:val="center"/>
            <w:tcMar>
              <w:top w:w="90" w:type="dxa"/>
              <w:start w:w="110" w:type="dxa"/>
              <w:bottom w:w="90" w:type="dxa"/>
              <w:end w:w="110" w:type="dxa"/>
            </w:tcMar>
          </w:tcPr>
          <w:p>
            <w:pPr>
              <w:spacing w:after="40" w:before="40"/>
            </w:pPr>
            <w:r>
              <w:rPr>
                <w:rFonts w:ascii="Aptos" w:hAnsi="Aptos"/>
                <w:sz w:val="18"/>
              </w:rPr>
              <w:t>End-to-end observability and audit linkage.</w:t>
            </w:r>
          </w:p>
        </w:tc>
      </w:tr>
    </w:tbl>
    <w:p>
      <w:pPr>
        <w:pStyle w:val="Heading2"/>
      </w:pPr>
      <w:r>
        <w:t>20.3 OPA interface architecture</w:t>
      </w:r>
    </w:p>
    <w:p>
      <w:pPr>
        <w:spacing w:after="120"/>
      </w:pPr>
      <w:r>
        <w:t>Fastify services act as Policy Enforcement Points (PEPs). For latency-sensitive EKS workloads, OPA should run locally as a sidecar in the same pod or an equivalently local pattern, with the REST/Data API used for named authorization decisions. OPA is a Policy Decision Point (PDP); application services enforce its decision.</w:t>
      </w:r>
    </w:p>
    <w:tbl>
      <w:tblPr>
        <w:tblW w:type="auto" w:w="0"/>
        <w:jc w:val="center"/>
        <w:tblLook w:firstColumn="1" w:firstRow="1" w:lastColumn="0" w:lastRow="0" w:noHBand="0" w:noVBand="1" w:val="04A0"/>
      </w:tblPr>
      <w:tblGrid>
        <w:gridCol w:w="5083"/>
        <w:gridCol w:w="5083"/>
      </w:tblGrid>
      <w:tr>
        <w:trPr>
          <w:tblHeader w:val="true"/>
        </w:trPr>
        <w:tc>
          <w:tcPr>
            <w:tcW w:type="dxa" w:w="2448"/>
            <w:vAlign w:val="center"/>
            <w:tcMar>
              <w:top w:w="90" w:type="dxa"/>
              <w:start w:w="110" w:type="dxa"/>
              <w:bottom w:w="90" w:type="dxa"/>
              <w:end w:w="110" w:type="dxa"/>
            </w:tcMar>
            <w:shd w:fill="17365D"/>
          </w:tcPr>
          <w:p>
            <w:pPr>
              <w:spacing w:after="40" w:before="40"/>
            </w:pPr>
            <w:r>
              <w:rPr>
                <w:rFonts w:ascii="Aptos" w:hAnsi="Aptos"/>
                <w:b/>
                <w:color w:val="FFFFFF"/>
                <w:sz w:val="18"/>
              </w:rPr>
              <w:t>OPA input block</w:t>
            </w:r>
          </w:p>
        </w:tc>
        <w:tc>
          <w:tcPr>
            <w:tcW w:type="dxa" w:w="7272"/>
            <w:vAlign w:val="center"/>
            <w:tcMar>
              <w:top w:w="90" w:type="dxa"/>
              <w:start w:w="110" w:type="dxa"/>
              <w:bottom w:w="90" w:type="dxa"/>
              <w:end w:w="110" w:type="dxa"/>
            </w:tcMar>
            <w:shd w:fill="17365D"/>
          </w:tcPr>
          <w:p>
            <w:pPr>
              <w:spacing w:after="40" w:before="40"/>
            </w:pPr>
            <w:r>
              <w:rPr>
                <w:rFonts w:ascii="Aptos" w:hAnsi="Aptos"/>
                <w:b/>
                <w:color w:val="FFFFFF"/>
                <w:sz w:val="18"/>
              </w:rPr>
              <w:t>Required examples</w:t>
            </w:r>
          </w:p>
        </w:tc>
      </w:tr>
      <w:tr>
        <w:tc>
          <w:tcPr>
            <w:tcW w:type="dxa" w:w="2448"/>
            <w:vAlign w:val="center"/>
            <w:tcMar>
              <w:top w:w="90" w:type="dxa"/>
              <w:start w:w="110" w:type="dxa"/>
              <w:bottom w:w="90" w:type="dxa"/>
              <w:end w:w="110" w:type="dxa"/>
            </w:tcMar>
          </w:tcPr>
          <w:p>
            <w:pPr>
              <w:spacing w:after="40" w:before="40"/>
            </w:pPr>
            <w:r>
              <w:rPr>
                <w:rFonts w:ascii="Aptos" w:hAnsi="Aptos"/>
                <w:sz w:val="18"/>
              </w:rPr>
              <w:t>subject</w:t>
            </w:r>
          </w:p>
        </w:tc>
        <w:tc>
          <w:tcPr>
            <w:tcW w:type="dxa" w:w="7272"/>
            <w:vAlign w:val="center"/>
            <w:tcMar>
              <w:top w:w="90" w:type="dxa"/>
              <w:start w:w="110" w:type="dxa"/>
              <w:bottom w:w="90" w:type="dxa"/>
              <w:end w:w="110" w:type="dxa"/>
            </w:tcMar>
          </w:tcPr>
          <w:p>
            <w:pPr>
              <w:spacing w:after="40" w:before="40"/>
            </w:pPr>
            <w:r>
              <w:rPr>
                <w:rFonts w:ascii="Aptos" w:hAnsi="Aptos"/>
                <w:sz w:val="18"/>
              </w:rPr>
              <w:t>user_id, actor_type, tenant_id, organisation_id, office_id, roles, jurisdiction_ids, assurance/delegation context.</w:t>
            </w:r>
          </w:p>
        </w:tc>
      </w:tr>
      <w:tr>
        <w:tc>
          <w:tcPr>
            <w:tcW w:type="dxa" w:w="2448"/>
            <w:vAlign w:val="center"/>
            <w:tcMar>
              <w:top w:w="90" w:type="dxa"/>
              <w:start w:w="110" w:type="dxa"/>
              <w:bottom w:w="90" w:type="dxa"/>
              <w:end w:w="110" w:type="dxa"/>
            </w:tcMar>
          </w:tcPr>
          <w:p>
            <w:pPr>
              <w:spacing w:after="40" w:before="40"/>
            </w:pPr>
            <w:r>
              <w:rPr>
                <w:rFonts w:ascii="Aptos" w:hAnsi="Aptos"/>
                <w:sz w:val="18"/>
              </w:rPr>
              <w:t>resource</w:t>
            </w:r>
          </w:p>
        </w:tc>
        <w:tc>
          <w:tcPr>
            <w:tcW w:type="dxa" w:w="7272"/>
            <w:vAlign w:val="center"/>
            <w:tcMar>
              <w:top w:w="90" w:type="dxa"/>
              <w:start w:w="110" w:type="dxa"/>
              <w:bottom w:w="90" w:type="dxa"/>
              <w:end w:w="110" w:type="dxa"/>
            </w:tcMar>
          </w:tcPr>
          <w:p>
            <w:pPr>
              <w:spacing w:after="40" w:before="40"/>
            </w:pPr>
            <w:r>
              <w:rPr>
                <w:rFonts w:ascii="Aptos" w:hAnsi="Aptos"/>
                <w:sz w:val="18"/>
              </w:rPr>
              <w:t>resource_type, tenant_id, organisation_id, jurisdiction_id, service_id, application_id/task_id, ownership/classification.</w:t>
            </w:r>
          </w:p>
        </w:tc>
      </w:tr>
      <w:tr>
        <w:tc>
          <w:tcPr>
            <w:tcW w:type="dxa" w:w="2448"/>
            <w:vAlign w:val="center"/>
            <w:tcMar>
              <w:top w:w="90" w:type="dxa"/>
              <w:start w:w="110" w:type="dxa"/>
              <w:bottom w:w="90" w:type="dxa"/>
              <w:end w:w="110" w:type="dxa"/>
            </w:tcMar>
          </w:tcPr>
          <w:p>
            <w:pPr>
              <w:spacing w:after="40" w:before="40"/>
            </w:pPr>
            <w:r>
              <w:rPr>
                <w:rFonts w:ascii="Aptos" w:hAnsi="Aptos"/>
                <w:sz w:val="18"/>
              </w:rPr>
              <w:t>action</w:t>
            </w:r>
          </w:p>
        </w:tc>
        <w:tc>
          <w:tcPr>
            <w:tcW w:type="dxa" w:w="7272"/>
            <w:vAlign w:val="center"/>
            <w:tcMar>
              <w:top w:w="90" w:type="dxa"/>
              <w:start w:w="110" w:type="dxa"/>
              <w:bottom w:w="90" w:type="dxa"/>
              <w:end w:w="110" w:type="dxa"/>
            </w:tcMar>
          </w:tcPr>
          <w:p>
            <w:pPr>
              <w:spacing w:after="40" w:before="40"/>
            </w:pPr>
            <w:r>
              <w:rPr>
                <w:rFonts w:ascii="Aptos" w:hAnsi="Aptos"/>
                <w:sz w:val="18"/>
              </w:rPr>
              <w:t>VIEW, CLAIM_TASK, VERIFY, RAISE_DEFICIENCY, APPROVE, REJECT, SIGN, PUBLISH_SERVICE, etc.</w:t>
            </w:r>
          </w:p>
        </w:tc>
      </w:tr>
      <w:tr>
        <w:tc>
          <w:tcPr>
            <w:tcW w:type="dxa" w:w="2448"/>
            <w:vAlign w:val="center"/>
            <w:tcMar>
              <w:top w:w="90" w:type="dxa"/>
              <w:start w:w="110" w:type="dxa"/>
              <w:bottom w:w="90" w:type="dxa"/>
              <w:end w:w="110" w:type="dxa"/>
            </w:tcMar>
          </w:tcPr>
          <w:p>
            <w:pPr>
              <w:spacing w:after="40" w:before="40"/>
            </w:pPr>
            <w:r>
              <w:rPr>
                <w:rFonts w:ascii="Aptos" w:hAnsi="Aptos"/>
                <w:sz w:val="18"/>
              </w:rPr>
              <w:t>workflow_context</w:t>
            </w:r>
          </w:p>
        </w:tc>
        <w:tc>
          <w:tcPr>
            <w:tcW w:type="dxa" w:w="7272"/>
            <w:vAlign w:val="center"/>
            <w:tcMar>
              <w:top w:w="90" w:type="dxa"/>
              <w:start w:w="110" w:type="dxa"/>
              <w:bottom w:w="90" w:type="dxa"/>
              <w:end w:w="110" w:type="dxa"/>
            </w:tcMar>
          </w:tcPr>
          <w:p>
            <w:pPr>
              <w:spacing w:after="40" w:before="40"/>
            </w:pPr>
            <w:r>
              <w:rPr>
                <w:rFonts w:ascii="Aptos" w:hAnsi="Aptos"/>
                <w:sz w:val="18"/>
              </w:rPr>
              <w:t>workflow_instance_id, workflow_node_id, required_role/action and task state where relevant.</w:t>
            </w:r>
          </w:p>
        </w:tc>
      </w:tr>
      <w:tr>
        <w:tc>
          <w:tcPr>
            <w:tcW w:type="dxa" w:w="2448"/>
            <w:vAlign w:val="center"/>
            <w:tcMar>
              <w:top w:w="90" w:type="dxa"/>
              <w:start w:w="110" w:type="dxa"/>
              <w:bottom w:w="90" w:type="dxa"/>
              <w:end w:w="110" w:type="dxa"/>
            </w:tcMar>
          </w:tcPr>
          <w:p>
            <w:pPr>
              <w:spacing w:after="40" w:before="40"/>
            </w:pPr>
            <w:r>
              <w:rPr>
                <w:rFonts w:ascii="Aptos" w:hAnsi="Aptos"/>
                <w:sz w:val="18"/>
              </w:rPr>
              <w:t>environment</w:t>
            </w:r>
          </w:p>
        </w:tc>
        <w:tc>
          <w:tcPr>
            <w:tcW w:type="dxa" w:w="7272"/>
            <w:vAlign w:val="center"/>
            <w:tcMar>
              <w:top w:w="90" w:type="dxa"/>
              <w:start w:w="110" w:type="dxa"/>
              <w:bottom w:w="90" w:type="dxa"/>
              <w:end w:w="110" w:type="dxa"/>
            </w:tcMar>
          </w:tcPr>
          <w:p>
            <w:pPr>
              <w:spacing w:after="40" w:before="40"/>
            </w:pPr>
            <w:r>
              <w:rPr>
                <w:rFonts w:ascii="Aptos" w:hAnsi="Aptos"/>
                <w:sz w:val="18"/>
              </w:rPr>
              <w:t>time/calendar constraints, client/service identity, risk flags and approved contextual facts only.</w:t>
            </w:r>
          </w:p>
        </w:tc>
      </w:tr>
    </w:tbl>
    <w:p>
      <w:pPr>
        <w:spacing w:after="120"/>
      </w:pPr>
      <w:r>
        <w:t>OPA output must be a small stable decision contract such as allow/deny, reason_code, policy_revision and decision_id. Detailed PII must not be returned or logged unless specifically required and approved.</w:t>
      </w:r>
    </w:p>
    <w:p>
      <w:pPr>
        <w:pStyle w:val="Heading2"/>
      </w:pPr>
      <w:r>
        <w:t>20.4 Tenant access policy model - data, not tenant Rego</w:t>
      </w:r>
    </w:p>
    <w:tbl>
      <w:tblPr>
        <w:tblW w:type="auto" w:w="0"/>
        <w:jc w:val="center"/>
        <w:tblLook w:firstColumn="1" w:firstRow="1" w:lastColumn="0" w:lastRow="0" w:noHBand="0" w:noVBand="1" w:val="04A0"/>
      </w:tblPr>
      <w:tblGrid>
        <w:gridCol w:w="10166"/>
      </w:tblGrid>
      <w:tr>
        <w:tc>
          <w:tcPr>
            <w:tcW w:type="dxa" w:w="10166"/>
            <w:shd w:fill="F7EFE2"/>
            <w:tcMar>
              <w:top w:w="150" w:type="dxa"/>
              <w:start w:w="160" w:type="dxa"/>
              <w:bottom w:w="150" w:type="dxa"/>
              <w:end w:w="160" w:type="dxa"/>
            </w:tcMar>
          </w:tcPr>
          <w:p>
            <w:r/>
            <w:r>
              <w:rPr>
                <w:b/>
                <w:color w:val="8A5A24"/>
                <w:sz w:val="20"/>
              </w:rPr>
              <w:t>Default rule: do not create one Rego codebase per tenant. Maintain a small, governed ServiceForm authorization policy model and represent tenant differences as validated policy data/bindings wherever possible.</w:t>
            </w:r>
          </w:p>
        </w:tc>
      </w:tr>
    </w:tbl>
    <w:tbl>
      <w:tblPr>
        <w:tblW w:type="auto" w:w="0"/>
        <w:jc w:val="center"/>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7365D"/>
          </w:tcPr>
          <w:p>
            <w:pPr>
              <w:spacing w:after="40" w:before="40"/>
            </w:pPr>
            <w:r>
              <w:rPr>
                <w:rFonts w:ascii="Aptos" w:hAnsi="Aptos"/>
                <w:b/>
                <w:color w:val="FFFFFF"/>
                <w:sz w:val="18"/>
              </w:rPr>
              <w:t>Policy object</w:t>
            </w:r>
          </w:p>
        </w:tc>
        <w:tc>
          <w:tcPr>
            <w:tcW w:type="dxa" w:w="7128"/>
            <w:vAlign w:val="center"/>
            <w:tcMar>
              <w:top w:w="90" w:type="dxa"/>
              <w:start w:w="110" w:type="dxa"/>
              <w:bottom w:w="90" w:type="dxa"/>
              <w:end w:w="110" w:type="dxa"/>
            </w:tcMar>
            <w:shd w:fill="17365D"/>
          </w:tcPr>
          <w:p>
            <w:pPr>
              <w:spacing w:after="40" w:before="40"/>
            </w:pPr>
            <w:r>
              <w:rPr>
                <w:rFonts w:ascii="Aptos" w:hAnsi="Aptos"/>
                <w:b/>
                <w:color w:val="FFFFFF"/>
                <w:sz w:val="18"/>
              </w:rPr>
              <w:t>Examples</w:t>
            </w:r>
          </w:p>
        </w:tc>
      </w:tr>
      <w:tr>
        <w:tc>
          <w:tcPr>
            <w:tcW w:type="dxa" w:w="2592"/>
            <w:vAlign w:val="center"/>
            <w:tcMar>
              <w:top w:w="90" w:type="dxa"/>
              <w:start w:w="110" w:type="dxa"/>
              <w:bottom w:w="90" w:type="dxa"/>
              <w:end w:w="110" w:type="dxa"/>
            </w:tcMar>
          </w:tcPr>
          <w:p>
            <w:pPr>
              <w:spacing w:after="40" w:before="40"/>
            </w:pPr>
            <w:r>
              <w:rPr>
                <w:rFonts w:ascii="Aptos" w:hAnsi="Aptos"/>
                <w:sz w:val="18"/>
              </w:rPr>
              <w:t>role_definition</w:t>
            </w:r>
          </w:p>
        </w:tc>
        <w:tc>
          <w:tcPr>
            <w:tcW w:type="dxa" w:w="7128"/>
            <w:vAlign w:val="center"/>
            <w:tcMar>
              <w:top w:w="90" w:type="dxa"/>
              <w:start w:w="110" w:type="dxa"/>
              <w:bottom w:w="90" w:type="dxa"/>
              <w:end w:w="110" w:type="dxa"/>
            </w:tcMar>
          </w:tcPr>
          <w:p>
            <w:pPr>
              <w:spacing w:after="40" w:before="40"/>
            </w:pPr>
            <w:r>
              <w:rPr>
                <w:rFonts w:ascii="Aptos" w:hAnsi="Aptos"/>
                <w:sz w:val="18"/>
              </w:rPr>
              <w:t>REVENUE_INSPECTOR, TAHSILDAR, LICENCE_OFFICER, SERVICE_CHECKER.</w:t>
            </w:r>
          </w:p>
        </w:tc>
      </w:tr>
      <w:tr>
        <w:tc>
          <w:tcPr>
            <w:tcW w:type="dxa" w:w="2592"/>
            <w:vAlign w:val="center"/>
            <w:tcMar>
              <w:top w:w="90" w:type="dxa"/>
              <w:start w:w="110" w:type="dxa"/>
              <w:bottom w:w="90" w:type="dxa"/>
              <w:end w:w="110" w:type="dxa"/>
            </w:tcMar>
          </w:tcPr>
          <w:p>
            <w:pPr>
              <w:spacing w:after="40" w:before="40"/>
            </w:pPr>
            <w:r>
              <w:rPr>
                <w:rFonts w:ascii="Aptos" w:hAnsi="Aptos"/>
                <w:sz w:val="18"/>
              </w:rPr>
              <w:t>role_permission</w:t>
            </w:r>
          </w:p>
        </w:tc>
        <w:tc>
          <w:tcPr>
            <w:tcW w:type="dxa" w:w="7128"/>
            <w:vAlign w:val="center"/>
            <w:tcMar>
              <w:top w:w="90" w:type="dxa"/>
              <w:start w:w="110" w:type="dxa"/>
              <w:bottom w:w="90" w:type="dxa"/>
              <w:end w:w="110" w:type="dxa"/>
            </w:tcMar>
          </w:tcPr>
          <w:p>
            <w:pPr>
              <w:spacing w:after="40" w:before="40"/>
            </w:pPr>
            <w:r>
              <w:rPr>
                <w:rFonts w:ascii="Aptos" w:hAnsi="Aptos"/>
                <w:sz w:val="18"/>
              </w:rPr>
              <w:t>Role -&gt; allowed actions on resource/service classes.</w:t>
            </w:r>
          </w:p>
        </w:tc>
      </w:tr>
      <w:tr>
        <w:tc>
          <w:tcPr>
            <w:tcW w:type="dxa" w:w="2592"/>
            <w:vAlign w:val="center"/>
            <w:tcMar>
              <w:top w:w="90" w:type="dxa"/>
              <w:start w:w="110" w:type="dxa"/>
              <w:bottom w:w="90" w:type="dxa"/>
              <w:end w:w="110" w:type="dxa"/>
            </w:tcMar>
          </w:tcPr>
          <w:p>
            <w:pPr>
              <w:spacing w:after="40" w:before="40"/>
            </w:pPr>
            <w:r>
              <w:rPr>
                <w:rFonts w:ascii="Aptos" w:hAnsi="Aptos"/>
                <w:sz w:val="18"/>
              </w:rPr>
              <w:t>organisation_scope</w:t>
            </w:r>
          </w:p>
        </w:tc>
        <w:tc>
          <w:tcPr>
            <w:tcW w:type="dxa" w:w="7128"/>
            <w:vAlign w:val="center"/>
            <w:tcMar>
              <w:top w:w="90" w:type="dxa"/>
              <w:start w:w="110" w:type="dxa"/>
              <w:bottom w:w="90" w:type="dxa"/>
              <w:end w:w="110" w:type="dxa"/>
            </w:tcMar>
          </w:tcPr>
          <w:p>
            <w:pPr>
              <w:spacing w:after="40" w:before="40"/>
            </w:pPr>
            <w:r>
              <w:rPr>
                <w:rFonts w:ascii="Aptos" w:hAnsi="Aptos"/>
                <w:sz w:val="18"/>
              </w:rPr>
              <w:t>Department/office constraints.</w:t>
            </w:r>
          </w:p>
        </w:tc>
      </w:tr>
      <w:tr>
        <w:tc>
          <w:tcPr>
            <w:tcW w:type="dxa" w:w="2592"/>
            <w:vAlign w:val="center"/>
            <w:tcMar>
              <w:top w:w="90" w:type="dxa"/>
              <w:start w:w="110" w:type="dxa"/>
              <w:bottom w:w="90" w:type="dxa"/>
              <w:end w:w="110" w:type="dxa"/>
            </w:tcMar>
          </w:tcPr>
          <w:p>
            <w:pPr>
              <w:spacing w:after="40" w:before="40"/>
            </w:pPr>
            <w:r>
              <w:rPr>
                <w:rFonts w:ascii="Aptos" w:hAnsi="Aptos"/>
                <w:sz w:val="18"/>
              </w:rPr>
              <w:t>jurisdiction_scope</w:t>
            </w:r>
          </w:p>
        </w:tc>
        <w:tc>
          <w:tcPr>
            <w:tcW w:type="dxa" w:w="7128"/>
            <w:vAlign w:val="center"/>
            <w:tcMar>
              <w:top w:w="90" w:type="dxa"/>
              <w:start w:w="110" w:type="dxa"/>
              <w:bottom w:w="90" w:type="dxa"/>
              <w:end w:w="110" w:type="dxa"/>
            </w:tcMar>
          </w:tcPr>
          <w:p>
            <w:pPr>
              <w:spacing w:after="40" w:before="40"/>
            </w:pPr>
            <w:r>
              <w:rPr>
                <w:rFonts w:ascii="Aptos" w:hAnsi="Aptos"/>
                <w:sz w:val="18"/>
              </w:rPr>
              <w:t>Assigned jurisdiction, child jurisdictions, explicit state-wide scope or configured hierarchy rule.</w:t>
            </w:r>
          </w:p>
        </w:tc>
      </w:tr>
      <w:tr>
        <w:tc>
          <w:tcPr>
            <w:tcW w:type="dxa" w:w="2592"/>
            <w:vAlign w:val="center"/>
            <w:tcMar>
              <w:top w:w="90" w:type="dxa"/>
              <w:start w:w="110" w:type="dxa"/>
              <w:bottom w:w="90" w:type="dxa"/>
              <w:end w:w="110" w:type="dxa"/>
            </w:tcMar>
          </w:tcPr>
          <w:p>
            <w:pPr>
              <w:spacing w:after="40" w:before="40"/>
            </w:pPr>
            <w:r>
              <w:rPr>
                <w:rFonts w:ascii="Aptos" w:hAnsi="Aptos"/>
                <w:sz w:val="18"/>
              </w:rPr>
              <w:t>service_scope</w:t>
            </w:r>
          </w:p>
        </w:tc>
        <w:tc>
          <w:tcPr>
            <w:tcW w:type="dxa" w:w="7128"/>
            <w:vAlign w:val="center"/>
            <w:tcMar>
              <w:top w:w="90" w:type="dxa"/>
              <w:start w:w="110" w:type="dxa"/>
              <w:bottom w:w="90" w:type="dxa"/>
              <w:end w:w="110" w:type="dxa"/>
            </w:tcMar>
          </w:tcPr>
          <w:p>
            <w:pPr>
              <w:spacing w:after="40" w:before="40"/>
            </w:pPr>
            <w:r>
              <w:rPr>
                <w:rFonts w:ascii="Aptos" w:hAnsi="Aptos"/>
                <w:sz w:val="18"/>
              </w:rPr>
              <w:t>Services/offering categories accessible by role.</w:t>
            </w:r>
          </w:p>
        </w:tc>
      </w:tr>
      <w:tr>
        <w:tc>
          <w:tcPr>
            <w:tcW w:type="dxa" w:w="2592"/>
            <w:vAlign w:val="center"/>
            <w:tcMar>
              <w:top w:w="90" w:type="dxa"/>
              <w:start w:w="110" w:type="dxa"/>
              <w:bottom w:w="90" w:type="dxa"/>
              <w:end w:w="110" w:type="dxa"/>
            </w:tcMar>
          </w:tcPr>
          <w:p>
            <w:pPr>
              <w:spacing w:after="40" w:before="40"/>
            </w:pPr>
            <w:r>
              <w:rPr>
                <w:rFonts w:ascii="Aptos" w:hAnsi="Aptos"/>
                <w:sz w:val="18"/>
              </w:rPr>
              <w:t>workflow_action_binding</w:t>
            </w:r>
          </w:p>
        </w:tc>
        <w:tc>
          <w:tcPr>
            <w:tcW w:type="dxa" w:w="7128"/>
            <w:vAlign w:val="center"/>
            <w:tcMar>
              <w:top w:w="90" w:type="dxa"/>
              <w:start w:w="110" w:type="dxa"/>
              <w:bottom w:w="90" w:type="dxa"/>
              <w:end w:w="110" w:type="dxa"/>
            </w:tcMar>
          </w:tcPr>
          <w:p>
            <w:pPr>
              <w:spacing w:after="40" w:before="40"/>
            </w:pPr>
            <w:r>
              <w:rPr>
                <w:rFonts w:ascii="Aptos" w:hAnsi="Aptos"/>
                <w:sz w:val="18"/>
              </w:rPr>
              <w:t>Workflow node type/action -&gt; required permission/role.</w:t>
            </w:r>
          </w:p>
        </w:tc>
      </w:tr>
      <w:tr>
        <w:tc>
          <w:tcPr>
            <w:tcW w:type="dxa" w:w="2592"/>
            <w:vAlign w:val="center"/>
            <w:tcMar>
              <w:top w:w="90" w:type="dxa"/>
              <w:start w:w="110" w:type="dxa"/>
              <w:bottom w:w="90" w:type="dxa"/>
              <w:end w:w="110" w:type="dxa"/>
            </w:tcMar>
          </w:tcPr>
          <w:p>
            <w:pPr>
              <w:spacing w:after="40" w:before="40"/>
            </w:pPr>
            <w:r>
              <w:rPr>
                <w:rFonts w:ascii="Aptos" w:hAnsi="Aptos"/>
                <w:sz w:val="18"/>
              </w:rPr>
              <w:t>delegation</w:t>
            </w:r>
          </w:p>
        </w:tc>
        <w:tc>
          <w:tcPr>
            <w:tcW w:type="dxa" w:w="7128"/>
            <w:vAlign w:val="center"/>
            <w:tcMar>
              <w:top w:w="90" w:type="dxa"/>
              <w:start w:w="110" w:type="dxa"/>
              <w:bottom w:w="90" w:type="dxa"/>
              <w:end w:w="110" w:type="dxa"/>
            </w:tcMar>
          </w:tcPr>
          <w:p>
            <w:pPr>
              <w:spacing w:after="40" w:before="40"/>
            </w:pPr>
            <w:r>
              <w:rPr>
                <w:rFonts w:ascii="Aptos" w:hAnsi="Aptos"/>
                <w:sz w:val="18"/>
              </w:rPr>
              <w:t>Delegator/delegate, scope, start/end, reason, approval and revocation.</w:t>
            </w:r>
          </w:p>
        </w:tc>
      </w:tr>
      <w:tr>
        <w:tc>
          <w:tcPr>
            <w:tcW w:type="dxa" w:w="2592"/>
            <w:vAlign w:val="center"/>
            <w:tcMar>
              <w:top w:w="90" w:type="dxa"/>
              <w:start w:w="110" w:type="dxa"/>
              <w:bottom w:w="90" w:type="dxa"/>
              <w:end w:w="110" w:type="dxa"/>
            </w:tcMar>
          </w:tcPr>
          <w:p>
            <w:pPr>
              <w:spacing w:after="40" w:before="40"/>
            </w:pPr>
            <w:r>
              <w:rPr>
                <w:rFonts w:ascii="Aptos" w:hAnsi="Aptos"/>
                <w:sz w:val="18"/>
              </w:rPr>
              <w:t>break_glass_grant</w:t>
            </w:r>
          </w:p>
        </w:tc>
        <w:tc>
          <w:tcPr>
            <w:tcW w:type="dxa" w:w="7128"/>
            <w:vAlign w:val="center"/>
            <w:tcMar>
              <w:top w:w="90" w:type="dxa"/>
              <w:start w:w="110" w:type="dxa"/>
              <w:bottom w:w="90" w:type="dxa"/>
              <w:end w:w="110" w:type="dxa"/>
            </w:tcMar>
          </w:tcPr>
          <w:p>
            <w:pPr>
              <w:spacing w:after="40" w:before="40"/>
            </w:pPr>
            <w:r>
              <w:rPr>
                <w:rFonts w:ascii="Aptos" w:hAnsi="Aptos"/>
                <w:sz w:val="18"/>
              </w:rPr>
              <w:t>Time-bound privileged access with purpose, approval, enhanced logging and post-review.</w:t>
            </w:r>
          </w:p>
        </w:tc>
      </w:tr>
    </w:tbl>
    <w:p>
      <w:pPr>
        <w:pStyle w:val="Heading2"/>
      </w:pPr>
      <w:r>
        <w:t>20.5 Access Designer - no-code interface to OPA</w:t>
      </w:r>
    </w:p>
    <w:p>
      <w:pPr>
        <w:spacing w:after="120"/>
      </w:pPr>
      <w:r>
        <w:t>Tenant makers/checkers configure authorization through a visual Access Designer. They do not see or edit Rego. The Studio validates the access model, generates tenant policy data/bindings, packages them with the governed common policy, and publishes a versioned signed policy bundle/data package.</w:t>
      </w:r>
    </w:p>
    <w:p>
      <w:pPr>
        <w:jc w:val="center"/>
      </w:pPr>
      <w:r>
        <w:drawing>
          <wp:inline xmlns:a="http://schemas.openxmlformats.org/drawingml/2006/main" xmlns:pic="http://schemas.openxmlformats.org/drawingml/2006/picture">
            <wp:extent cx="6309360" cy="3695482"/>
            <wp:docPr id="14" name="Picture 14"/>
            <wp:cNvGraphicFramePr>
              <a:graphicFrameLocks noChangeAspect="1"/>
            </wp:cNvGraphicFramePr>
            <a:graphic>
              <a:graphicData uri="http://schemas.openxmlformats.org/drawingml/2006/picture">
                <pic:pic>
                  <pic:nvPicPr>
                    <pic:cNvPr id="0" name="studio_policy_workflow_integration.png"/>
                    <pic:cNvPicPr/>
                  </pic:nvPicPr>
                  <pic:blipFill>
                    <a:blip r:embed="rId24"/>
                    <a:stretch>
                      <a:fillRect/>
                    </a:stretch>
                  </pic:blipFill>
                  <pic:spPr>
                    <a:xfrm>
                      <a:off x="0" y="0"/>
                      <a:ext cx="6309360" cy="3695482"/>
                    </a:xfrm>
                    <a:prstGeom prst="rect"/>
                  </pic:spPr>
                </pic:pic>
              </a:graphicData>
            </a:graphic>
          </wp:inline>
        </w:drawing>
      </w:r>
    </w:p>
    <w:p>
      <w:pPr>
        <w:pStyle w:val="Caption"/>
        <w:jc w:val="center"/>
      </w:pPr>
      <w:r>
        <w:t>Figure 10 - Studio authoring to OPA/Temporal/GoRules runtime integration</w:t>
      </w:r>
    </w:p>
    <w:tbl>
      <w:tblPr>
        <w:tblW w:type="auto" w:w="0"/>
        <w:jc w:val="center"/>
        <w:tblLook w:firstColumn="1" w:firstRow="1" w:lastColumn="0" w:lastRow="0" w:noHBand="0" w:noVBand="1" w:val="04A0"/>
      </w:tblPr>
      <w:tblGrid>
        <w:gridCol w:w="5083"/>
        <w:gridCol w:w="5083"/>
      </w:tblGrid>
      <w:tr>
        <w:trPr>
          <w:tblHeader w:val="true"/>
        </w:trPr>
        <w:tc>
          <w:tcPr>
            <w:tcW w:type="dxa" w:w="2376"/>
            <w:vAlign w:val="center"/>
            <w:tcMar>
              <w:top w:w="90" w:type="dxa"/>
              <w:start w:w="110" w:type="dxa"/>
              <w:bottom w:w="90" w:type="dxa"/>
              <w:end w:w="110" w:type="dxa"/>
            </w:tcMar>
            <w:shd w:fill="17365D"/>
          </w:tcPr>
          <w:p>
            <w:pPr>
              <w:spacing w:after="40" w:before="40"/>
            </w:pPr>
            <w:r>
              <w:rPr>
                <w:rFonts w:ascii="Aptos" w:hAnsi="Aptos"/>
                <w:b/>
                <w:color w:val="FFFFFF"/>
                <w:sz w:val="18"/>
              </w:rPr>
              <w:t>Access Designer area</w:t>
            </w:r>
          </w:p>
        </w:tc>
        <w:tc>
          <w:tcPr>
            <w:tcW w:type="dxa" w:w="7344"/>
            <w:vAlign w:val="center"/>
            <w:tcMar>
              <w:top w:w="90" w:type="dxa"/>
              <w:start w:w="110" w:type="dxa"/>
              <w:bottom w:w="90" w:type="dxa"/>
              <w:end w:w="110" w:type="dxa"/>
            </w:tcMar>
            <w:shd w:fill="17365D"/>
          </w:tcPr>
          <w:p>
            <w:pPr>
              <w:spacing w:after="40" w:before="40"/>
            </w:pPr>
            <w:r>
              <w:rPr>
                <w:rFonts w:ascii="Aptos" w:hAnsi="Aptos"/>
                <w:b/>
                <w:color w:val="FFFFFF"/>
                <w:sz w:val="18"/>
              </w:rPr>
              <w:t>No-code configuration</w:t>
            </w:r>
          </w:p>
        </w:tc>
      </w:tr>
      <w:tr>
        <w:tc>
          <w:tcPr>
            <w:tcW w:type="dxa" w:w="2376"/>
            <w:vAlign w:val="center"/>
            <w:tcMar>
              <w:top w:w="90" w:type="dxa"/>
              <w:start w:w="110" w:type="dxa"/>
              <w:bottom w:w="90" w:type="dxa"/>
              <w:end w:w="110" w:type="dxa"/>
            </w:tcMar>
          </w:tcPr>
          <w:p>
            <w:pPr>
              <w:spacing w:after="40" w:before="40"/>
            </w:pPr>
            <w:r>
              <w:rPr>
                <w:rFonts w:ascii="Aptos" w:hAnsi="Aptos"/>
                <w:sz w:val="18"/>
              </w:rPr>
              <w:t>Role</w:t>
            </w:r>
          </w:p>
        </w:tc>
        <w:tc>
          <w:tcPr>
            <w:tcW w:type="dxa" w:w="7344"/>
            <w:vAlign w:val="center"/>
            <w:tcMar>
              <w:top w:w="90" w:type="dxa"/>
              <w:start w:w="110" w:type="dxa"/>
              <w:bottom w:w="90" w:type="dxa"/>
              <w:end w:w="110" w:type="dxa"/>
            </w:tcMar>
          </w:tcPr>
          <w:p>
            <w:pPr>
              <w:spacing w:after="40" w:before="40"/>
            </w:pPr>
            <w:r>
              <w:rPr>
                <w:rFonts w:ascii="Aptos" w:hAnsi="Aptos"/>
                <w:sz w:val="18"/>
              </w:rPr>
              <w:t>Role name, description, organisation type, permitted services.</w:t>
            </w:r>
          </w:p>
        </w:tc>
      </w:tr>
      <w:tr>
        <w:tc>
          <w:tcPr>
            <w:tcW w:type="dxa" w:w="2376"/>
            <w:vAlign w:val="center"/>
            <w:tcMar>
              <w:top w:w="90" w:type="dxa"/>
              <w:start w:w="110" w:type="dxa"/>
              <w:bottom w:w="90" w:type="dxa"/>
              <w:end w:w="110" w:type="dxa"/>
            </w:tcMar>
          </w:tcPr>
          <w:p>
            <w:pPr>
              <w:spacing w:after="40" w:before="40"/>
            </w:pPr>
            <w:r>
              <w:rPr>
                <w:rFonts w:ascii="Aptos" w:hAnsi="Aptos"/>
                <w:sz w:val="18"/>
              </w:rPr>
              <w:t>Actions</w:t>
            </w:r>
          </w:p>
        </w:tc>
        <w:tc>
          <w:tcPr>
            <w:tcW w:type="dxa" w:w="7344"/>
            <w:vAlign w:val="center"/>
            <w:tcMar>
              <w:top w:w="90" w:type="dxa"/>
              <w:start w:w="110" w:type="dxa"/>
              <w:bottom w:w="90" w:type="dxa"/>
              <w:end w:w="110" w:type="dxa"/>
            </w:tcMar>
          </w:tcPr>
          <w:p>
            <w:pPr>
              <w:spacing w:after="40" w:before="40"/>
            </w:pPr>
            <w:r>
              <w:rPr>
                <w:rFonts w:ascii="Aptos" w:hAnsi="Aptos"/>
                <w:sz w:val="18"/>
              </w:rPr>
              <w:t>View, claim, verify, inspect, request deficiency, approve, reject, sign, administer, publish.</w:t>
            </w:r>
          </w:p>
        </w:tc>
      </w:tr>
      <w:tr>
        <w:tc>
          <w:tcPr>
            <w:tcW w:type="dxa" w:w="2376"/>
            <w:vAlign w:val="center"/>
            <w:tcMar>
              <w:top w:w="90" w:type="dxa"/>
              <w:start w:w="110" w:type="dxa"/>
              <w:bottom w:w="90" w:type="dxa"/>
              <w:end w:w="110" w:type="dxa"/>
            </w:tcMar>
          </w:tcPr>
          <w:p>
            <w:pPr>
              <w:spacing w:after="40" w:before="40"/>
            </w:pPr>
            <w:r>
              <w:rPr>
                <w:rFonts w:ascii="Aptos" w:hAnsi="Aptos"/>
                <w:sz w:val="18"/>
              </w:rPr>
              <w:t>Jurisdiction</w:t>
            </w:r>
          </w:p>
        </w:tc>
        <w:tc>
          <w:tcPr>
            <w:tcW w:type="dxa" w:w="7344"/>
            <w:vAlign w:val="center"/>
            <w:tcMar>
              <w:top w:w="90" w:type="dxa"/>
              <w:start w:w="110" w:type="dxa"/>
              <w:bottom w:w="90" w:type="dxa"/>
              <w:end w:w="110" w:type="dxa"/>
            </w:tcMar>
          </w:tcPr>
          <w:p>
            <w:pPr>
              <w:spacing w:after="40" w:before="40"/>
            </w:pPr>
            <w:r>
              <w:rPr>
                <w:rFonts w:ascii="Aptos" w:hAnsi="Aptos"/>
                <w:sz w:val="18"/>
              </w:rPr>
              <w:t>Assigned only, descendants, configured parent/child relation or explicit list.</w:t>
            </w:r>
          </w:p>
        </w:tc>
      </w:tr>
      <w:tr>
        <w:tc>
          <w:tcPr>
            <w:tcW w:type="dxa" w:w="2376"/>
            <w:vAlign w:val="center"/>
            <w:tcMar>
              <w:top w:w="90" w:type="dxa"/>
              <w:start w:w="110" w:type="dxa"/>
              <w:bottom w:w="90" w:type="dxa"/>
              <w:end w:w="110" w:type="dxa"/>
            </w:tcMar>
          </w:tcPr>
          <w:p>
            <w:pPr>
              <w:spacing w:after="40" w:before="40"/>
            </w:pPr>
            <w:r>
              <w:rPr>
                <w:rFonts w:ascii="Aptos" w:hAnsi="Aptos"/>
                <w:sz w:val="18"/>
              </w:rPr>
              <w:t>Workflow link</w:t>
            </w:r>
          </w:p>
        </w:tc>
        <w:tc>
          <w:tcPr>
            <w:tcW w:type="dxa" w:w="7344"/>
            <w:vAlign w:val="center"/>
            <w:tcMar>
              <w:top w:w="90" w:type="dxa"/>
              <w:start w:w="110" w:type="dxa"/>
              <w:bottom w:w="90" w:type="dxa"/>
              <w:end w:w="110" w:type="dxa"/>
            </w:tcMar>
          </w:tcPr>
          <w:p>
            <w:pPr>
              <w:spacing w:after="40" w:before="40"/>
            </w:pPr>
            <w:r>
              <w:rPr>
                <w:rFonts w:ascii="Aptos" w:hAnsi="Aptos"/>
                <w:sz w:val="18"/>
              </w:rPr>
              <w:t>Which role/permission is required at each human task or decision node.</w:t>
            </w:r>
          </w:p>
        </w:tc>
      </w:tr>
      <w:tr>
        <w:tc>
          <w:tcPr>
            <w:tcW w:type="dxa" w:w="2376"/>
            <w:vAlign w:val="center"/>
            <w:tcMar>
              <w:top w:w="90" w:type="dxa"/>
              <w:start w:w="110" w:type="dxa"/>
              <w:bottom w:w="90" w:type="dxa"/>
              <w:end w:w="110" w:type="dxa"/>
            </w:tcMar>
          </w:tcPr>
          <w:p>
            <w:pPr>
              <w:spacing w:after="40" w:before="40"/>
            </w:pPr>
            <w:r>
              <w:rPr>
                <w:rFonts w:ascii="Aptos" w:hAnsi="Aptos"/>
                <w:sz w:val="18"/>
              </w:rPr>
              <w:t>Delegation</w:t>
            </w:r>
          </w:p>
        </w:tc>
        <w:tc>
          <w:tcPr>
            <w:tcW w:type="dxa" w:w="7344"/>
            <w:vAlign w:val="center"/>
            <w:tcMar>
              <w:top w:w="90" w:type="dxa"/>
              <w:start w:w="110" w:type="dxa"/>
              <w:bottom w:w="90" w:type="dxa"/>
              <w:end w:w="110" w:type="dxa"/>
            </w:tcMar>
          </w:tcPr>
          <w:p>
            <w:pPr>
              <w:spacing w:after="40" w:before="40"/>
            </w:pPr>
            <w:r>
              <w:rPr>
                <w:rFonts w:ascii="Aptos" w:hAnsi="Aptos"/>
                <w:sz w:val="18"/>
              </w:rPr>
              <w:t>Who can delegate which actions, maximum duration, approval requirement and exclusions.</w:t>
            </w:r>
          </w:p>
        </w:tc>
      </w:tr>
      <w:tr>
        <w:tc>
          <w:tcPr>
            <w:tcW w:type="dxa" w:w="2376"/>
            <w:vAlign w:val="center"/>
            <w:tcMar>
              <w:top w:w="90" w:type="dxa"/>
              <w:start w:w="110" w:type="dxa"/>
              <w:bottom w:w="90" w:type="dxa"/>
              <w:end w:w="110" w:type="dxa"/>
            </w:tcMar>
          </w:tcPr>
          <w:p>
            <w:pPr>
              <w:spacing w:after="40" w:before="40"/>
            </w:pPr>
            <w:r>
              <w:rPr>
                <w:rFonts w:ascii="Aptos" w:hAnsi="Aptos"/>
                <w:sz w:val="18"/>
              </w:rPr>
              <w:t>Separation of duties</w:t>
            </w:r>
          </w:p>
        </w:tc>
        <w:tc>
          <w:tcPr>
            <w:tcW w:type="dxa" w:w="7344"/>
            <w:vAlign w:val="center"/>
            <w:tcMar>
              <w:top w:w="90" w:type="dxa"/>
              <w:start w:w="110" w:type="dxa"/>
              <w:bottom w:w="90" w:type="dxa"/>
              <w:end w:w="110" w:type="dxa"/>
            </w:tcMar>
          </w:tcPr>
          <w:p>
            <w:pPr>
              <w:spacing w:after="40" w:before="40"/>
            </w:pPr>
            <w:r>
              <w:rPr>
                <w:rFonts w:ascii="Aptos" w:hAnsi="Aptos"/>
                <w:sz w:val="18"/>
              </w:rPr>
              <w:t>Maker/checker, submitter/approver, verifier/approver and other prohibited combinations.</w:t>
            </w:r>
          </w:p>
        </w:tc>
      </w:tr>
    </w:tbl>
    <w:p>
      <w:pPr>
        <w:pStyle w:val="Heading2"/>
      </w:pPr>
      <w:r>
        <w:t>20.6 OPA bundle distribution and audit</w:t>
      </w:r>
    </w:p>
    <w:p>
      <w:pPr>
        <w:spacing w:after="120"/>
      </w:pPr>
      <w:r>
        <w:t>Published policy packages should be distributed through the ServiceForm policy control plane as signed OPA bundles/data. OPA supports bundle roots/scoping, digital signatures, bundle revision metadata and decision logging. Bundle activation failure must leave the previously valid bundle active and raise operational alerts.</w:t>
      </w:r>
    </w:p>
    <w:p>
      <w:pPr>
        <w:pStyle w:val="ListBullet"/>
        <w:spacing w:after="40"/>
      </w:pPr>
      <w:r>
        <w:t>OPA decision logs must capture decision_id, trace_id, policy/bundle revision, decision path and redacted inputs/results suitable for audit.</w:t>
      </w:r>
    </w:p>
    <w:p>
      <w:pPr>
        <w:pStyle w:val="ListBullet"/>
        <w:spacing w:after="40"/>
      </w:pPr>
      <w:r>
        <w:t>Sensitive input fields must be masked/removed before remote decision-log export.</w:t>
      </w:r>
    </w:p>
    <w:p>
      <w:pPr>
        <w:pStyle w:val="ListBullet"/>
        <w:spacing w:after="40"/>
      </w:pPr>
      <w:r>
        <w:t>Policy publication uses maker-checker and automated tests; runtime pods never compile arbitrary tenant-supplied Rego.</w:t>
      </w:r>
    </w:p>
    <w:p>
      <w:pPr>
        <w:pStyle w:val="ListBullet"/>
        <w:spacing w:after="40"/>
      </w:pPr>
      <w:r>
        <w:t>Application services fail closed for protected actions when no valid authorization decision can be obtained, except for explicitly designed public/read-only paths.</w:t>
      </w:r>
    </w:p>
    <w:p>
      <w:pPr>
        <w:pStyle w:val="Heading2"/>
      </w:pPr>
      <w:r>
        <w:t>20.7 Visual Workflow Designer to generic Temporal runtime</w:t>
      </w:r>
    </w:p>
    <w:p>
      <w:pPr>
        <w:spacing w:after="120"/>
      </w:pPr>
      <w:r>
        <w:t>Tenants author a ServiceForm workflow graph/DSL using the Studio. Publishing validates and versions the graph. A stable generic ServiceForm Temporal workflow/interpreter executes the definition. Routine tenant changes must not generate or deploy tenant-specific TypeScript workflow source code.</w:t>
      </w:r>
    </w:p>
    <w:tbl>
      <w:tblPr>
        <w:tblW w:type="auto" w:w="0"/>
        <w:jc w:val="center"/>
        <w:tblLook w:firstColumn="1" w:firstRow="1" w:lastColumn="0" w:lastRow="0" w:noHBand="0" w:noVBand="1" w:val="04A0"/>
      </w:tblPr>
      <w:tblGrid>
        <w:gridCol w:w="5083"/>
        <w:gridCol w:w="5083"/>
      </w:tblGrid>
      <w:tr>
        <w:trPr>
          <w:tblHeader w:val="true"/>
        </w:trPr>
        <w:tc>
          <w:tcPr>
            <w:tcW w:type="dxa" w:w="2376"/>
            <w:vAlign w:val="center"/>
            <w:tcMar>
              <w:top w:w="90" w:type="dxa"/>
              <w:start w:w="110" w:type="dxa"/>
              <w:bottom w:w="90" w:type="dxa"/>
              <w:end w:w="110" w:type="dxa"/>
            </w:tcMar>
            <w:shd w:fill="17365D"/>
          </w:tcPr>
          <w:p>
            <w:pPr>
              <w:spacing w:after="40" w:before="40"/>
            </w:pPr>
            <w:r>
              <w:rPr>
                <w:rFonts w:ascii="Aptos" w:hAnsi="Aptos"/>
                <w:b/>
                <w:color w:val="FFFFFF"/>
                <w:sz w:val="18"/>
              </w:rPr>
              <w:t>Workflow metadata</w:t>
            </w:r>
          </w:p>
        </w:tc>
        <w:tc>
          <w:tcPr>
            <w:tcW w:type="dxa" w:w="7344"/>
            <w:vAlign w:val="center"/>
            <w:tcMar>
              <w:top w:w="90" w:type="dxa"/>
              <w:start w:w="110" w:type="dxa"/>
              <w:bottom w:w="90" w:type="dxa"/>
              <w:end w:w="110" w:type="dxa"/>
            </w:tcMar>
            <w:shd w:fill="17365D"/>
          </w:tcPr>
          <w:p>
            <w:pPr>
              <w:spacing w:after="40" w:before="40"/>
            </w:pPr>
            <w:r>
              <w:rPr>
                <w:rFonts w:ascii="Aptos" w:hAnsi="Aptos"/>
                <w:b/>
                <w:color w:val="FFFFFF"/>
                <w:sz w:val="18"/>
              </w:rPr>
              <w:t>Examples</w:t>
            </w:r>
          </w:p>
        </w:tc>
      </w:tr>
      <w:tr>
        <w:tc>
          <w:tcPr>
            <w:tcW w:type="dxa" w:w="2376"/>
            <w:vAlign w:val="center"/>
            <w:tcMar>
              <w:top w:w="90" w:type="dxa"/>
              <w:start w:w="110" w:type="dxa"/>
              <w:bottom w:w="90" w:type="dxa"/>
              <w:end w:w="110" w:type="dxa"/>
            </w:tcMar>
          </w:tcPr>
          <w:p>
            <w:pPr>
              <w:spacing w:after="40" w:before="40"/>
            </w:pPr>
            <w:r>
              <w:rPr>
                <w:rFonts w:ascii="Aptos" w:hAnsi="Aptos"/>
                <w:sz w:val="18"/>
              </w:rPr>
              <w:t>node</w:t>
            </w:r>
          </w:p>
        </w:tc>
        <w:tc>
          <w:tcPr>
            <w:tcW w:type="dxa" w:w="7344"/>
            <w:vAlign w:val="center"/>
            <w:tcMar>
              <w:top w:w="90" w:type="dxa"/>
              <w:start w:w="110" w:type="dxa"/>
              <w:bottom w:w="90" w:type="dxa"/>
              <w:end w:w="110" w:type="dxa"/>
            </w:tcMar>
          </w:tcPr>
          <w:p>
            <w:pPr>
              <w:spacing w:after="40" w:before="40"/>
            </w:pPr>
            <w:r>
              <w:rPr>
                <w:rFonts w:ascii="Aptos" w:hAnsi="Aptos"/>
                <w:sz w:val="18"/>
              </w:rPr>
              <w:t>START, HUMAN_TASK, RULE_GATE, SERVICE_ACTIVITY, PAYMENT, WAIT, TIMER, DEFICIENCY, DECISION, PARALLEL, SIGN, ISSUE, NOTIFY, END.</w:t>
            </w:r>
          </w:p>
        </w:tc>
      </w:tr>
      <w:tr>
        <w:tc>
          <w:tcPr>
            <w:tcW w:type="dxa" w:w="2376"/>
            <w:vAlign w:val="center"/>
            <w:tcMar>
              <w:top w:w="90" w:type="dxa"/>
              <w:start w:w="110" w:type="dxa"/>
              <w:bottom w:w="90" w:type="dxa"/>
              <w:end w:w="110" w:type="dxa"/>
            </w:tcMar>
          </w:tcPr>
          <w:p>
            <w:pPr>
              <w:spacing w:after="40" w:before="40"/>
            </w:pPr>
            <w:r>
              <w:rPr>
                <w:rFonts w:ascii="Aptos" w:hAnsi="Aptos"/>
                <w:sz w:val="18"/>
              </w:rPr>
              <w:t>edge</w:t>
            </w:r>
          </w:p>
        </w:tc>
        <w:tc>
          <w:tcPr>
            <w:tcW w:type="dxa" w:w="7344"/>
            <w:vAlign w:val="center"/>
            <w:tcMar>
              <w:top w:w="90" w:type="dxa"/>
              <w:start w:w="110" w:type="dxa"/>
              <w:bottom w:w="90" w:type="dxa"/>
              <w:end w:w="110" w:type="dxa"/>
            </w:tcMar>
          </w:tcPr>
          <w:p>
            <w:pPr>
              <w:spacing w:after="40" w:before="40"/>
            </w:pPr>
            <w:r>
              <w:rPr>
                <w:rFonts w:ascii="Aptos" w:hAnsi="Aptos"/>
                <w:sz w:val="18"/>
              </w:rPr>
              <w:t>from_node, to_node, condition/rule reference, outcome.</w:t>
            </w:r>
          </w:p>
        </w:tc>
      </w:tr>
      <w:tr>
        <w:tc>
          <w:tcPr>
            <w:tcW w:type="dxa" w:w="2376"/>
            <w:vAlign w:val="center"/>
            <w:tcMar>
              <w:top w:w="90" w:type="dxa"/>
              <w:start w:w="110" w:type="dxa"/>
              <w:bottom w:w="90" w:type="dxa"/>
              <w:end w:w="110" w:type="dxa"/>
            </w:tcMar>
          </w:tcPr>
          <w:p>
            <w:pPr>
              <w:spacing w:after="40" w:before="40"/>
            </w:pPr>
            <w:r>
              <w:rPr>
                <w:rFonts w:ascii="Aptos" w:hAnsi="Aptos"/>
                <w:sz w:val="18"/>
              </w:rPr>
              <w:t>assignment</w:t>
            </w:r>
          </w:p>
        </w:tc>
        <w:tc>
          <w:tcPr>
            <w:tcW w:type="dxa" w:w="7344"/>
            <w:vAlign w:val="center"/>
            <w:tcMar>
              <w:top w:w="90" w:type="dxa"/>
              <w:start w:w="110" w:type="dxa"/>
              <w:bottom w:w="90" w:type="dxa"/>
              <w:end w:w="110" w:type="dxa"/>
            </w:tcMar>
          </w:tcPr>
          <w:p>
            <w:pPr>
              <w:spacing w:after="40" w:before="40"/>
            </w:pPr>
            <w:r>
              <w:rPr>
                <w:rFonts w:ascii="Aptos" w:hAnsi="Aptos"/>
                <w:sz w:val="18"/>
              </w:rPr>
              <w:t>role_id, organisation/office selector, jurisdiction resolver, claim mode.</w:t>
            </w:r>
          </w:p>
        </w:tc>
      </w:tr>
      <w:tr>
        <w:tc>
          <w:tcPr>
            <w:tcW w:type="dxa" w:w="2376"/>
            <w:vAlign w:val="center"/>
            <w:tcMar>
              <w:top w:w="90" w:type="dxa"/>
              <w:start w:w="110" w:type="dxa"/>
              <w:bottom w:w="90" w:type="dxa"/>
              <w:end w:w="110" w:type="dxa"/>
            </w:tcMar>
          </w:tcPr>
          <w:p>
            <w:pPr>
              <w:spacing w:after="40" w:before="40"/>
            </w:pPr>
            <w:r>
              <w:rPr>
                <w:rFonts w:ascii="Aptos" w:hAnsi="Aptos"/>
                <w:sz w:val="18"/>
              </w:rPr>
              <w:t>SLA</w:t>
            </w:r>
          </w:p>
        </w:tc>
        <w:tc>
          <w:tcPr>
            <w:tcW w:type="dxa" w:w="7344"/>
            <w:vAlign w:val="center"/>
            <w:tcMar>
              <w:top w:w="90" w:type="dxa"/>
              <w:start w:w="110" w:type="dxa"/>
              <w:bottom w:w="90" w:type="dxa"/>
              <w:end w:w="110" w:type="dxa"/>
            </w:tcMar>
          </w:tcPr>
          <w:p>
            <w:pPr>
              <w:spacing w:after="40" w:before="40"/>
            </w:pPr>
            <w:r>
              <w:rPr>
                <w:rFonts w:ascii="Aptos" w:hAnsi="Aptos"/>
                <w:sz w:val="18"/>
              </w:rPr>
              <w:t>duration, business calendar, pause/resume policy, warning/escalation.</w:t>
            </w:r>
          </w:p>
        </w:tc>
      </w:tr>
      <w:tr>
        <w:tc>
          <w:tcPr>
            <w:tcW w:type="dxa" w:w="2376"/>
            <w:vAlign w:val="center"/>
            <w:tcMar>
              <w:top w:w="90" w:type="dxa"/>
              <w:start w:w="110" w:type="dxa"/>
              <w:bottom w:w="90" w:type="dxa"/>
              <w:end w:w="110" w:type="dxa"/>
            </w:tcMar>
          </w:tcPr>
          <w:p>
            <w:pPr>
              <w:spacing w:after="40" w:before="40"/>
            </w:pPr>
            <w:r>
              <w:rPr>
                <w:rFonts w:ascii="Aptos" w:hAnsi="Aptos"/>
                <w:sz w:val="18"/>
              </w:rPr>
              <w:t>activity</w:t>
            </w:r>
          </w:p>
        </w:tc>
        <w:tc>
          <w:tcPr>
            <w:tcW w:type="dxa" w:w="7344"/>
            <w:vAlign w:val="center"/>
            <w:tcMar>
              <w:top w:w="90" w:type="dxa"/>
              <w:start w:w="110" w:type="dxa"/>
              <w:bottom w:w="90" w:type="dxa"/>
              <w:end w:w="110" w:type="dxa"/>
            </w:tcMar>
          </w:tcPr>
          <w:p>
            <w:pPr>
              <w:spacing w:after="40" w:before="40"/>
            </w:pPr>
            <w:r>
              <w:rPr>
                <w:rFonts w:ascii="Aptos" w:hAnsi="Aptos"/>
                <w:sz w:val="18"/>
              </w:rPr>
              <w:t>connector/action reference, retry policy, timeout, idempotency key strategy.</w:t>
            </w:r>
          </w:p>
        </w:tc>
      </w:tr>
      <w:tr>
        <w:tc>
          <w:tcPr>
            <w:tcW w:type="dxa" w:w="2376"/>
            <w:vAlign w:val="center"/>
            <w:tcMar>
              <w:top w:w="90" w:type="dxa"/>
              <w:start w:w="110" w:type="dxa"/>
              <w:bottom w:w="90" w:type="dxa"/>
              <w:end w:w="110" w:type="dxa"/>
            </w:tcMar>
          </w:tcPr>
          <w:p>
            <w:pPr>
              <w:spacing w:after="40" w:before="40"/>
            </w:pPr>
            <w:r>
              <w:rPr>
                <w:rFonts w:ascii="Aptos" w:hAnsi="Aptos"/>
                <w:sz w:val="18"/>
              </w:rPr>
              <w:t>human action</w:t>
            </w:r>
          </w:p>
        </w:tc>
        <w:tc>
          <w:tcPr>
            <w:tcW w:type="dxa" w:w="7344"/>
            <w:vAlign w:val="center"/>
            <w:tcMar>
              <w:top w:w="90" w:type="dxa"/>
              <w:start w:w="110" w:type="dxa"/>
              <w:bottom w:w="90" w:type="dxa"/>
              <w:end w:w="110" w:type="dxa"/>
            </w:tcMar>
          </w:tcPr>
          <w:p>
            <w:pPr>
              <w:spacing w:after="40" w:before="40"/>
            </w:pPr>
            <w:r>
              <w:rPr>
                <w:rFonts w:ascii="Aptos" w:hAnsi="Aptos"/>
                <w:sz w:val="18"/>
              </w:rPr>
              <w:t>allowed outcomes, required reason/evidence, OPA permission required.</w:t>
            </w:r>
          </w:p>
        </w:tc>
      </w:tr>
      <w:tr>
        <w:tc>
          <w:tcPr>
            <w:tcW w:type="dxa" w:w="2376"/>
            <w:vAlign w:val="center"/>
            <w:tcMar>
              <w:top w:w="90" w:type="dxa"/>
              <w:start w:w="110" w:type="dxa"/>
              <w:bottom w:w="90" w:type="dxa"/>
              <w:end w:w="110" w:type="dxa"/>
            </w:tcMar>
          </w:tcPr>
          <w:p>
            <w:pPr>
              <w:spacing w:after="40" w:before="40"/>
            </w:pPr>
            <w:r>
              <w:rPr>
                <w:rFonts w:ascii="Aptos" w:hAnsi="Aptos"/>
                <w:sz w:val="18"/>
              </w:rPr>
              <w:t>version</w:t>
            </w:r>
          </w:p>
        </w:tc>
        <w:tc>
          <w:tcPr>
            <w:tcW w:type="dxa" w:w="7344"/>
            <w:vAlign w:val="center"/>
            <w:tcMar>
              <w:top w:w="90" w:type="dxa"/>
              <w:start w:w="110" w:type="dxa"/>
              <w:bottom w:w="90" w:type="dxa"/>
              <w:end w:w="110" w:type="dxa"/>
            </w:tcMar>
          </w:tcPr>
          <w:p>
            <w:pPr>
              <w:spacing w:after="40" w:before="40"/>
            </w:pPr>
            <w:r>
              <w:rPr>
                <w:rFonts w:ascii="Aptos" w:hAnsi="Aptos"/>
                <w:sz w:val="18"/>
              </w:rPr>
              <w:t>immutable workflow_version_id and semantic hash.</w:t>
            </w:r>
          </w:p>
        </w:tc>
      </w:tr>
    </w:tbl>
    <w:p>
      <w:pPr>
        <w:pStyle w:val="Heading2"/>
      </w:pPr>
      <w:r>
        <w:t>20.8 Temporal tenant and task-queue strategy</w:t>
      </w:r>
    </w:p>
    <w:p>
      <w:pPr>
        <w:spacing w:after="120"/>
      </w:pPr>
      <w:r>
        <w:t>Small and medium tenants share the Temporal deployment within a ServiceForm cell. Do not create one Temporal cluster or namespace per small tenant. Tenant isolation is carried in workflow/application context and enforced at every service/database/task boundary. Large or sensitive tenants can move to dedicated cells without changing workflow metadata semantics.</w:t>
      </w:r>
    </w:p>
    <w:tbl>
      <w:tblPr>
        <w:tblW w:type="auto" w:w="0"/>
        <w:jc w:val="center"/>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Concern</w:t>
            </w:r>
          </w:p>
        </w:tc>
        <w:tc>
          <w:tcPr>
            <w:tcW w:type="dxa" w:w="7488"/>
            <w:vAlign w:val="center"/>
            <w:tcMar>
              <w:top w:w="90" w:type="dxa"/>
              <w:start w:w="110" w:type="dxa"/>
              <w:bottom w:w="90" w:type="dxa"/>
              <w:end w:w="110" w:type="dxa"/>
            </w:tcMar>
            <w:shd w:fill="17365D"/>
          </w:tcPr>
          <w:p>
            <w:pPr>
              <w:spacing w:after="40" w:before="40"/>
            </w:pPr>
            <w:r>
              <w:rPr>
                <w:rFonts w:ascii="Aptos" w:hAnsi="Aptos"/>
                <w:b/>
                <w:color w:val="FFFFFF"/>
                <w:sz w:val="18"/>
              </w:rPr>
              <w:t>Design</w:t>
            </w:r>
          </w:p>
        </w:tc>
      </w:tr>
      <w:tr>
        <w:tc>
          <w:tcPr>
            <w:tcW w:type="dxa" w:w="2232"/>
            <w:vAlign w:val="center"/>
            <w:tcMar>
              <w:top w:w="90" w:type="dxa"/>
              <w:start w:w="110" w:type="dxa"/>
              <w:bottom w:w="90" w:type="dxa"/>
              <w:end w:w="110" w:type="dxa"/>
            </w:tcMar>
          </w:tcPr>
          <w:p>
            <w:pPr>
              <w:spacing w:after="40" w:before="40"/>
            </w:pPr>
            <w:r>
              <w:rPr>
                <w:rFonts w:ascii="Aptos" w:hAnsi="Aptos"/>
                <w:sz w:val="18"/>
              </w:rPr>
              <w:t>Workflow ID</w:t>
            </w:r>
          </w:p>
        </w:tc>
        <w:tc>
          <w:tcPr>
            <w:tcW w:type="dxa" w:w="7488"/>
            <w:vAlign w:val="center"/>
            <w:tcMar>
              <w:top w:w="90" w:type="dxa"/>
              <w:start w:w="110" w:type="dxa"/>
              <w:bottom w:w="90" w:type="dxa"/>
              <w:end w:w="110" w:type="dxa"/>
            </w:tcMar>
          </w:tcPr>
          <w:p>
            <w:pPr>
              <w:spacing w:after="40" w:before="40"/>
            </w:pPr>
            <w:r>
              <w:rPr>
                <w:rFonts w:ascii="Aptos" w:hAnsi="Aptos"/>
                <w:sz w:val="18"/>
              </w:rPr>
              <w:t>Stable aggregate-oriented ID such as tenant/application combination; collisions impossible across tenants.</w:t>
            </w:r>
          </w:p>
        </w:tc>
      </w:tr>
      <w:tr>
        <w:tc>
          <w:tcPr>
            <w:tcW w:type="dxa" w:w="2232"/>
            <w:vAlign w:val="center"/>
            <w:tcMar>
              <w:top w:w="90" w:type="dxa"/>
              <w:start w:w="110" w:type="dxa"/>
              <w:bottom w:w="90" w:type="dxa"/>
              <w:end w:w="110" w:type="dxa"/>
            </w:tcMar>
          </w:tcPr>
          <w:p>
            <w:pPr>
              <w:spacing w:after="40" w:before="40"/>
            </w:pPr>
            <w:r>
              <w:rPr>
                <w:rFonts w:ascii="Aptos" w:hAnsi="Aptos"/>
                <w:sz w:val="18"/>
              </w:rPr>
              <w:t>Workflow input</w:t>
            </w:r>
          </w:p>
        </w:tc>
        <w:tc>
          <w:tcPr>
            <w:tcW w:type="dxa" w:w="7488"/>
            <w:vAlign w:val="center"/>
            <w:tcMar>
              <w:top w:w="90" w:type="dxa"/>
              <w:start w:w="110" w:type="dxa"/>
              <w:bottom w:w="90" w:type="dxa"/>
              <w:end w:w="110" w:type="dxa"/>
            </w:tcMar>
          </w:tcPr>
          <w:p>
            <w:pPr>
              <w:spacing w:after="40" w:before="40"/>
            </w:pPr>
            <w:r>
              <w:rPr>
                <w:rFonts w:ascii="Aptos" w:hAnsi="Aptos"/>
                <w:sz w:val="18"/>
              </w:rPr>
              <w:t>tenant_id, application_id, service_offering_id, workflow_version_id, jurisdiction_id and pinned service-package IDs.</w:t>
            </w:r>
          </w:p>
        </w:tc>
      </w:tr>
      <w:tr>
        <w:tc>
          <w:tcPr>
            <w:tcW w:type="dxa" w:w="2232"/>
            <w:vAlign w:val="center"/>
            <w:tcMar>
              <w:top w:w="90" w:type="dxa"/>
              <w:start w:w="110" w:type="dxa"/>
              <w:bottom w:w="90" w:type="dxa"/>
              <w:end w:w="110" w:type="dxa"/>
            </w:tcMar>
          </w:tcPr>
          <w:p>
            <w:pPr>
              <w:spacing w:after="40" w:before="40"/>
            </w:pPr>
            <w:r>
              <w:rPr>
                <w:rFonts w:ascii="Aptos" w:hAnsi="Aptos"/>
                <w:sz w:val="18"/>
              </w:rPr>
              <w:t>Task queues</w:t>
            </w:r>
          </w:p>
        </w:tc>
        <w:tc>
          <w:tcPr>
            <w:tcW w:type="dxa" w:w="7488"/>
            <w:vAlign w:val="center"/>
            <w:tcMar>
              <w:top w:w="90" w:type="dxa"/>
              <w:start w:w="110" w:type="dxa"/>
              <w:bottom w:w="90" w:type="dxa"/>
              <w:end w:w="110" w:type="dxa"/>
            </w:tcMar>
          </w:tcPr>
          <w:p>
            <w:pPr>
              <w:spacing w:after="40" w:before="40"/>
            </w:pPr>
            <w:r>
              <w:rPr>
                <w:rFonts w:ascii="Aptos" w:hAnsi="Aptos"/>
                <w:sz w:val="18"/>
              </w:rPr>
              <w:t>By workload class/cell (application, verification, payment, credential, integration, notification), not one queue per tenant by default.</w:t>
            </w:r>
          </w:p>
        </w:tc>
      </w:tr>
      <w:tr>
        <w:tc>
          <w:tcPr>
            <w:tcW w:type="dxa" w:w="2232"/>
            <w:vAlign w:val="center"/>
            <w:tcMar>
              <w:top w:w="90" w:type="dxa"/>
              <w:start w:w="110" w:type="dxa"/>
              <w:bottom w:w="90" w:type="dxa"/>
              <w:end w:w="110" w:type="dxa"/>
            </w:tcMar>
          </w:tcPr>
          <w:p>
            <w:pPr>
              <w:spacing w:after="40" w:before="40"/>
            </w:pPr>
            <w:r>
              <w:rPr>
                <w:rFonts w:ascii="Aptos" w:hAnsi="Aptos"/>
                <w:sz w:val="18"/>
              </w:rPr>
              <w:t>Workers</w:t>
            </w:r>
          </w:p>
        </w:tc>
        <w:tc>
          <w:tcPr>
            <w:tcW w:type="dxa" w:w="7488"/>
            <w:vAlign w:val="center"/>
            <w:tcMar>
              <w:top w:w="90" w:type="dxa"/>
              <w:start w:w="110" w:type="dxa"/>
              <w:bottom w:w="90" w:type="dxa"/>
              <w:end w:w="110" w:type="dxa"/>
            </w:tcMar>
          </w:tcPr>
          <w:p>
            <w:pPr>
              <w:spacing w:after="40" w:before="40"/>
            </w:pPr>
            <w:r>
              <w:rPr>
                <w:rFonts w:ascii="Aptos" w:hAnsi="Aptos"/>
                <w:sz w:val="18"/>
              </w:rPr>
              <w:t>Stateless scalable worker fleets poll task queues; workers validate tenant context before side effects.</w:t>
            </w:r>
          </w:p>
        </w:tc>
      </w:tr>
      <w:tr>
        <w:tc>
          <w:tcPr>
            <w:tcW w:type="dxa" w:w="2232"/>
            <w:vAlign w:val="center"/>
            <w:tcMar>
              <w:top w:w="90" w:type="dxa"/>
              <w:start w:w="110" w:type="dxa"/>
              <w:bottom w:w="90" w:type="dxa"/>
              <w:end w:w="110" w:type="dxa"/>
            </w:tcMar>
          </w:tcPr>
          <w:p>
            <w:pPr>
              <w:spacing w:after="40" w:before="40"/>
            </w:pPr>
            <w:r>
              <w:rPr>
                <w:rFonts w:ascii="Aptos" w:hAnsi="Aptos"/>
                <w:sz w:val="18"/>
              </w:rPr>
              <w:t>Signals / updates</w:t>
            </w:r>
          </w:p>
        </w:tc>
        <w:tc>
          <w:tcPr>
            <w:tcW w:type="dxa" w:w="7488"/>
            <w:vAlign w:val="center"/>
            <w:tcMar>
              <w:top w:w="90" w:type="dxa"/>
              <w:start w:w="110" w:type="dxa"/>
              <w:bottom w:w="90" w:type="dxa"/>
              <w:end w:w="110" w:type="dxa"/>
            </w:tcMar>
          </w:tcPr>
          <w:p>
            <w:pPr>
              <w:spacing w:after="40" w:before="40"/>
            </w:pPr>
            <w:r>
              <w:rPr>
                <w:rFonts w:ascii="Aptos" w:hAnsi="Aptos"/>
                <w:sz w:val="18"/>
              </w:rPr>
              <w:t>Used for external human/task outcomes and approved state changes; every handler remains idempotent.</w:t>
            </w:r>
          </w:p>
        </w:tc>
      </w:tr>
      <w:tr>
        <w:tc>
          <w:tcPr>
            <w:tcW w:type="dxa" w:w="2232"/>
            <w:vAlign w:val="center"/>
            <w:tcMar>
              <w:top w:w="90" w:type="dxa"/>
              <w:start w:w="110" w:type="dxa"/>
              <w:bottom w:w="90" w:type="dxa"/>
              <w:end w:w="110" w:type="dxa"/>
            </w:tcMar>
          </w:tcPr>
          <w:p>
            <w:pPr>
              <w:spacing w:after="40" w:before="40"/>
            </w:pPr>
            <w:r>
              <w:rPr>
                <w:rFonts w:ascii="Aptos" w:hAnsi="Aptos"/>
                <w:sz w:val="18"/>
              </w:rPr>
              <w:t>History</w:t>
            </w:r>
          </w:p>
        </w:tc>
        <w:tc>
          <w:tcPr>
            <w:tcW w:type="dxa" w:w="7488"/>
            <w:vAlign w:val="center"/>
            <w:tcMar>
              <w:top w:w="90" w:type="dxa"/>
              <w:start w:w="110" w:type="dxa"/>
              <w:bottom w:w="90" w:type="dxa"/>
              <w:end w:w="110" w:type="dxa"/>
            </w:tcMar>
          </w:tcPr>
          <w:p>
            <w:pPr>
              <w:spacing w:after="40" w:before="40"/>
            </w:pPr>
            <w:r>
              <w:rPr>
                <w:rFonts w:ascii="Aptos" w:hAnsi="Aptos"/>
                <w:sz w:val="18"/>
              </w:rPr>
              <w:t>Temporal history proves orchestration progress; PostgreSQL remains authoritative for business state and human task records.</w:t>
            </w:r>
          </w:p>
        </w:tc>
      </w:tr>
    </w:tbl>
    <w:p>
      <w:pPr>
        <w:pStyle w:val="Heading2"/>
      </w:pPr>
      <w:r>
        <w:t>20.9 Human task interface and OPA intersection</w:t>
      </w:r>
    </w:p>
    <w:p>
      <w:pPr>
        <w:spacing w:after="120"/>
      </w:pPr>
      <w:r>
        <w:t>When the workflow reaches a human node, a ServiceForm task record is created in PostgreSQL. The task is addressed to a role/office/jurisdiction rule, not a permanently named person. The officer workbench lists only tasks visible under tenant isolation and authorization rules.</w:t>
      </w:r>
    </w:p>
    <w:tbl>
      <w:tblPr>
        <w:tblW w:type="auto" w:w="0"/>
        <w:jc w:val="center"/>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17365D"/>
          </w:tcPr>
          <w:p>
            <w:pPr>
              <w:spacing w:after="40" w:before="40"/>
            </w:pPr>
            <w:r>
              <w:rPr>
                <w:rFonts w:ascii="Aptos" w:hAnsi="Aptos"/>
                <w:b/>
                <w:color w:val="FFFFFF"/>
                <w:sz w:val="18"/>
              </w:rPr>
              <w:t>Action</w:t>
            </w:r>
          </w:p>
        </w:tc>
        <w:tc>
          <w:tcPr>
            <w:tcW w:type="dxa" w:w="7488"/>
            <w:vAlign w:val="center"/>
            <w:tcMar>
              <w:top w:w="90" w:type="dxa"/>
              <w:start w:w="110" w:type="dxa"/>
              <w:bottom w:w="90" w:type="dxa"/>
              <w:end w:w="110" w:type="dxa"/>
            </w:tcMar>
            <w:shd w:fill="17365D"/>
          </w:tcPr>
          <w:p>
            <w:pPr>
              <w:spacing w:after="40" w:before="40"/>
            </w:pPr>
            <w:r>
              <w:rPr>
                <w:rFonts w:ascii="Aptos" w:hAnsi="Aptos"/>
                <w:b/>
                <w:color w:val="FFFFFF"/>
                <w:sz w:val="18"/>
              </w:rPr>
              <w:t>Runtime sequence</w:t>
            </w:r>
          </w:p>
        </w:tc>
      </w:tr>
      <w:tr>
        <w:tc>
          <w:tcPr>
            <w:tcW w:type="dxa" w:w="2232"/>
            <w:vAlign w:val="center"/>
            <w:tcMar>
              <w:top w:w="90" w:type="dxa"/>
              <w:start w:w="110" w:type="dxa"/>
              <w:bottom w:w="90" w:type="dxa"/>
              <w:end w:w="110" w:type="dxa"/>
            </w:tcMar>
          </w:tcPr>
          <w:p>
            <w:pPr>
              <w:spacing w:after="40" w:before="40"/>
            </w:pPr>
            <w:r>
              <w:rPr>
                <w:rFonts w:ascii="Aptos" w:hAnsi="Aptos"/>
                <w:sz w:val="18"/>
              </w:rPr>
              <w:t>List work</w:t>
            </w:r>
          </w:p>
        </w:tc>
        <w:tc>
          <w:tcPr>
            <w:tcW w:type="dxa" w:w="7488"/>
            <w:vAlign w:val="center"/>
            <w:tcMar>
              <w:top w:w="90" w:type="dxa"/>
              <w:start w:w="110" w:type="dxa"/>
              <w:bottom w:w="90" w:type="dxa"/>
              <w:end w:w="110" w:type="dxa"/>
            </w:tcMar>
          </w:tcPr>
          <w:p>
            <w:pPr>
              <w:spacing w:after="40" w:before="40"/>
            </w:pPr>
            <w:r>
              <w:rPr>
                <w:rFonts w:ascii="Aptos" w:hAnsi="Aptos"/>
                <w:sz w:val="18"/>
              </w:rPr>
              <w:t>PostgreSQL RLS + server tenant context restrict rows; query is additionally scoped by role/jurisdiction.</w:t>
            </w:r>
          </w:p>
        </w:tc>
      </w:tr>
      <w:tr>
        <w:tc>
          <w:tcPr>
            <w:tcW w:type="dxa" w:w="2232"/>
            <w:vAlign w:val="center"/>
            <w:tcMar>
              <w:top w:w="90" w:type="dxa"/>
              <w:start w:w="110" w:type="dxa"/>
              <w:bottom w:w="90" w:type="dxa"/>
              <w:end w:w="110" w:type="dxa"/>
            </w:tcMar>
          </w:tcPr>
          <w:p>
            <w:pPr>
              <w:spacing w:after="40" w:before="40"/>
            </w:pPr>
            <w:r>
              <w:rPr>
                <w:rFonts w:ascii="Aptos" w:hAnsi="Aptos"/>
                <w:sz w:val="18"/>
              </w:rPr>
              <w:t>Claim task</w:t>
            </w:r>
          </w:p>
        </w:tc>
        <w:tc>
          <w:tcPr>
            <w:tcW w:type="dxa" w:w="7488"/>
            <w:vAlign w:val="center"/>
            <w:tcMar>
              <w:top w:w="90" w:type="dxa"/>
              <w:start w:w="110" w:type="dxa"/>
              <w:bottom w:w="90" w:type="dxa"/>
              <w:end w:w="110" w:type="dxa"/>
            </w:tcMar>
          </w:tcPr>
          <w:p>
            <w:pPr>
              <w:spacing w:after="40" w:before="40"/>
            </w:pPr>
            <w:r>
              <w:rPr>
                <w:rFonts w:ascii="Aptos" w:hAnsi="Aptos"/>
                <w:sz w:val="18"/>
              </w:rPr>
              <w:t>OPA checks tenant, role, jurisdiction, task state and delegation -&gt; task assignment persisted -&gt; Temporal signaled/updated.</w:t>
            </w:r>
          </w:p>
        </w:tc>
      </w:tr>
      <w:tr>
        <w:tc>
          <w:tcPr>
            <w:tcW w:type="dxa" w:w="2232"/>
            <w:vAlign w:val="center"/>
            <w:tcMar>
              <w:top w:w="90" w:type="dxa"/>
              <w:start w:w="110" w:type="dxa"/>
              <w:bottom w:w="90" w:type="dxa"/>
              <w:end w:w="110" w:type="dxa"/>
            </w:tcMar>
          </w:tcPr>
          <w:p>
            <w:pPr>
              <w:spacing w:after="40" w:before="40"/>
            </w:pPr>
            <w:r>
              <w:rPr>
                <w:rFonts w:ascii="Aptos" w:hAnsi="Aptos"/>
                <w:sz w:val="18"/>
              </w:rPr>
              <w:t>Complete verification</w:t>
            </w:r>
          </w:p>
        </w:tc>
        <w:tc>
          <w:tcPr>
            <w:tcW w:type="dxa" w:w="7488"/>
            <w:vAlign w:val="center"/>
            <w:tcMar>
              <w:top w:w="90" w:type="dxa"/>
              <w:start w:w="110" w:type="dxa"/>
              <w:bottom w:w="90" w:type="dxa"/>
              <w:end w:w="110" w:type="dxa"/>
            </w:tcMar>
          </w:tcPr>
          <w:p>
            <w:pPr>
              <w:spacing w:after="40" w:before="40"/>
            </w:pPr>
            <w:r>
              <w:rPr>
                <w:rFonts w:ascii="Aptos" w:hAnsi="Aptos"/>
                <w:sz w:val="18"/>
              </w:rPr>
              <w:t>OPA authorizes action -&gt; application/task transaction persists decision/evidence + outbox -&gt; Temporal receives durable outcome.</w:t>
            </w:r>
          </w:p>
        </w:tc>
      </w:tr>
      <w:tr>
        <w:tc>
          <w:tcPr>
            <w:tcW w:type="dxa" w:w="2232"/>
            <w:vAlign w:val="center"/>
            <w:tcMar>
              <w:top w:w="90" w:type="dxa"/>
              <w:start w:w="110" w:type="dxa"/>
              <w:bottom w:w="90" w:type="dxa"/>
              <w:end w:w="110" w:type="dxa"/>
            </w:tcMar>
          </w:tcPr>
          <w:p>
            <w:pPr>
              <w:spacing w:after="40" w:before="40"/>
            </w:pPr>
            <w:r>
              <w:rPr>
                <w:rFonts w:ascii="Aptos" w:hAnsi="Aptos"/>
                <w:sz w:val="18"/>
              </w:rPr>
              <w:t>Approve / reject</w:t>
            </w:r>
          </w:p>
        </w:tc>
        <w:tc>
          <w:tcPr>
            <w:tcW w:type="dxa" w:w="7488"/>
            <w:vAlign w:val="center"/>
            <w:tcMar>
              <w:top w:w="90" w:type="dxa"/>
              <w:start w:w="110" w:type="dxa"/>
              <w:bottom w:w="90" w:type="dxa"/>
              <w:end w:w="110" w:type="dxa"/>
            </w:tcMar>
          </w:tcPr>
          <w:p>
            <w:pPr>
              <w:spacing w:after="40" w:before="40"/>
            </w:pPr>
            <w:r>
              <w:rPr>
                <w:rFonts w:ascii="Aptos" w:hAnsi="Aptos"/>
                <w:sz w:val="18"/>
              </w:rPr>
              <w:t>OPA checks permission and workflow node; authorized officer/business system records decision; Temporal advances according to configured outcome.</w:t>
            </w:r>
          </w:p>
        </w:tc>
      </w:tr>
      <w:tr>
        <w:tc>
          <w:tcPr>
            <w:tcW w:type="dxa" w:w="2232"/>
            <w:vAlign w:val="center"/>
            <w:tcMar>
              <w:top w:w="90" w:type="dxa"/>
              <w:start w:w="110" w:type="dxa"/>
              <w:bottom w:w="90" w:type="dxa"/>
              <w:end w:w="110" w:type="dxa"/>
            </w:tcMar>
          </w:tcPr>
          <w:p>
            <w:pPr>
              <w:spacing w:after="40" w:before="40"/>
            </w:pPr>
            <w:r>
              <w:rPr>
                <w:rFonts w:ascii="Aptos" w:hAnsi="Aptos"/>
                <w:sz w:val="18"/>
              </w:rPr>
              <w:t>Reassign / delegate</w:t>
            </w:r>
          </w:p>
        </w:tc>
        <w:tc>
          <w:tcPr>
            <w:tcW w:type="dxa" w:w="7488"/>
            <w:vAlign w:val="center"/>
            <w:tcMar>
              <w:top w:w="90" w:type="dxa"/>
              <w:start w:w="110" w:type="dxa"/>
              <w:bottom w:w="90" w:type="dxa"/>
              <w:end w:w="110" w:type="dxa"/>
            </w:tcMar>
          </w:tcPr>
          <w:p>
            <w:pPr>
              <w:spacing w:after="40" w:before="40"/>
            </w:pPr>
            <w:r>
              <w:rPr>
                <w:rFonts w:ascii="Aptos" w:hAnsi="Aptos"/>
                <w:sz w:val="18"/>
              </w:rPr>
              <w:t>Delegation policy validated/audited; task assignment changes without modifying workflow definition.</w:t>
            </w:r>
          </w:p>
        </w:tc>
      </w:tr>
    </w:tbl>
    <w:p>
      <w:pPr>
        <w:pStyle w:val="Heading2"/>
      </w:pPr>
      <w:r>
        <w:t>20.10 Workflow-driven permission derivation</w:t>
      </w:r>
    </w:p>
    <w:p>
      <w:pPr>
        <w:spacing w:after="120"/>
      </w:pPr>
      <w:r>
        <w:t>The Studio should reduce configuration errors by deriving required permissions from workflow nodes. Example: adding an APPROVAL node with role TAHSILDAR implies READ_APPLICATION, CLAIM_TASK and APPROVE_APPLICATION permissions. The Access Designer shows the required permissions and asks the maker to bind them; publication fails if an executable human node has no authorized role/scope.</w:t>
      </w:r>
    </w:p>
    <w:p>
      <w:pPr>
        <w:pStyle w:val="Heading2"/>
      </w:pPr>
      <w:r>
        <w:t>20.11 TenantServiceBinding</w:t>
      </w:r>
    </w:p>
    <w:p>
      <w:pPr>
        <w:jc w:val="center"/>
      </w:pPr>
      <w:r>
        <w:drawing>
          <wp:inline xmlns:a="http://schemas.openxmlformats.org/drawingml/2006/main" xmlns:pic="http://schemas.openxmlformats.org/drawingml/2006/picture">
            <wp:extent cx="6309360" cy="3154680"/>
            <wp:docPr id="15" name="Picture 15"/>
            <wp:cNvGraphicFramePr>
              <a:graphicFrameLocks noChangeAspect="1"/>
            </wp:cNvGraphicFramePr>
            <a:graphic>
              <a:graphicData uri="http://schemas.openxmlformats.org/drawingml/2006/picture">
                <pic:pic>
                  <pic:nvPicPr>
                    <pic:cNvPr id="0" name="tenant_service_binding.png"/>
                    <pic:cNvPicPr/>
                  </pic:nvPicPr>
                  <pic:blipFill>
                    <a:blip r:embed="rId25"/>
                    <a:stretch>
                      <a:fillRect/>
                    </a:stretch>
                  </pic:blipFill>
                  <pic:spPr>
                    <a:xfrm>
                      <a:off x="0" y="0"/>
                      <a:ext cx="6309360" cy="3154680"/>
                    </a:xfrm>
                    <a:prstGeom prst="rect"/>
                  </pic:spPr>
                </pic:pic>
              </a:graphicData>
            </a:graphic>
          </wp:inline>
        </w:drawing>
      </w:r>
    </w:p>
    <w:p>
      <w:pPr>
        <w:pStyle w:val="Caption"/>
        <w:jc w:val="center"/>
      </w:pPr>
      <w:r>
        <w:t>Figure 11 - TenantServiceBinding as the single executable tenant service definition</w:t>
      </w:r>
    </w:p>
    <w:p>
      <w:pPr>
        <w:spacing w:after="120"/>
      </w:pPr>
      <w:r>
        <w:t>A TenantServiceBinding is the immutable published manifest that binds a tenant/local service offering to the exact versions needed for execution. New applications pin the binding (or its constituent version IDs) at submission; later tenant configuration changes do not rewrite in-flight history.</w:t>
      </w:r>
    </w:p>
    <w:tbl>
      <w:tblPr>
        <w:tblW w:type="auto" w:w="0"/>
        <w:jc w:val="center"/>
        <w:tblLook w:firstColumn="1" w:firstRow="1" w:lastColumn="0" w:lastRow="0" w:noHBand="0" w:noVBand="1" w:val="04A0"/>
      </w:tblPr>
      <w:tblGrid>
        <w:gridCol w:w="5083"/>
        <w:gridCol w:w="5083"/>
      </w:tblGrid>
      <w:tr>
        <w:trPr>
          <w:tblHeader w:val="true"/>
        </w:trPr>
        <w:tc>
          <w:tcPr>
            <w:tcW w:type="dxa" w:w="3096"/>
            <w:vAlign w:val="center"/>
            <w:tcMar>
              <w:top w:w="90" w:type="dxa"/>
              <w:start w:w="110" w:type="dxa"/>
              <w:bottom w:w="90" w:type="dxa"/>
              <w:end w:w="110" w:type="dxa"/>
            </w:tcMar>
            <w:shd w:fill="17365D"/>
          </w:tcPr>
          <w:p>
            <w:pPr>
              <w:spacing w:after="40" w:before="40"/>
            </w:pPr>
            <w:r>
              <w:rPr>
                <w:rFonts w:ascii="Aptos" w:hAnsi="Aptos"/>
                <w:b/>
                <w:color w:val="FFFFFF"/>
                <w:sz w:val="18"/>
              </w:rPr>
              <w:t>Field</w:t>
            </w:r>
          </w:p>
        </w:tc>
        <w:tc>
          <w:tcPr>
            <w:tcW w:type="dxa" w:w="6624"/>
            <w:vAlign w:val="center"/>
            <w:tcMar>
              <w:top w:w="90" w:type="dxa"/>
              <w:start w:w="110" w:type="dxa"/>
              <w:bottom w:w="90" w:type="dxa"/>
              <w:end w:w="110" w:type="dxa"/>
            </w:tcMar>
            <w:shd w:fill="17365D"/>
          </w:tcPr>
          <w:p>
            <w:pPr>
              <w:spacing w:after="40" w:before="40"/>
            </w:pPr>
            <w:r>
              <w:rPr>
                <w:rFonts w:ascii="Aptos" w:hAnsi="Aptos"/>
                <w:b/>
                <w:color w:val="FFFFFF"/>
                <w:sz w:val="18"/>
              </w:rPr>
              <w:t>Purpose</w:t>
            </w:r>
          </w:p>
        </w:tc>
      </w:tr>
      <w:tr>
        <w:tc>
          <w:tcPr>
            <w:tcW w:type="dxa" w:w="3096"/>
            <w:vAlign w:val="center"/>
            <w:tcMar>
              <w:top w:w="90" w:type="dxa"/>
              <w:start w:w="110" w:type="dxa"/>
              <w:bottom w:w="90" w:type="dxa"/>
              <w:end w:w="110" w:type="dxa"/>
            </w:tcMar>
          </w:tcPr>
          <w:p>
            <w:pPr>
              <w:spacing w:after="40" w:before="40"/>
            </w:pPr>
            <w:r>
              <w:rPr>
                <w:rFonts w:ascii="Aptos" w:hAnsi="Aptos"/>
                <w:sz w:val="18"/>
              </w:rPr>
              <w:t>tenant_service_binding_id</w:t>
            </w:r>
          </w:p>
        </w:tc>
        <w:tc>
          <w:tcPr>
            <w:tcW w:type="dxa" w:w="6624"/>
            <w:vAlign w:val="center"/>
            <w:tcMar>
              <w:top w:w="90" w:type="dxa"/>
              <w:start w:w="110" w:type="dxa"/>
              <w:bottom w:w="90" w:type="dxa"/>
              <w:end w:w="110" w:type="dxa"/>
            </w:tcMar>
          </w:tcPr>
          <w:p>
            <w:pPr>
              <w:spacing w:after="40" w:before="40"/>
            </w:pPr>
            <w:r>
              <w:rPr>
                <w:rFonts w:ascii="Aptos" w:hAnsi="Aptos"/>
                <w:sz w:val="18"/>
              </w:rPr>
              <w:t>Immutable published binding identifier.</w:t>
            </w:r>
          </w:p>
        </w:tc>
      </w:tr>
      <w:tr>
        <w:tc>
          <w:tcPr>
            <w:tcW w:type="dxa" w:w="3096"/>
            <w:vAlign w:val="center"/>
            <w:tcMar>
              <w:top w:w="90" w:type="dxa"/>
              <w:start w:w="110" w:type="dxa"/>
              <w:bottom w:w="90" w:type="dxa"/>
              <w:end w:w="110" w:type="dxa"/>
            </w:tcMar>
          </w:tcPr>
          <w:p>
            <w:pPr>
              <w:spacing w:after="40" w:before="40"/>
            </w:pPr>
            <w:r>
              <w:rPr>
                <w:rFonts w:ascii="Aptos" w:hAnsi="Aptos"/>
                <w:sz w:val="18"/>
              </w:rPr>
              <w:t>tenant_id / local_service_offering_id</w:t>
            </w:r>
          </w:p>
        </w:tc>
        <w:tc>
          <w:tcPr>
            <w:tcW w:type="dxa" w:w="6624"/>
            <w:vAlign w:val="center"/>
            <w:tcMar>
              <w:top w:w="90" w:type="dxa"/>
              <w:start w:w="110" w:type="dxa"/>
              <w:bottom w:w="90" w:type="dxa"/>
              <w:end w:w="110" w:type="dxa"/>
            </w:tcMar>
          </w:tcPr>
          <w:p>
            <w:pPr>
              <w:spacing w:after="40" w:before="40"/>
            </w:pPr>
            <w:r>
              <w:rPr>
                <w:rFonts w:ascii="Aptos" w:hAnsi="Aptos"/>
                <w:sz w:val="18"/>
              </w:rPr>
              <w:t>Tenant and service being configured.</w:t>
            </w:r>
          </w:p>
        </w:tc>
      </w:tr>
      <w:tr>
        <w:tc>
          <w:tcPr>
            <w:tcW w:type="dxa" w:w="3096"/>
            <w:vAlign w:val="center"/>
            <w:tcMar>
              <w:top w:w="90" w:type="dxa"/>
              <w:start w:w="110" w:type="dxa"/>
              <w:bottom w:w="90" w:type="dxa"/>
              <w:end w:w="110" w:type="dxa"/>
            </w:tcMar>
          </w:tcPr>
          <w:p>
            <w:pPr>
              <w:spacing w:after="40" w:before="40"/>
            </w:pPr>
            <w:r>
              <w:rPr>
                <w:rFonts w:ascii="Aptos" w:hAnsi="Aptos"/>
                <w:sz w:val="18"/>
              </w:rPr>
              <w:t>form_version_id</w:t>
            </w:r>
          </w:p>
        </w:tc>
        <w:tc>
          <w:tcPr>
            <w:tcW w:type="dxa" w:w="6624"/>
            <w:vAlign w:val="center"/>
            <w:tcMar>
              <w:top w:w="90" w:type="dxa"/>
              <w:start w:w="110" w:type="dxa"/>
              <w:bottom w:w="90" w:type="dxa"/>
              <w:end w:w="110" w:type="dxa"/>
            </w:tcMar>
          </w:tcPr>
          <w:p>
            <w:pPr>
              <w:spacing w:after="40" w:before="40"/>
            </w:pPr>
            <w:r>
              <w:rPr>
                <w:rFonts w:ascii="Aptos" w:hAnsi="Aptos"/>
                <w:sz w:val="18"/>
              </w:rPr>
              <w:t>Published form schema/UI/extension version.</w:t>
            </w:r>
          </w:p>
        </w:tc>
      </w:tr>
      <w:tr>
        <w:tc>
          <w:tcPr>
            <w:tcW w:type="dxa" w:w="3096"/>
            <w:vAlign w:val="center"/>
            <w:tcMar>
              <w:top w:w="90" w:type="dxa"/>
              <w:start w:w="110" w:type="dxa"/>
              <w:bottom w:w="90" w:type="dxa"/>
              <w:end w:w="110" w:type="dxa"/>
            </w:tcMar>
          </w:tcPr>
          <w:p>
            <w:pPr>
              <w:spacing w:after="40" w:before="40"/>
            </w:pPr>
            <w:r>
              <w:rPr>
                <w:rFonts w:ascii="Aptos" w:hAnsi="Aptos"/>
                <w:sz w:val="18"/>
              </w:rPr>
              <w:t>rule_version_id</w:t>
            </w:r>
          </w:p>
        </w:tc>
        <w:tc>
          <w:tcPr>
            <w:tcW w:type="dxa" w:w="6624"/>
            <w:vAlign w:val="center"/>
            <w:tcMar>
              <w:top w:w="90" w:type="dxa"/>
              <w:start w:w="110" w:type="dxa"/>
              <w:bottom w:w="90" w:type="dxa"/>
              <w:end w:w="110" w:type="dxa"/>
            </w:tcMar>
          </w:tcPr>
          <w:p>
            <w:pPr>
              <w:spacing w:after="40" w:before="40"/>
            </w:pPr>
            <w:r>
              <w:rPr>
                <w:rFonts w:ascii="Aptos" w:hAnsi="Aptos"/>
                <w:sz w:val="18"/>
              </w:rPr>
              <w:t>Published deterministic rule package.</w:t>
            </w:r>
          </w:p>
        </w:tc>
      </w:tr>
      <w:tr>
        <w:tc>
          <w:tcPr>
            <w:tcW w:type="dxa" w:w="3096"/>
            <w:vAlign w:val="center"/>
            <w:tcMar>
              <w:top w:w="90" w:type="dxa"/>
              <w:start w:w="110" w:type="dxa"/>
              <w:bottom w:w="90" w:type="dxa"/>
              <w:end w:w="110" w:type="dxa"/>
            </w:tcMar>
          </w:tcPr>
          <w:p>
            <w:pPr>
              <w:spacing w:after="40" w:before="40"/>
            </w:pPr>
            <w:r>
              <w:rPr>
                <w:rFonts w:ascii="Aptos" w:hAnsi="Aptos"/>
                <w:sz w:val="18"/>
              </w:rPr>
              <w:t>workflow_version_id</w:t>
            </w:r>
          </w:p>
        </w:tc>
        <w:tc>
          <w:tcPr>
            <w:tcW w:type="dxa" w:w="6624"/>
            <w:vAlign w:val="center"/>
            <w:tcMar>
              <w:top w:w="90" w:type="dxa"/>
              <w:start w:w="110" w:type="dxa"/>
              <w:bottom w:w="90" w:type="dxa"/>
              <w:end w:w="110" w:type="dxa"/>
            </w:tcMar>
          </w:tcPr>
          <w:p>
            <w:pPr>
              <w:spacing w:after="40" w:before="40"/>
            </w:pPr>
            <w:r>
              <w:rPr>
                <w:rFonts w:ascii="Aptos" w:hAnsi="Aptos"/>
                <w:sz w:val="18"/>
              </w:rPr>
              <w:t>Published visual workflow definition.</w:t>
            </w:r>
          </w:p>
        </w:tc>
      </w:tr>
      <w:tr>
        <w:tc>
          <w:tcPr>
            <w:tcW w:type="dxa" w:w="3096"/>
            <w:vAlign w:val="center"/>
            <w:tcMar>
              <w:top w:w="90" w:type="dxa"/>
              <w:start w:w="110" w:type="dxa"/>
              <w:bottom w:w="90" w:type="dxa"/>
              <w:end w:w="110" w:type="dxa"/>
            </w:tcMar>
          </w:tcPr>
          <w:p>
            <w:pPr>
              <w:spacing w:after="40" w:before="40"/>
            </w:pPr>
            <w:r>
              <w:rPr>
                <w:rFonts w:ascii="Aptos" w:hAnsi="Aptos"/>
                <w:sz w:val="18"/>
              </w:rPr>
              <w:t>evidence_policy_version_id</w:t>
            </w:r>
          </w:p>
        </w:tc>
        <w:tc>
          <w:tcPr>
            <w:tcW w:type="dxa" w:w="6624"/>
            <w:vAlign w:val="center"/>
            <w:tcMar>
              <w:top w:w="90" w:type="dxa"/>
              <w:start w:w="110" w:type="dxa"/>
              <w:bottom w:w="90" w:type="dxa"/>
              <w:end w:w="110" w:type="dxa"/>
            </w:tcMar>
          </w:tcPr>
          <w:p>
            <w:pPr>
              <w:spacing w:after="40" w:before="40"/>
            </w:pPr>
            <w:r>
              <w:rPr>
                <w:rFonts w:ascii="Aptos" w:hAnsi="Aptos"/>
                <w:sz w:val="18"/>
              </w:rPr>
              <w:t>Evidence requirements and verification/fallback policy.</w:t>
            </w:r>
          </w:p>
        </w:tc>
      </w:tr>
      <w:tr>
        <w:tc>
          <w:tcPr>
            <w:tcW w:type="dxa" w:w="3096"/>
            <w:vAlign w:val="center"/>
            <w:tcMar>
              <w:top w:w="90" w:type="dxa"/>
              <w:start w:w="110" w:type="dxa"/>
              <w:bottom w:w="90" w:type="dxa"/>
              <w:end w:w="110" w:type="dxa"/>
            </w:tcMar>
          </w:tcPr>
          <w:p>
            <w:pPr>
              <w:spacing w:after="40" w:before="40"/>
            </w:pPr>
            <w:r>
              <w:rPr>
                <w:rFonts w:ascii="Aptos" w:hAnsi="Aptos"/>
                <w:sz w:val="18"/>
              </w:rPr>
              <w:t>fee_policy_version_id / sla_policy_version_id</w:t>
            </w:r>
          </w:p>
        </w:tc>
        <w:tc>
          <w:tcPr>
            <w:tcW w:type="dxa" w:w="6624"/>
            <w:vAlign w:val="center"/>
            <w:tcMar>
              <w:top w:w="90" w:type="dxa"/>
              <w:start w:w="110" w:type="dxa"/>
              <w:bottom w:w="90" w:type="dxa"/>
              <w:end w:w="110" w:type="dxa"/>
            </w:tcMar>
          </w:tcPr>
          <w:p>
            <w:pPr>
              <w:spacing w:after="40" w:before="40"/>
            </w:pPr>
            <w:r>
              <w:rPr>
                <w:rFonts w:ascii="Aptos" w:hAnsi="Aptos"/>
                <w:sz w:val="18"/>
              </w:rPr>
              <w:t>Fee and SLA behavior.</w:t>
            </w:r>
          </w:p>
        </w:tc>
      </w:tr>
      <w:tr>
        <w:tc>
          <w:tcPr>
            <w:tcW w:type="dxa" w:w="3096"/>
            <w:vAlign w:val="center"/>
            <w:tcMar>
              <w:top w:w="90" w:type="dxa"/>
              <w:start w:w="110" w:type="dxa"/>
              <w:bottom w:w="90" w:type="dxa"/>
              <w:end w:w="110" w:type="dxa"/>
            </w:tcMar>
          </w:tcPr>
          <w:p>
            <w:pPr>
              <w:spacing w:after="40" w:before="40"/>
            </w:pPr>
            <w:r>
              <w:rPr>
                <w:rFonts w:ascii="Aptos" w:hAnsi="Aptos"/>
                <w:sz w:val="18"/>
              </w:rPr>
              <w:t>authorization_policy_version_id</w:t>
            </w:r>
          </w:p>
        </w:tc>
        <w:tc>
          <w:tcPr>
            <w:tcW w:type="dxa" w:w="6624"/>
            <w:vAlign w:val="center"/>
            <w:tcMar>
              <w:top w:w="90" w:type="dxa"/>
              <w:start w:w="110" w:type="dxa"/>
              <w:bottom w:w="90" w:type="dxa"/>
              <w:end w:w="110" w:type="dxa"/>
            </w:tcMar>
          </w:tcPr>
          <w:p>
            <w:pPr>
              <w:spacing w:after="40" w:before="40"/>
            </w:pPr>
            <w:r>
              <w:rPr>
                <w:rFonts w:ascii="Aptos" w:hAnsi="Aptos"/>
                <w:sz w:val="18"/>
              </w:rPr>
              <w:t>Tenant access-policy data/bundle revision.</w:t>
            </w:r>
          </w:p>
        </w:tc>
      </w:tr>
      <w:tr>
        <w:tc>
          <w:tcPr>
            <w:tcW w:type="dxa" w:w="3096"/>
            <w:vAlign w:val="center"/>
            <w:tcMar>
              <w:top w:w="90" w:type="dxa"/>
              <w:start w:w="110" w:type="dxa"/>
              <w:bottom w:w="90" w:type="dxa"/>
              <w:end w:w="110" w:type="dxa"/>
            </w:tcMar>
          </w:tcPr>
          <w:p>
            <w:pPr>
              <w:spacing w:after="40" w:before="40"/>
            </w:pPr>
            <w:r>
              <w:rPr>
                <w:rFonts w:ascii="Aptos" w:hAnsi="Aptos"/>
                <w:sz w:val="18"/>
              </w:rPr>
              <w:t>credential_template_version_id / notification_version_id</w:t>
            </w:r>
          </w:p>
        </w:tc>
        <w:tc>
          <w:tcPr>
            <w:tcW w:type="dxa" w:w="6624"/>
            <w:vAlign w:val="center"/>
            <w:tcMar>
              <w:top w:w="90" w:type="dxa"/>
              <w:start w:w="110" w:type="dxa"/>
              <w:bottom w:w="90" w:type="dxa"/>
              <w:end w:w="110" w:type="dxa"/>
            </w:tcMar>
          </w:tcPr>
          <w:p>
            <w:pPr>
              <w:spacing w:after="40" w:before="40"/>
            </w:pPr>
            <w:r>
              <w:rPr>
                <w:rFonts w:ascii="Aptos" w:hAnsi="Aptos"/>
                <w:sz w:val="18"/>
              </w:rPr>
              <w:t>Output credential and communications.</w:t>
            </w:r>
          </w:p>
        </w:tc>
      </w:tr>
      <w:tr>
        <w:tc>
          <w:tcPr>
            <w:tcW w:type="dxa" w:w="3096"/>
            <w:vAlign w:val="center"/>
            <w:tcMar>
              <w:top w:w="90" w:type="dxa"/>
              <w:start w:w="110" w:type="dxa"/>
              <w:bottom w:w="90" w:type="dxa"/>
              <w:end w:w="110" w:type="dxa"/>
            </w:tcMar>
          </w:tcPr>
          <w:p>
            <w:pPr>
              <w:spacing w:after="40" w:before="40"/>
            </w:pPr>
            <w:r>
              <w:rPr>
                <w:rFonts w:ascii="Aptos" w:hAnsi="Aptos"/>
                <w:sz w:val="18"/>
              </w:rPr>
              <w:t>package_hash / status / published_at</w:t>
            </w:r>
          </w:p>
        </w:tc>
        <w:tc>
          <w:tcPr>
            <w:tcW w:type="dxa" w:w="6624"/>
            <w:vAlign w:val="center"/>
            <w:tcMar>
              <w:top w:w="90" w:type="dxa"/>
              <w:start w:w="110" w:type="dxa"/>
              <w:bottom w:w="90" w:type="dxa"/>
              <w:end w:w="110" w:type="dxa"/>
            </w:tcMar>
          </w:tcPr>
          <w:p>
            <w:pPr>
              <w:spacing w:after="40" w:before="40"/>
            </w:pPr>
            <w:r>
              <w:rPr>
                <w:rFonts w:ascii="Aptos" w:hAnsi="Aptos"/>
                <w:sz w:val="18"/>
              </w:rPr>
              <w:t>Integrity, lifecycle and publication audit.</w:t>
            </w:r>
          </w:p>
        </w:tc>
      </w:tr>
    </w:tbl>
    <w:p>
      <w:pPr>
        <w:pStyle w:val="Heading2"/>
      </w:pPr>
      <w:r>
        <w:t>20.12 PostgreSQL model additions</w:t>
      </w:r>
    </w:p>
    <w:tbl>
      <w:tblPr>
        <w:tblW w:type="auto" w:w="0"/>
        <w:jc w:val="center"/>
        <w:tblLook w:firstColumn="1" w:firstRow="1" w:lastColumn="0" w:lastRow="0" w:noHBand="0" w:noVBand="1" w:val="04A0"/>
      </w:tblPr>
      <w:tblGrid>
        <w:gridCol w:w="5083"/>
        <w:gridCol w:w="5083"/>
      </w:tblGrid>
      <w:tr>
        <w:trPr>
          <w:tblHeader w:val="true"/>
        </w:trPr>
        <w:tc>
          <w:tcPr>
            <w:tcW w:type="dxa" w:w="3240"/>
            <w:vAlign w:val="center"/>
            <w:tcMar>
              <w:top w:w="90" w:type="dxa"/>
              <w:start w:w="110" w:type="dxa"/>
              <w:bottom w:w="90" w:type="dxa"/>
              <w:end w:w="110" w:type="dxa"/>
            </w:tcMar>
            <w:shd w:fill="17365D"/>
          </w:tcPr>
          <w:p>
            <w:pPr>
              <w:spacing w:after="40" w:before="40"/>
            </w:pPr>
            <w:r>
              <w:rPr>
                <w:rFonts w:ascii="Aptos" w:hAnsi="Aptos"/>
                <w:b/>
                <w:color w:val="FFFFFF"/>
                <w:sz w:val="18"/>
              </w:rPr>
              <w:t>Entity</w:t>
            </w:r>
          </w:p>
        </w:tc>
        <w:tc>
          <w:tcPr>
            <w:tcW w:type="dxa" w:w="6480"/>
            <w:vAlign w:val="center"/>
            <w:tcMar>
              <w:top w:w="90" w:type="dxa"/>
              <w:start w:w="110" w:type="dxa"/>
              <w:bottom w:w="90" w:type="dxa"/>
              <w:end w:w="110" w:type="dxa"/>
            </w:tcMar>
            <w:shd w:fill="17365D"/>
          </w:tcPr>
          <w:p>
            <w:pPr>
              <w:spacing w:after="40" w:before="40"/>
            </w:pPr>
            <w:r>
              <w:rPr>
                <w:rFonts w:ascii="Aptos" w:hAnsi="Aptos"/>
                <w:b/>
                <w:color w:val="FFFFFF"/>
                <w:sz w:val="18"/>
              </w:rPr>
              <w:t>Purpose</w:t>
            </w:r>
          </w:p>
        </w:tc>
      </w:tr>
      <w:tr>
        <w:tc>
          <w:tcPr>
            <w:tcW w:type="dxa" w:w="3240"/>
            <w:vAlign w:val="center"/>
            <w:tcMar>
              <w:top w:w="90" w:type="dxa"/>
              <w:start w:w="110" w:type="dxa"/>
              <w:bottom w:w="90" w:type="dxa"/>
              <w:end w:w="110" w:type="dxa"/>
            </w:tcMar>
          </w:tcPr>
          <w:p>
            <w:pPr>
              <w:spacing w:after="40" w:before="40"/>
            </w:pPr>
            <w:r>
              <w:rPr>
                <w:rFonts w:ascii="Aptos" w:hAnsi="Aptos"/>
                <w:sz w:val="18"/>
              </w:rPr>
              <w:t>authorization_policy_definition / version</w:t>
            </w:r>
          </w:p>
        </w:tc>
        <w:tc>
          <w:tcPr>
            <w:tcW w:type="dxa" w:w="6480"/>
            <w:vAlign w:val="center"/>
            <w:tcMar>
              <w:top w:w="90" w:type="dxa"/>
              <w:start w:w="110" w:type="dxa"/>
              <w:bottom w:w="90" w:type="dxa"/>
              <w:end w:w="110" w:type="dxa"/>
            </w:tcMar>
          </w:tcPr>
          <w:p>
            <w:pPr>
              <w:spacing w:after="40" w:before="40"/>
            </w:pPr>
            <w:r>
              <w:rPr>
                <w:rFonts w:ascii="Aptos" w:hAnsi="Aptos"/>
                <w:sz w:val="18"/>
              </w:rPr>
              <w:t>Governed common policy metadata and immutable published versions.</w:t>
            </w:r>
          </w:p>
        </w:tc>
      </w:tr>
      <w:tr>
        <w:tc>
          <w:tcPr>
            <w:tcW w:type="dxa" w:w="3240"/>
            <w:vAlign w:val="center"/>
            <w:tcMar>
              <w:top w:w="90" w:type="dxa"/>
              <w:start w:w="110" w:type="dxa"/>
              <w:bottom w:w="90" w:type="dxa"/>
              <w:end w:w="110" w:type="dxa"/>
            </w:tcMar>
          </w:tcPr>
          <w:p>
            <w:pPr>
              <w:spacing w:after="40" w:before="40"/>
            </w:pPr>
            <w:r>
              <w:rPr>
                <w:rFonts w:ascii="Aptos" w:hAnsi="Aptos"/>
                <w:sz w:val="18"/>
              </w:rPr>
              <w:t>tenant_policy_binding</w:t>
            </w:r>
          </w:p>
        </w:tc>
        <w:tc>
          <w:tcPr>
            <w:tcW w:type="dxa" w:w="6480"/>
            <w:vAlign w:val="center"/>
            <w:tcMar>
              <w:top w:w="90" w:type="dxa"/>
              <w:start w:w="110" w:type="dxa"/>
              <w:bottom w:w="90" w:type="dxa"/>
              <w:end w:w="110" w:type="dxa"/>
            </w:tcMar>
          </w:tcPr>
          <w:p>
            <w:pPr>
              <w:spacing w:after="40" w:before="40"/>
            </w:pPr>
            <w:r>
              <w:rPr>
                <w:rFonts w:ascii="Aptos" w:hAnsi="Aptos"/>
                <w:sz w:val="18"/>
              </w:rPr>
              <w:t>Tenant-specific role/action/scope bindings and effective policy version.</w:t>
            </w:r>
          </w:p>
        </w:tc>
      </w:tr>
      <w:tr>
        <w:tc>
          <w:tcPr>
            <w:tcW w:type="dxa" w:w="3240"/>
            <w:vAlign w:val="center"/>
            <w:tcMar>
              <w:top w:w="90" w:type="dxa"/>
              <w:start w:w="110" w:type="dxa"/>
              <w:bottom w:w="90" w:type="dxa"/>
              <w:end w:w="110" w:type="dxa"/>
            </w:tcMar>
          </w:tcPr>
          <w:p>
            <w:pPr>
              <w:spacing w:after="40" w:before="40"/>
            </w:pPr>
            <w:r>
              <w:rPr>
                <w:rFonts w:ascii="Aptos" w:hAnsi="Aptos"/>
                <w:sz w:val="18"/>
              </w:rPr>
              <w:t>role_definition / role_permission</w:t>
            </w:r>
          </w:p>
        </w:tc>
        <w:tc>
          <w:tcPr>
            <w:tcW w:type="dxa" w:w="6480"/>
            <w:vAlign w:val="center"/>
            <w:tcMar>
              <w:top w:w="90" w:type="dxa"/>
              <w:start w:w="110" w:type="dxa"/>
              <w:bottom w:w="90" w:type="dxa"/>
              <w:end w:w="110" w:type="dxa"/>
            </w:tcMar>
          </w:tcPr>
          <w:p>
            <w:pPr>
              <w:spacing w:after="40" w:before="40"/>
            </w:pPr>
            <w:r>
              <w:rPr>
                <w:rFonts w:ascii="Aptos" w:hAnsi="Aptos"/>
                <w:sz w:val="18"/>
              </w:rPr>
              <w:t>Reusable roles and action/resource permissions.</w:t>
            </w:r>
          </w:p>
        </w:tc>
      </w:tr>
      <w:tr>
        <w:tc>
          <w:tcPr>
            <w:tcW w:type="dxa" w:w="3240"/>
            <w:vAlign w:val="center"/>
            <w:tcMar>
              <w:top w:w="90" w:type="dxa"/>
              <w:start w:w="110" w:type="dxa"/>
              <w:bottom w:w="90" w:type="dxa"/>
              <w:end w:w="110" w:type="dxa"/>
            </w:tcMar>
          </w:tcPr>
          <w:p>
            <w:pPr>
              <w:spacing w:after="40" w:before="40"/>
            </w:pPr>
            <w:r>
              <w:rPr>
                <w:rFonts w:ascii="Aptos" w:hAnsi="Aptos"/>
                <w:sz w:val="18"/>
              </w:rPr>
              <w:t>delegation_grant</w:t>
            </w:r>
          </w:p>
        </w:tc>
        <w:tc>
          <w:tcPr>
            <w:tcW w:type="dxa" w:w="6480"/>
            <w:vAlign w:val="center"/>
            <w:tcMar>
              <w:top w:w="90" w:type="dxa"/>
              <w:start w:w="110" w:type="dxa"/>
              <w:bottom w:w="90" w:type="dxa"/>
              <w:end w:w="110" w:type="dxa"/>
            </w:tcMar>
          </w:tcPr>
          <w:p>
            <w:pPr>
              <w:spacing w:after="40" w:before="40"/>
            </w:pPr>
            <w:r>
              <w:rPr>
                <w:rFonts w:ascii="Aptos" w:hAnsi="Aptos"/>
                <w:sz w:val="18"/>
              </w:rPr>
              <w:t>Time-bound delegated authority with tenant/organisation/jurisdiction/service scope.</w:t>
            </w:r>
          </w:p>
        </w:tc>
      </w:tr>
      <w:tr>
        <w:tc>
          <w:tcPr>
            <w:tcW w:type="dxa" w:w="3240"/>
            <w:vAlign w:val="center"/>
            <w:tcMar>
              <w:top w:w="90" w:type="dxa"/>
              <w:start w:w="110" w:type="dxa"/>
              <w:bottom w:w="90" w:type="dxa"/>
              <w:end w:w="110" w:type="dxa"/>
            </w:tcMar>
          </w:tcPr>
          <w:p>
            <w:pPr>
              <w:spacing w:after="40" w:before="40"/>
            </w:pPr>
            <w:r>
              <w:rPr>
                <w:rFonts w:ascii="Aptos" w:hAnsi="Aptos"/>
                <w:sz w:val="18"/>
              </w:rPr>
              <w:t>workflow_task</w:t>
            </w:r>
          </w:p>
        </w:tc>
        <w:tc>
          <w:tcPr>
            <w:tcW w:type="dxa" w:w="6480"/>
            <w:vAlign w:val="center"/>
            <w:tcMar>
              <w:top w:w="90" w:type="dxa"/>
              <w:start w:w="110" w:type="dxa"/>
              <w:bottom w:w="90" w:type="dxa"/>
              <w:end w:w="110" w:type="dxa"/>
            </w:tcMar>
          </w:tcPr>
          <w:p>
            <w:pPr>
              <w:spacing w:after="40" w:before="40"/>
            </w:pPr>
            <w:r>
              <w:rPr>
                <w:rFonts w:ascii="Aptos" w:hAnsi="Aptos"/>
                <w:sz w:val="18"/>
              </w:rPr>
              <w:t>Human task record with tenant, application, workflow node, role, office, jurisdiction, state and assignee.</w:t>
            </w:r>
          </w:p>
        </w:tc>
      </w:tr>
      <w:tr>
        <w:tc>
          <w:tcPr>
            <w:tcW w:type="dxa" w:w="3240"/>
            <w:vAlign w:val="center"/>
            <w:tcMar>
              <w:top w:w="90" w:type="dxa"/>
              <w:start w:w="110" w:type="dxa"/>
              <w:bottom w:w="90" w:type="dxa"/>
              <w:end w:w="110" w:type="dxa"/>
            </w:tcMar>
          </w:tcPr>
          <w:p>
            <w:pPr>
              <w:spacing w:after="40" w:before="40"/>
            </w:pPr>
            <w:r>
              <w:rPr>
                <w:rFonts w:ascii="Aptos" w:hAnsi="Aptos"/>
                <w:sz w:val="18"/>
              </w:rPr>
              <w:t>tenant_service_binding</w:t>
            </w:r>
          </w:p>
        </w:tc>
        <w:tc>
          <w:tcPr>
            <w:tcW w:type="dxa" w:w="6480"/>
            <w:vAlign w:val="center"/>
            <w:tcMar>
              <w:top w:w="90" w:type="dxa"/>
              <w:start w:w="110" w:type="dxa"/>
              <w:bottom w:w="90" w:type="dxa"/>
              <w:end w:w="110" w:type="dxa"/>
            </w:tcMar>
          </w:tcPr>
          <w:p>
            <w:pPr>
              <w:spacing w:after="40" w:before="40"/>
            </w:pPr>
            <w:r>
              <w:rPr>
                <w:rFonts w:ascii="Aptos" w:hAnsi="Aptos"/>
                <w:sz w:val="18"/>
              </w:rPr>
              <w:t>Published manifest pinning the executable service package.</w:t>
            </w:r>
          </w:p>
        </w:tc>
      </w:tr>
      <w:tr>
        <w:tc>
          <w:tcPr>
            <w:tcW w:type="dxa" w:w="3240"/>
            <w:vAlign w:val="center"/>
            <w:tcMar>
              <w:top w:w="90" w:type="dxa"/>
              <w:start w:w="110" w:type="dxa"/>
              <w:bottom w:w="90" w:type="dxa"/>
              <w:end w:w="110" w:type="dxa"/>
            </w:tcMar>
          </w:tcPr>
          <w:p>
            <w:pPr>
              <w:spacing w:after="40" w:before="40"/>
            </w:pPr>
            <w:r>
              <w:rPr>
                <w:rFonts w:ascii="Aptos" w:hAnsi="Aptos"/>
                <w:sz w:val="18"/>
              </w:rPr>
              <w:t>authorization_decision_audit</w:t>
            </w:r>
          </w:p>
        </w:tc>
        <w:tc>
          <w:tcPr>
            <w:tcW w:type="dxa" w:w="6480"/>
            <w:vAlign w:val="center"/>
            <w:tcMar>
              <w:top w:w="90" w:type="dxa"/>
              <w:start w:w="110" w:type="dxa"/>
              <w:bottom w:w="90" w:type="dxa"/>
              <w:end w:w="110" w:type="dxa"/>
            </w:tcMar>
          </w:tcPr>
          <w:p>
            <w:pPr>
              <w:spacing w:after="40" w:before="40"/>
            </w:pPr>
            <w:r>
              <w:rPr>
                <w:rFonts w:ascii="Aptos" w:hAnsi="Aptos"/>
                <w:sz w:val="18"/>
              </w:rPr>
              <w:t>Decision ID, trace, action/resource, allow/deny, reason, policy revision and redacted context reference.</w:t>
            </w:r>
          </w:p>
        </w:tc>
      </w:tr>
    </w:tbl>
    <w:p>
      <w:pPr>
        <w:pStyle w:val="Heading2"/>
      </w:pPr>
      <w:r>
        <w:t>20.13 Pre-publish cross-validation - workflow, access and tenancy</w:t>
      </w:r>
    </w:p>
    <w:tbl>
      <w:tblPr>
        <w:tblW w:type="auto" w:w="0"/>
        <w:jc w:val="center"/>
        <w:tblLook w:firstColumn="1" w:firstRow="1" w:lastColumn="0" w:lastRow="0" w:noHBand="0" w:noVBand="1" w:val="04A0"/>
      </w:tblPr>
      <w:tblGrid>
        <w:gridCol w:w="5083"/>
        <w:gridCol w:w="5083"/>
      </w:tblGrid>
      <w:tr>
        <w:trPr>
          <w:tblHeader w:val="true"/>
        </w:trPr>
        <w:tc>
          <w:tcPr>
            <w:tcW w:type="dxa" w:w="2376"/>
            <w:vAlign w:val="center"/>
            <w:tcMar>
              <w:top w:w="90" w:type="dxa"/>
              <w:start w:w="110" w:type="dxa"/>
              <w:bottom w:w="90" w:type="dxa"/>
              <w:end w:w="110" w:type="dxa"/>
            </w:tcMar>
            <w:shd w:fill="17365D"/>
          </w:tcPr>
          <w:p>
            <w:pPr>
              <w:spacing w:after="40" w:before="40"/>
            </w:pPr>
            <w:r>
              <w:rPr>
                <w:rFonts w:ascii="Aptos" w:hAnsi="Aptos"/>
                <w:b/>
                <w:color w:val="FFFFFF"/>
                <w:sz w:val="18"/>
              </w:rPr>
              <w:t>Validator</w:t>
            </w:r>
          </w:p>
        </w:tc>
        <w:tc>
          <w:tcPr>
            <w:tcW w:type="dxa" w:w="7344"/>
            <w:vAlign w:val="center"/>
            <w:tcMar>
              <w:top w:w="90" w:type="dxa"/>
              <w:start w:w="110" w:type="dxa"/>
              <w:bottom w:w="90" w:type="dxa"/>
              <w:end w:w="110" w:type="dxa"/>
            </w:tcMar>
            <w:shd w:fill="17365D"/>
          </w:tcPr>
          <w:p>
            <w:pPr>
              <w:spacing w:after="40" w:before="40"/>
            </w:pPr>
            <w:r>
              <w:rPr>
                <w:rFonts w:ascii="Aptos" w:hAnsi="Aptos"/>
                <w:b/>
                <w:color w:val="FFFFFF"/>
                <w:sz w:val="18"/>
              </w:rPr>
              <w:t>Blocking condition</w:t>
            </w:r>
          </w:p>
        </w:tc>
      </w:tr>
      <w:tr>
        <w:tc>
          <w:tcPr>
            <w:tcW w:type="dxa" w:w="2376"/>
            <w:vAlign w:val="center"/>
            <w:tcMar>
              <w:top w:w="90" w:type="dxa"/>
              <w:start w:w="110" w:type="dxa"/>
              <w:bottom w:w="90" w:type="dxa"/>
              <w:end w:w="110" w:type="dxa"/>
            </w:tcMar>
          </w:tcPr>
          <w:p>
            <w:pPr>
              <w:spacing w:after="40" w:before="40"/>
            </w:pPr>
            <w:r>
              <w:rPr>
                <w:rFonts w:ascii="Aptos" w:hAnsi="Aptos"/>
                <w:sz w:val="18"/>
              </w:rPr>
              <w:t>Human task -&gt; role</w:t>
            </w:r>
          </w:p>
        </w:tc>
        <w:tc>
          <w:tcPr>
            <w:tcW w:type="dxa" w:w="7344"/>
            <w:vAlign w:val="center"/>
            <w:tcMar>
              <w:top w:w="90" w:type="dxa"/>
              <w:start w:w="110" w:type="dxa"/>
              <w:bottom w:w="90" w:type="dxa"/>
              <w:end w:w="110" w:type="dxa"/>
            </w:tcMar>
          </w:tcPr>
          <w:p>
            <w:pPr>
              <w:spacing w:after="40" w:before="40"/>
            </w:pPr>
            <w:r>
              <w:rPr>
                <w:rFonts w:ascii="Aptos" w:hAnsi="Aptos"/>
                <w:sz w:val="18"/>
              </w:rPr>
              <w:t>No role assigned, role does not exist or role disabled.</w:t>
            </w:r>
          </w:p>
        </w:tc>
      </w:tr>
      <w:tr>
        <w:tc>
          <w:tcPr>
            <w:tcW w:type="dxa" w:w="2376"/>
            <w:vAlign w:val="center"/>
            <w:tcMar>
              <w:top w:w="90" w:type="dxa"/>
              <w:start w:w="110" w:type="dxa"/>
              <w:bottom w:w="90" w:type="dxa"/>
              <w:end w:w="110" w:type="dxa"/>
            </w:tcMar>
          </w:tcPr>
          <w:p>
            <w:pPr>
              <w:spacing w:after="40" w:before="40"/>
            </w:pPr>
            <w:r>
              <w:rPr>
                <w:rFonts w:ascii="Aptos" w:hAnsi="Aptos"/>
                <w:sz w:val="18"/>
              </w:rPr>
              <w:t>Role -&gt; permission</w:t>
            </w:r>
          </w:p>
        </w:tc>
        <w:tc>
          <w:tcPr>
            <w:tcW w:type="dxa" w:w="7344"/>
            <w:vAlign w:val="center"/>
            <w:tcMar>
              <w:top w:w="90" w:type="dxa"/>
              <w:start w:w="110" w:type="dxa"/>
              <w:bottom w:w="90" w:type="dxa"/>
              <w:end w:w="110" w:type="dxa"/>
            </w:tcMar>
          </w:tcPr>
          <w:p>
            <w:pPr>
              <w:spacing w:after="40" w:before="40"/>
            </w:pPr>
            <w:r>
              <w:rPr>
                <w:rFonts w:ascii="Aptos" w:hAnsi="Aptos"/>
                <w:sz w:val="18"/>
              </w:rPr>
              <w:t>Workflow outcome requires an action not granted to assigned role.</w:t>
            </w:r>
          </w:p>
        </w:tc>
      </w:tr>
      <w:tr>
        <w:tc>
          <w:tcPr>
            <w:tcW w:type="dxa" w:w="2376"/>
            <w:vAlign w:val="center"/>
            <w:tcMar>
              <w:top w:w="90" w:type="dxa"/>
              <w:start w:w="110" w:type="dxa"/>
              <w:bottom w:w="90" w:type="dxa"/>
              <w:end w:w="110" w:type="dxa"/>
            </w:tcMar>
          </w:tcPr>
          <w:p>
            <w:pPr>
              <w:spacing w:after="40" w:before="40"/>
            </w:pPr>
            <w:r>
              <w:rPr>
                <w:rFonts w:ascii="Aptos" w:hAnsi="Aptos"/>
                <w:sz w:val="18"/>
              </w:rPr>
              <w:t>Role -&gt; jurisdiction</w:t>
            </w:r>
          </w:p>
        </w:tc>
        <w:tc>
          <w:tcPr>
            <w:tcW w:type="dxa" w:w="7344"/>
            <w:vAlign w:val="center"/>
            <w:tcMar>
              <w:top w:w="90" w:type="dxa"/>
              <w:start w:w="110" w:type="dxa"/>
              <w:bottom w:w="90" w:type="dxa"/>
              <w:end w:w="110" w:type="dxa"/>
            </w:tcMar>
          </w:tcPr>
          <w:p>
            <w:pPr>
              <w:spacing w:after="40" w:before="40"/>
            </w:pPr>
            <w:r>
              <w:rPr>
                <w:rFonts w:ascii="Aptos" w:hAnsi="Aptos"/>
                <w:sz w:val="18"/>
              </w:rPr>
              <w:t>No deterministic jurisdiction resolver or illegal cross-tenant scope.</w:t>
            </w:r>
          </w:p>
        </w:tc>
      </w:tr>
      <w:tr>
        <w:tc>
          <w:tcPr>
            <w:tcW w:type="dxa" w:w="2376"/>
            <w:vAlign w:val="center"/>
            <w:tcMar>
              <w:top w:w="90" w:type="dxa"/>
              <w:start w:w="110" w:type="dxa"/>
              <w:bottom w:w="90" w:type="dxa"/>
              <w:end w:w="110" w:type="dxa"/>
            </w:tcMar>
          </w:tcPr>
          <w:p>
            <w:pPr>
              <w:spacing w:after="40" w:before="40"/>
            </w:pPr>
            <w:r>
              <w:rPr>
                <w:rFonts w:ascii="Aptos" w:hAnsi="Aptos"/>
                <w:sz w:val="18"/>
              </w:rPr>
              <w:t>Approval/signature</w:t>
            </w:r>
          </w:p>
        </w:tc>
        <w:tc>
          <w:tcPr>
            <w:tcW w:type="dxa" w:w="7344"/>
            <w:vAlign w:val="center"/>
            <w:tcMar>
              <w:top w:w="90" w:type="dxa"/>
              <w:start w:w="110" w:type="dxa"/>
              <w:bottom w:w="90" w:type="dxa"/>
              <w:end w:w="110" w:type="dxa"/>
            </w:tcMar>
          </w:tcPr>
          <w:p>
            <w:pPr>
              <w:spacing w:after="40" w:before="40"/>
            </w:pPr>
            <w:r>
              <w:rPr>
                <w:rFonts w:ascii="Aptos" w:hAnsi="Aptos"/>
                <w:sz w:val="18"/>
              </w:rPr>
              <w:t>Approver/signatory permission absent or separation-of-duties violation.</w:t>
            </w:r>
          </w:p>
        </w:tc>
      </w:tr>
      <w:tr>
        <w:tc>
          <w:tcPr>
            <w:tcW w:type="dxa" w:w="2376"/>
            <w:vAlign w:val="center"/>
            <w:tcMar>
              <w:top w:w="90" w:type="dxa"/>
              <w:start w:w="110" w:type="dxa"/>
              <w:bottom w:w="90" w:type="dxa"/>
              <w:end w:w="110" w:type="dxa"/>
            </w:tcMar>
          </w:tcPr>
          <w:p>
            <w:pPr>
              <w:spacing w:after="40" w:before="40"/>
            </w:pPr>
            <w:r>
              <w:rPr>
                <w:rFonts w:ascii="Aptos" w:hAnsi="Aptos"/>
                <w:sz w:val="18"/>
              </w:rPr>
              <w:t>Delegation</w:t>
            </w:r>
          </w:p>
        </w:tc>
        <w:tc>
          <w:tcPr>
            <w:tcW w:type="dxa" w:w="7344"/>
            <w:vAlign w:val="center"/>
            <w:tcMar>
              <w:top w:w="90" w:type="dxa"/>
              <w:start w:w="110" w:type="dxa"/>
              <w:bottom w:w="90" w:type="dxa"/>
              <w:end w:w="110" w:type="dxa"/>
            </w:tcMar>
          </w:tcPr>
          <w:p>
            <w:pPr>
              <w:spacing w:after="40" w:before="40"/>
            </w:pPr>
            <w:r>
              <w:rPr>
                <w:rFonts w:ascii="Aptos" w:hAnsi="Aptos"/>
                <w:sz w:val="18"/>
              </w:rPr>
              <w:t>Delegation capability exceeds delegator authority or lacks duration/approval rule.</w:t>
            </w:r>
          </w:p>
        </w:tc>
      </w:tr>
      <w:tr>
        <w:tc>
          <w:tcPr>
            <w:tcW w:type="dxa" w:w="2376"/>
            <w:vAlign w:val="center"/>
            <w:tcMar>
              <w:top w:w="90" w:type="dxa"/>
              <w:start w:w="110" w:type="dxa"/>
              <w:bottom w:w="90" w:type="dxa"/>
              <w:end w:w="110" w:type="dxa"/>
            </w:tcMar>
          </w:tcPr>
          <w:p>
            <w:pPr>
              <w:spacing w:after="40" w:before="40"/>
            </w:pPr>
            <w:r>
              <w:rPr>
                <w:rFonts w:ascii="Aptos" w:hAnsi="Aptos"/>
                <w:sz w:val="18"/>
              </w:rPr>
              <w:t>Policy bundle</w:t>
            </w:r>
          </w:p>
        </w:tc>
        <w:tc>
          <w:tcPr>
            <w:tcW w:type="dxa" w:w="7344"/>
            <w:vAlign w:val="center"/>
            <w:tcMar>
              <w:top w:w="90" w:type="dxa"/>
              <w:start w:w="110" w:type="dxa"/>
              <w:bottom w:w="90" w:type="dxa"/>
              <w:end w:w="110" w:type="dxa"/>
            </w:tcMar>
          </w:tcPr>
          <w:p>
            <w:pPr>
              <w:spacing w:after="40" w:before="40"/>
            </w:pPr>
            <w:r>
              <w:rPr>
                <w:rFonts w:ascii="Aptos" w:hAnsi="Aptos"/>
                <w:sz w:val="18"/>
              </w:rPr>
              <w:t>Bundle/data generation invalid, signature unavailable or policy tests fail.</w:t>
            </w:r>
          </w:p>
        </w:tc>
      </w:tr>
      <w:tr>
        <w:tc>
          <w:tcPr>
            <w:tcW w:type="dxa" w:w="2376"/>
            <w:vAlign w:val="center"/>
            <w:tcMar>
              <w:top w:w="90" w:type="dxa"/>
              <w:start w:w="110" w:type="dxa"/>
              <w:bottom w:w="90" w:type="dxa"/>
              <w:end w:w="110" w:type="dxa"/>
            </w:tcMar>
          </w:tcPr>
          <w:p>
            <w:pPr>
              <w:spacing w:after="40" w:before="40"/>
            </w:pPr>
            <w:r>
              <w:rPr>
                <w:rFonts w:ascii="Aptos" w:hAnsi="Aptos"/>
                <w:sz w:val="18"/>
              </w:rPr>
              <w:t>Workflow graph</w:t>
            </w:r>
          </w:p>
        </w:tc>
        <w:tc>
          <w:tcPr>
            <w:tcW w:type="dxa" w:w="7344"/>
            <w:vAlign w:val="center"/>
            <w:tcMar>
              <w:top w:w="90" w:type="dxa"/>
              <w:start w:w="110" w:type="dxa"/>
              <w:bottom w:w="90" w:type="dxa"/>
              <w:end w:w="110" w:type="dxa"/>
            </w:tcMar>
          </w:tcPr>
          <w:p>
            <w:pPr>
              <w:spacing w:after="40" w:before="40"/>
            </w:pPr>
            <w:r>
              <w:rPr>
                <w:rFonts w:ascii="Aptos" w:hAnsi="Aptos"/>
                <w:sz w:val="18"/>
              </w:rPr>
              <w:t>Unreachable node, dead end, unresolved branch, invalid join or non-idempotent external action without protection.</w:t>
            </w:r>
          </w:p>
        </w:tc>
      </w:tr>
      <w:tr>
        <w:tc>
          <w:tcPr>
            <w:tcW w:type="dxa" w:w="2376"/>
            <w:vAlign w:val="center"/>
            <w:tcMar>
              <w:top w:w="90" w:type="dxa"/>
              <w:start w:w="110" w:type="dxa"/>
              <w:bottom w:w="90" w:type="dxa"/>
              <w:end w:w="110" w:type="dxa"/>
            </w:tcMar>
          </w:tcPr>
          <w:p>
            <w:pPr>
              <w:spacing w:after="40" w:before="40"/>
            </w:pPr>
            <w:r>
              <w:rPr>
                <w:rFonts w:ascii="Aptos" w:hAnsi="Aptos"/>
                <w:sz w:val="18"/>
              </w:rPr>
              <w:t>Tenant reference</w:t>
            </w:r>
          </w:p>
        </w:tc>
        <w:tc>
          <w:tcPr>
            <w:tcW w:type="dxa" w:w="7344"/>
            <w:vAlign w:val="center"/>
            <w:tcMar>
              <w:top w:w="90" w:type="dxa"/>
              <w:start w:w="110" w:type="dxa"/>
              <w:bottom w:w="90" w:type="dxa"/>
              <w:end w:w="110" w:type="dxa"/>
            </w:tcMar>
          </w:tcPr>
          <w:p>
            <w:pPr>
              <w:spacing w:after="40" w:before="40"/>
            </w:pPr>
            <w:r>
              <w:rPr>
                <w:rFonts w:ascii="Aptos" w:hAnsi="Aptos"/>
                <w:sz w:val="18"/>
              </w:rPr>
              <w:t>Any artifact references another tenant outside an explicit governed shared/global object.</w:t>
            </w:r>
          </w:p>
        </w:tc>
      </w:tr>
      <w:tr>
        <w:tc>
          <w:tcPr>
            <w:tcW w:type="dxa" w:w="2376"/>
            <w:vAlign w:val="center"/>
            <w:tcMar>
              <w:top w:w="90" w:type="dxa"/>
              <w:start w:w="110" w:type="dxa"/>
              <w:bottom w:w="90" w:type="dxa"/>
              <w:end w:w="110" w:type="dxa"/>
            </w:tcMar>
          </w:tcPr>
          <w:p>
            <w:pPr>
              <w:spacing w:after="40" w:before="40"/>
            </w:pPr>
            <w:r>
              <w:rPr>
                <w:rFonts w:ascii="Aptos" w:hAnsi="Aptos"/>
                <w:sz w:val="18"/>
              </w:rPr>
              <w:t>Version binding</w:t>
            </w:r>
          </w:p>
        </w:tc>
        <w:tc>
          <w:tcPr>
            <w:tcW w:type="dxa" w:w="7344"/>
            <w:vAlign w:val="center"/>
            <w:tcMar>
              <w:top w:w="90" w:type="dxa"/>
              <w:start w:w="110" w:type="dxa"/>
              <w:bottom w:w="90" w:type="dxa"/>
              <w:end w:w="110" w:type="dxa"/>
            </w:tcMar>
          </w:tcPr>
          <w:p>
            <w:pPr>
              <w:spacing w:after="40" w:before="40"/>
            </w:pPr>
            <w:r>
              <w:rPr>
                <w:rFonts w:ascii="Aptos" w:hAnsi="Aptos"/>
                <w:sz w:val="18"/>
              </w:rPr>
              <w:t>Service package omits a required published version or contains a draft dependency.</w:t>
            </w:r>
          </w:p>
        </w:tc>
      </w:tr>
    </w:tbl>
    <w:p>
      <w:pPr>
        <w:pStyle w:val="Heading2"/>
      </w:pPr>
      <w:r>
        <w:t>20.14 Runtime sequence - officer approval example</w:t>
      </w:r>
    </w:p>
    <w:tbl>
      <w:tblPr>
        <w:tblW w:type="auto" w:w="0"/>
        <w:jc w:val="center"/>
        <w:tblLook w:firstColumn="1" w:firstRow="1" w:lastColumn="0" w:lastRow="0" w:noHBand="0" w:noVBand="1" w:val="04A0"/>
      </w:tblPr>
      <w:tblGrid>
        <w:gridCol w:w="5083"/>
        <w:gridCol w:w="5083"/>
      </w:tblGrid>
      <w:tr>
        <w:trPr>
          <w:tblHeader w:val="true"/>
        </w:trPr>
        <w:tc>
          <w:tcPr>
            <w:tcW w:type="dxa" w:w="936"/>
            <w:vAlign w:val="center"/>
            <w:tcMar>
              <w:top w:w="90" w:type="dxa"/>
              <w:start w:w="110" w:type="dxa"/>
              <w:bottom w:w="90" w:type="dxa"/>
              <w:end w:w="110" w:type="dxa"/>
            </w:tcMar>
            <w:shd w:fill="17365D"/>
          </w:tcPr>
          <w:p>
            <w:pPr>
              <w:spacing w:after="40" w:before="40"/>
            </w:pPr>
            <w:r>
              <w:rPr>
                <w:rFonts w:ascii="Aptos" w:hAnsi="Aptos"/>
                <w:b/>
                <w:color w:val="FFFFFF"/>
                <w:sz w:val="18"/>
              </w:rPr>
              <w:t>Step</w:t>
            </w:r>
          </w:p>
        </w:tc>
        <w:tc>
          <w:tcPr>
            <w:tcW w:type="dxa" w:w="8784"/>
            <w:vAlign w:val="center"/>
            <w:tcMar>
              <w:top w:w="90" w:type="dxa"/>
              <w:start w:w="110" w:type="dxa"/>
              <w:bottom w:w="90" w:type="dxa"/>
              <w:end w:w="110" w:type="dxa"/>
            </w:tcMar>
            <w:shd w:fill="17365D"/>
          </w:tcPr>
          <w:p>
            <w:pPr>
              <w:spacing w:after="40" w:before="40"/>
            </w:pPr>
            <w:r>
              <w:rPr>
                <w:rFonts w:ascii="Aptos" w:hAnsi="Aptos"/>
                <w:b/>
                <w:color w:val="FFFFFF"/>
                <w:sz w:val="18"/>
              </w:rPr>
              <w:t>Sequence</w:t>
            </w:r>
          </w:p>
        </w:tc>
      </w:tr>
      <w:tr>
        <w:tc>
          <w:tcPr>
            <w:tcW w:type="dxa" w:w="936"/>
            <w:vAlign w:val="center"/>
            <w:tcMar>
              <w:top w:w="90" w:type="dxa"/>
              <w:start w:w="110" w:type="dxa"/>
              <w:bottom w:w="90" w:type="dxa"/>
              <w:end w:w="110" w:type="dxa"/>
            </w:tcMar>
          </w:tcPr>
          <w:p>
            <w:pPr>
              <w:spacing w:after="40" w:before="40"/>
            </w:pPr>
            <w:r>
              <w:rPr>
                <w:rFonts w:ascii="Aptos" w:hAnsi="Aptos"/>
                <w:sz w:val="18"/>
              </w:rPr>
              <w:t>1</w:t>
            </w:r>
          </w:p>
        </w:tc>
        <w:tc>
          <w:tcPr>
            <w:tcW w:type="dxa" w:w="8784"/>
            <w:vAlign w:val="center"/>
            <w:tcMar>
              <w:top w:w="90" w:type="dxa"/>
              <w:start w:w="110" w:type="dxa"/>
              <w:bottom w:w="90" w:type="dxa"/>
              <w:end w:w="110" w:type="dxa"/>
            </w:tcMar>
          </w:tcPr>
          <w:p>
            <w:pPr>
              <w:spacing w:after="40" w:before="40"/>
            </w:pPr>
            <w:r>
              <w:rPr>
                <w:rFonts w:ascii="Aptos" w:hAnsi="Aptos"/>
                <w:sz w:val="18"/>
              </w:rPr>
              <w:t>Officer authenticates through Keycloak; ServiceForm derives trusted tenant/organisation/office/role/jurisdiction context.</w:t>
            </w:r>
          </w:p>
        </w:tc>
      </w:tr>
      <w:tr>
        <w:tc>
          <w:tcPr>
            <w:tcW w:type="dxa" w:w="936"/>
            <w:vAlign w:val="center"/>
            <w:tcMar>
              <w:top w:w="90" w:type="dxa"/>
              <w:start w:w="110" w:type="dxa"/>
              <w:bottom w:w="90" w:type="dxa"/>
              <w:end w:w="110" w:type="dxa"/>
            </w:tcMar>
          </w:tcPr>
          <w:p>
            <w:pPr>
              <w:spacing w:after="40" w:before="40"/>
            </w:pPr>
            <w:r>
              <w:rPr>
                <w:rFonts w:ascii="Aptos" w:hAnsi="Aptos"/>
                <w:sz w:val="18"/>
              </w:rPr>
              <w:t>2</w:t>
            </w:r>
          </w:p>
        </w:tc>
        <w:tc>
          <w:tcPr>
            <w:tcW w:type="dxa" w:w="8784"/>
            <w:vAlign w:val="center"/>
            <w:tcMar>
              <w:top w:w="90" w:type="dxa"/>
              <w:start w:w="110" w:type="dxa"/>
              <w:bottom w:w="90" w:type="dxa"/>
              <w:end w:w="110" w:type="dxa"/>
            </w:tcMar>
          </w:tcPr>
          <w:p>
            <w:pPr>
              <w:spacing w:after="40" w:before="40"/>
            </w:pPr>
            <w:r>
              <w:rPr>
                <w:rFonts w:ascii="Aptos" w:hAnsi="Aptos"/>
                <w:sz w:val="18"/>
              </w:rPr>
              <w:t>Officer opens task; ServiceForm query is tenant scoped and PostgreSQL FORCE RLS limits visible rows.</w:t>
            </w:r>
          </w:p>
        </w:tc>
      </w:tr>
      <w:tr>
        <w:tc>
          <w:tcPr>
            <w:tcW w:type="dxa" w:w="936"/>
            <w:vAlign w:val="center"/>
            <w:tcMar>
              <w:top w:w="90" w:type="dxa"/>
              <w:start w:w="110" w:type="dxa"/>
              <w:bottom w:w="90" w:type="dxa"/>
              <w:end w:w="110" w:type="dxa"/>
            </w:tcMar>
          </w:tcPr>
          <w:p>
            <w:pPr>
              <w:spacing w:after="40" w:before="40"/>
            </w:pPr>
            <w:r>
              <w:rPr>
                <w:rFonts w:ascii="Aptos" w:hAnsi="Aptos"/>
                <w:sz w:val="18"/>
              </w:rPr>
              <w:t>3</w:t>
            </w:r>
          </w:p>
        </w:tc>
        <w:tc>
          <w:tcPr>
            <w:tcW w:type="dxa" w:w="8784"/>
            <w:vAlign w:val="center"/>
            <w:tcMar>
              <w:top w:w="90" w:type="dxa"/>
              <w:start w:w="110" w:type="dxa"/>
              <w:bottom w:w="90" w:type="dxa"/>
              <w:end w:w="110" w:type="dxa"/>
            </w:tcMar>
          </w:tcPr>
          <w:p>
            <w:pPr>
              <w:spacing w:after="40" w:before="40"/>
            </w:pPr>
            <w:r>
              <w:rPr>
                <w:rFonts w:ascii="Aptos" w:hAnsi="Aptos"/>
                <w:sz w:val="18"/>
              </w:rPr>
              <w:t>Officer selects APPROVE; API sends subject/resource/action/workflow context to local OPA.</w:t>
            </w:r>
          </w:p>
        </w:tc>
      </w:tr>
      <w:tr>
        <w:tc>
          <w:tcPr>
            <w:tcW w:type="dxa" w:w="936"/>
            <w:vAlign w:val="center"/>
            <w:tcMar>
              <w:top w:w="90" w:type="dxa"/>
              <w:start w:w="110" w:type="dxa"/>
              <w:bottom w:w="90" w:type="dxa"/>
              <w:end w:w="110" w:type="dxa"/>
            </w:tcMar>
          </w:tcPr>
          <w:p>
            <w:pPr>
              <w:spacing w:after="40" w:before="40"/>
            </w:pPr>
            <w:r>
              <w:rPr>
                <w:rFonts w:ascii="Aptos" w:hAnsi="Aptos"/>
                <w:sz w:val="18"/>
              </w:rPr>
              <w:t>4</w:t>
            </w:r>
          </w:p>
        </w:tc>
        <w:tc>
          <w:tcPr>
            <w:tcW w:type="dxa" w:w="8784"/>
            <w:vAlign w:val="center"/>
            <w:tcMar>
              <w:top w:w="90" w:type="dxa"/>
              <w:start w:w="110" w:type="dxa"/>
              <w:bottom w:w="90" w:type="dxa"/>
              <w:end w:w="110" w:type="dxa"/>
            </w:tcMar>
          </w:tcPr>
          <w:p>
            <w:pPr>
              <w:spacing w:after="40" w:before="40"/>
            </w:pPr>
            <w:r>
              <w:rPr>
                <w:rFonts w:ascii="Aptos" w:hAnsi="Aptos"/>
                <w:sz w:val="18"/>
              </w:rPr>
              <w:t>OPA returns allow/deny with decision ID and policy revision. Deny stops the operation.</w:t>
            </w:r>
          </w:p>
        </w:tc>
      </w:tr>
      <w:tr>
        <w:tc>
          <w:tcPr>
            <w:tcW w:type="dxa" w:w="936"/>
            <w:vAlign w:val="center"/>
            <w:tcMar>
              <w:top w:w="90" w:type="dxa"/>
              <w:start w:w="110" w:type="dxa"/>
              <w:bottom w:w="90" w:type="dxa"/>
              <w:end w:w="110" w:type="dxa"/>
            </w:tcMar>
          </w:tcPr>
          <w:p>
            <w:pPr>
              <w:spacing w:after="40" w:before="40"/>
            </w:pPr>
            <w:r>
              <w:rPr>
                <w:rFonts w:ascii="Aptos" w:hAnsi="Aptos"/>
                <w:sz w:val="18"/>
              </w:rPr>
              <w:t>5</w:t>
            </w:r>
          </w:p>
        </w:tc>
        <w:tc>
          <w:tcPr>
            <w:tcW w:type="dxa" w:w="8784"/>
            <w:vAlign w:val="center"/>
            <w:tcMar>
              <w:top w:w="90" w:type="dxa"/>
              <w:start w:w="110" w:type="dxa"/>
              <w:bottom w:w="90" w:type="dxa"/>
              <w:end w:w="110" w:type="dxa"/>
            </w:tcMar>
          </w:tcPr>
          <w:p>
            <w:pPr>
              <w:spacing w:after="40" w:before="40"/>
            </w:pPr>
            <w:r>
              <w:rPr>
                <w:rFonts w:ascii="Aptos" w:hAnsi="Aptos"/>
                <w:sz w:val="18"/>
              </w:rPr>
              <w:t>If allowed, Application Service validates current business state and any required deterministic rules.</w:t>
            </w:r>
          </w:p>
        </w:tc>
      </w:tr>
      <w:tr>
        <w:tc>
          <w:tcPr>
            <w:tcW w:type="dxa" w:w="936"/>
            <w:vAlign w:val="center"/>
            <w:tcMar>
              <w:top w:w="90" w:type="dxa"/>
              <w:start w:w="110" w:type="dxa"/>
              <w:bottom w:w="90" w:type="dxa"/>
              <w:end w:w="110" w:type="dxa"/>
            </w:tcMar>
          </w:tcPr>
          <w:p>
            <w:pPr>
              <w:spacing w:after="40" w:before="40"/>
            </w:pPr>
            <w:r>
              <w:rPr>
                <w:rFonts w:ascii="Aptos" w:hAnsi="Aptos"/>
                <w:sz w:val="18"/>
              </w:rPr>
              <w:t>6</w:t>
            </w:r>
          </w:p>
        </w:tc>
        <w:tc>
          <w:tcPr>
            <w:tcW w:type="dxa" w:w="8784"/>
            <w:vAlign w:val="center"/>
            <w:tcMar>
              <w:top w:w="90" w:type="dxa"/>
              <w:start w:w="110" w:type="dxa"/>
              <w:bottom w:w="90" w:type="dxa"/>
              <w:end w:w="110" w:type="dxa"/>
            </w:tcMar>
          </w:tcPr>
          <w:p>
            <w:pPr>
              <w:spacing w:after="40" w:before="40"/>
            </w:pPr>
            <w:r>
              <w:rPr>
                <w:rFonts w:ascii="Aptos" w:hAnsi="Aptos"/>
                <w:sz w:val="18"/>
              </w:rPr>
              <w:t>One short PostgreSQL transaction records decision/task completion/audit/outbox event.</w:t>
            </w:r>
          </w:p>
        </w:tc>
      </w:tr>
      <w:tr>
        <w:tc>
          <w:tcPr>
            <w:tcW w:type="dxa" w:w="936"/>
            <w:vAlign w:val="center"/>
            <w:tcMar>
              <w:top w:w="90" w:type="dxa"/>
              <w:start w:w="110" w:type="dxa"/>
              <w:bottom w:w="90" w:type="dxa"/>
              <w:end w:w="110" w:type="dxa"/>
            </w:tcMar>
          </w:tcPr>
          <w:p>
            <w:pPr>
              <w:spacing w:after="40" w:before="40"/>
            </w:pPr>
            <w:r>
              <w:rPr>
                <w:rFonts w:ascii="Aptos" w:hAnsi="Aptos"/>
                <w:sz w:val="18"/>
              </w:rPr>
              <w:t>7</w:t>
            </w:r>
          </w:p>
        </w:tc>
        <w:tc>
          <w:tcPr>
            <w:tcW w:type="dxa" w:w="8784"/>
            <w:vAlign w:val="center"/>
            <w:tcMar>
              <w:top w:w="90" w:type="dxa"/>
              <w:start w:w="110" w:type="dxa"/>
              <w:bottom w:w="90" w:type="dxa"/>
              <w:end w:w="110" w:type="dxa"/>
            </w:tcMar>
          </w:tcPr>
          <w:p>
            <w:pPr>
              <w:spacing w:after="40" w:before="40"/>
            </w:pPr>
            <w:r>
              <w:rPr>
                <w:rFonts w:ascii="Aptos" w:hAnsi="Aptos"/>
                <w:sz w:val="18"/>
              </w:rPr>
              <w:t>After commit, workflow outcome is delivered idempotently to Temporal; Temporal advances to SIGN/ISSUE or configured next node.</w:t>
            </w:r>
          </w:p>
        </w:tc>
      </w:tr>
      <w:tr>
        <w:tc>
          <w:tcPr>
            <w:tcW w:type="dxa" w:w="936"/>
            <w:vAlign w:val="center"/>
            <w:tcMar>
              <w:top w:w="90" w:type="dxa"/>
              <w:start w:w="110" w:type="dxa"/>
              <w:bottom w:w="90" w:type="dxa"/>
              <w:end w:w="110" w:type="dxa"/>
            </w:tcMar>
          </w:tcPr>
          <w:p>
            <w:pPr>
              <w:spacing w:after="40" w:before="40"/>
            </w:pPr>
            <w:r>
              <w:rPr>
                <w:rFonts w:ascii="Aptos" w:hAnsi="Aptos"/>
                <w:sz w:val="18"/>
              </w:rPr>
              <w:t>8</w:t>
            </w:r>
          </w:p>
        </w:tc>
        <w:tc>
          <w:tcPr>
            <w:tcW w:type="dxa" w:w="8784"/>
            <w:vAlign w:val="center"/>
            <w:tcMar>
              <w:top w:w="90" w:type="dxa"/>
              <w:start w:w="110" w:type="dxa"/>
              <w:bottom w:w="90" w:type="dxa"/>
              <w:end w:w="110" w:type="dxa"/>
            </w:tcMar>
          </w:tcPr>
          <w:p>
            <w:pPr>
              <w:spacing w:after="40" w:before="40"/>
            </w:pPr>
            <w:r>
              <w:rPr>
                <w:rFonts w:ascii="Aptos" w:hAnsi="Aptos"/>
                <w:sz w:val="18"/>
              </w:rPr>
              <w:t>Notifications/search/analytics/integrations proceed asynchronously; authorization and workflow decision IDs remain traceable.</w:t>
            </w:r>
          </w:p>
        </w:tc>
      </w:tr>
    </w:tbl>
    <w:p>
      <w:pPr>
        <w:pStyle w:val="Heading2"/>
      </w:pPr>
      <w:r>
        <w:t>20.15 Failure behavior</w:t>
      </w:r>
    </w:p>
    <w:tbl>
      <w:tblPr>
        <w:tblW w:type="auto" w:w="0"/>
        <w:jc w:val="center"/>
        <w:tblLook w:firstColumn="1" w:firstRow="1" w:lastColumn="0" w:lastRow="0" w:noHBand="0" w:noVBand="1" w:val="04A0"/>
      </w:tblPr>
      <w:tblGrid>
        <w:gridCol w:w="5083"/>
        <w:gridCol w:w="5083"/>
      </w:tblGrid>
      <w:tr>
        <w:trPr>
          <w:tblHeader w:val="true"/>
        </w:trPr>
        <w:tc>
          <w:tcPr>
            <w:tcW w:type="dxa" w:w="3024"/>
            <w:vAlign w:val="center"/>
            <w:tcMar>
              <w:top w:w="90" w:type="dxa"/>
              <w:start w:w="110" w:type="dxa"/>
              <w:bottom w:w="90" w:type="dxa"/>
              <w:end w:w="110" w:type="dxa"/>
            </w:tcMar>
            <w:shd w:fill="17365D"/>
          </w:tcPr>
          <w:p>
            <w:pPr>
              <w:spacing w:after="40" w:before="40"/>
            </w:pPr>
            <w:r>
              <w:rPr>
                <w:rFonts w:ascii="Aptos" w:hAnsi="Aptos"/>
                <w:b/>
                <w:color w:val="FFFFFF"/>
                <w:sz w:val="18"/>
              </w:rPr>
              <w:t>Failure</w:t>
            </w:r>
          </w:p>
        </w:tc>
        <w:tc>
          <w:tcPr>
            <w:tcW w:type="dxa" w:w="6696"/>
            <w:vAlign w:val="center"/>
            <w:tcMar>
              <w:top w:w="90" w:type="dxa"/>
              <w:start w:w="110" w:type="dxa"/>
              <w:bottom w:w="90" w:type="dxa"/>
              <w:end w:w="110" w:type="dxa"/>
            </w:tcMar>
            <w:shd w:fill="17365D"/>
          </w:tcPr>
          <w:p>
            <w:pPr>
              <w:spacing w:after="40" w:before="40"/>
            </w:pPr>
            <w:r>
              <w:rPr>
                <w:rFonts w:ascii="Aptos" w:hAnsi="Aptos"/>
                <w:b/>
                <w:color w:val="FFFFFF"/>
                <w:sz w:val="18"/>
              </w:rPr>
              <w:t>Required behavior</w:t>
            </w:r>
          </w:p>
        </w:tc>
      </w:tr>
      <w:tr>
        <w:tc>
          <w:tcPr>
            <w:tcW w:type="dxa" w:w="3024"/>
            <w:vAlign w:val="center"/>
            <w:tcMar>
              <w:top w:w="90" w:type="dxa"/>
              <w:start w:w="110" w:type="dxa"/>
              <w:bottom w:w="90" w:type="dxa"/>
              <w:end w:w="110" w:type="dxa"/>
            </w:tcMar>
          </w:tcPr>
          <w:p>
            <w:pPr>
              <w:spacing w:after="40" w:before="40"/>
            </w:pPr>
            <w:r>
              <w:rPr>
                <w:rFonts w:ascii="Aptos" w:hAnsi="Aptos"/>
                <w:sz w:val="18"/>
              </w:rPr>
              <w:t>OPA unavailable / no valid policy</w:t>
            </w:r>
          </w:p>
        </w:tc>
        <w:tc>
          <w:tcPr>
            <w:tcW w:type="dxa" w:w="6696"/>
            <w:vAlign w:val="center"/>
            <w:tcMar>
              <w:top w:w="90" w:type="dxa"/>
              <w:start w:w="110" w:type="dxa"/>
              <w:bottom w:w="90" w:type="dxa"/>
              <w:end w:w="110" w:type="dxa"/>
            </w:tcMar>
          </w:tcPr>
          <w:p>
            <w:pPr>
              <w:spacing w:after="40" w:before="40"/>
            </w:pPr>
            <w:r>
              <w:rPr>
                <w:rFonts w:ascii="Aptos" w:hAnsi="Aptos"/>
                <w:sz w:val="18"/>
              </w:rPr>
              <w:t>Protected action fails closed; health alert; no business state transition. Local sidecar and last valid signed bundle reduce dependency risk.</w:t>
            </w:r>
          </w:p>
        </w:tc>
      </w:tr>
      <w:tr>
        <w:tc>
          <w:tcPr>
            <w:tcW w:type="dxa" w:w="3024"/>
            <w:vAlign w:val="center"/>
            <w:tcMar>
              <w:top w:w="90" w:type="dxa"/>
              <w:start w:w="110" w:type="dxa"/>
              <w:bottom w:w="90" w:type="dxa"/>
              <w:end w:w="110" w:type="dxa"/>
            </w:tcMar>
          </w:tcPr>
          <w:p>
            <w:pPr>
              <w:spacing w:after="40" w:before="40"/>
            </w:pPr>
            <w:r>
              <w:rPr>
                <w:rFonts w:ascii="Aptos" w:hAnsi="Aptos"/>
                <w:sz w:val="18"/>
              </w:rPr>
              <w:t>New policy bundle invalid</w:t>
            </w:r>
          </w:p>
        </w:tc>
        <w:tc>
          <w:tcPr>
            <w:tcW w:type="dxa" w:w="6696"/>
            <w:vAlign w:val="center"/>
            <w:tcMar>
              <w:top w:w="90" w:type="dxa"/>
              <w:start w:w="110" w:type="dxa"/>
              <w:bottom w:w="90" w:type="dxa"/>
              <w:end w:w="110" w:type="dxa"/>
            </w:tcMar>
          </w:tcPr>
          <w:p>
            <w:pPr>
              <w:spacing w:after="40" w:before="40"/>
            </w:pPr>
            <w:r>
              <w:rPr>
                <w:rFonts w:ascii="Aptos" w:hAnsi="Aptos"/>
                <w:sz w:val="18"/>
              </w:rPr>
              <w:t>OPA retains previously valid policy; publication marked failed; alert and audit.</w:t>
            </w:r>
          </w:p>
        </w:tc>
      </w:tr>
      <w:tr>
        <w:tc>
          <w:tcPr>
            <w:tcW w:type="dxa" w:w="3024"/>
            <w:vAlign w:val="center"/>
            <w:tcMar>
              <w:top w:w="90" w:type="dxa"/>
              <w:start w:w="110" w:type="dxa"/>
              <w:bottom w:w="90" w:type="dxa"/>
              <w:end w:w="110" w:type="dxa"/>
            </w:tcMar>
          </w:tcPr>
          <w:p>
            <w:pPr>
              <w:spacing w:after="40" w:before="40"/>
            </w:pPr>
            <w:r>
              <w:rPr>
                <w:rFonts w:ascii="Aptos" w:hAnsi="Aptos"/>
                <w:sz w:val="18"/>
              </w:rPr>
              <w:t>Temporal worker unavailable</w:t>
            </w:r>
          </w:p>
        </w:tc>
        <w:tc>
          <w:tcPr>
            <w:tcW w:type="dxa" w:w="6696"/>
            <w:vAlign w:val="center"/>
            <w:tcMar>
              <w:top w:w="90" w:type="dxa"/>
              <w:start w:w="110" w:type="dxa"/>
              <w:bottom w:w="90" w:type="dxa"/>
              <w:end w:w="110" w:type="dxa"/>
            </w:tcMar>
          </w:tcPr>
          <w:p>
            <w:pPr>
              <w:spacing w:after="40" w:before="40"/>
            </w:pPr>
            <w:r>
              <w:rPr>
                <w:rFonts w:ascii="Aptos" w:hAnsi="Aptos"/>
                <w:sz w:val="18"/>
              </w:rPr>
              <w:t>Workflow execution remains durable; task backlog waits; committed business state is not lost.</w:t>
            </w:r>
          </w:p>
        </w:tc>
      </w:tr>
      <w:tr>
        <w:tc>
          <w:tcPr>
            <w:tcW w:type="dxa" w:w="3024"/>
            <w:vAlign w:val="center"/>
            <w:tcMar>
              <w:top w:w="90" w:type="dxa"/>
              <w:start w:w="110" w:type="dxa"/>
              <w:bottom w:w="90" w:type="dxa"/>
              <w:end w:w="110" w:type="dxa"/>
            </w:tcMar>
          </w:tcPr>
          <w:p>
            <w:pPr>
              <w:spacing w:after="40" w:before="40"/>
            </w:pPr>
            <w:r>
              <w:rPr>
                <w:rFonts w:ascii="Aptos" w:hAnsi="Aptos"/>
                <w:sz w:val="18"/>
              </w:rPr>
              <w:t>Temporal service temporarily unavailable after DB commit</w:t>
            </w:r>
          </w:p>
        </w:tc>
        <w:tc>
          <w:tcPr>
            <w:tcW w:type="dxa" w:w="6696"/>
            <w:vAlign w:val="center"/>
            <w:tcMar>
              <w:top w:w="90" w:type="dxa"/>
              <w:start w:w="110" w:type="dxa"/>
              <w:bottom w:w="90" w:type="dxa"/>
              <w:end w:w="110" w:type="dxa"/>
            </w:tcMar>
          </w:tcPr>
          <w:p>
            <w:pPr>
              <w:spacing w:after="40" w:before="40"/>
            </w:pPr>
            <w:r>
              <w:rPr>
                <w:rFonts w:ascii="Aptos" w:hAnsi="Aptos"/>
                <w:sz w:val="18"/>
              </w:rPr>
              <w:t>Outbox/retry bridge delivers workflow signal/update later; no duplicate decision due to idempotency.</w:t>
            </w:r>
          </w:p>
        </w:tc>
      </w:tr>
      <w:tr>
        <w:tc>
          <w:tcPr>
            <w:tcW w:type="dxa" w:w="3024"/>
            <w:vAlign w:val="center"/>
            <w:tcMar>
              <w:top w:w="90" w:type="dxa"/>
              <w:start w:w="110" w:type="dxa"/>
              <w:bottom w:w="90" w:type="dxa"/>
              <w:end w:w="110" w:type="dxa"/>
            </w:tcMar>
          </w:tcPr>
          <w:p>
            <w:pPr>
              <w:spacing w:after="40" w:before="40"/>
            </w:pPr>
            <w:r>
              <w:rPr>
                <w:rFonts w:ascii="Aptos" w:hAnsi="Aptos"/>
                <w:sz w:val="18"/>
              </w:rPr>
              <w:t>Duplicate workflow outcome</w:t>
            </w:r>
          </w:p>
        </w:tc>
        <w:tc>
          <w:tcPr>
            <w:tcW w:type="dxa" w:w="6696"/>
            <w:vAlign w:val="center"/>
            <w:tcMar>
              <w:top w:w="90" w:type="dxa"/>
              <w:start w:w="110" w:type="dxa"/>
              <w:bottom w:w="90" w:type="dxa"/>
              <w:end w:w="110" w:type="dxa"/>
            </w:tcMar>
          </w:tcPr>
          <w:p>
            <w:pPr>
              <w:spacing w:after="40" w:before="40"/>
            </w:pPr>
            <w:r>
              <w:rPr>
                <w:rFonts w:ascii="Aptos" w:hAnsi="Aptos"/>
                <w:sz w:val="18"/>
              </w:rPr>
              <w:t>Idempotency/aggregate version prevents duplicate side effect or second approval/payment/issuance.</w:t>
            </w:r>
          </w:p>
        </w:tc>
      </w:tr>
      <w:tr>
        <w:tc>
          <w:tcPr>
            <w:tcW w:type="dxa" w:w="3024"/>
            <w:vAlign w:val="center"/>
            <w:tcMar>
              <w:top w:w="90" w:type="dxa"/>
              <w:start w:w="110" w:type="dxa"/>
              <w:bottom w:w="90" w:type="dxa"/>
              <w:end w:w="110" w:type="dxa"/>
            </w:tcMar>
          </w:tcPr>
          <w:p>
            <w:pPr>
              <w:spacing w:after="40" w:before="40"/>
            </w:pPr>
            <w:r>
              <w:rPr>
                <w:rFonts w:ascii="Aptos" w:hAnsi="Aptos"/>
                <w:sz w:val="18"/>
              </w:rPr>
              <w:t>Officer loses role mid-task</w:t>
            </w:r>
          </w:p>
        </w:tc>
        <w:tc>
          <w:tcPr>
            <w:tcW w:type="dxa" w:w="6696"/>
            <w:vAlign w:val="center"/>
            <w:tcMar>
              <w:top w:w="90" w:type="dxa"/>
              <w:start w:w="110" w:type="dxa"/>
              <w:bottom w:w="90" w:type="dxa"/>
              <w:end w:w="110" w:type="dxa"/>
            </w:tcMar>
          </w:tcPr>
          <w:p>
            <w:pPr>
              <w:spacing w:after="40" w:before="40"/>
            </w:pPr>
            <w:r>
              <w:rPr>
                <w:rFonts w:ascii="Aptos" w:hAnsi="Aptos"/>
                <w:sz w:val="18"/>
              </w:rPr>
              <w:t>New authorization check denies action; task can be reassigned/returned according to policy.</w:t>
            </w:r>
          </w:p>
        </w:tc>
      </w:tr>
      <w:tr>
        <w:tc>
          <w:tcPr>
            <w:tcW w:type="dxa" w:w="3024"/>
            <w:vAlign w:val="center"/>
            <w:tcMar>
              <w:top w:w="90" w:type="dxa"/>
              <w:start w:w="110" w:type="dxa"/>
              <w:bottom w:w="90" w:type="dxa"/>
              <w:end w:w="110" w:type="dxa"/>
            </w:tcMar>
          </w:tcPr>
          <w:p>
            <w:pPr>
              <w:spacing w:after="40" w:before="40"/>
            </w:pPr>
            <w:r>
              <w:rPr>
                <w:rFonts w:ascii="Aptos" w:hAnsi="Aptos"/>
                <w:sz w:val="18"/>
              </w:rPr>
              <w:t>Tenant policy changes while case is in flight</w:t>
            </w:r>
          </w:p>
        </w:tc>
        <w:tc>
          <w:tcPr>
            <w:tcW w:type="dxa" w:w="6696"/>
            <w:vAlign w:val="center"/>
            <w:tcMar>
              <w:top w:w="90" w:type="dxa"/>
              <w:start w:w="110" w:type="dxa"/>
              <w:bottom w:w="90" w:type="dxa"/>
              <w:end w:w="110" w:type="dxa"/>
            </w:tcMar>
          </w:tcPr>
          <w:p>
            <w:pPr>
              <w:spacing w:after="40" w:before="40"/>
            </w:pPr>
            <w:r>
              <w:rPr>
                <w:rFonts w:ascii="Aptos" w:hAnsi="Aptos"/>
                <w:sz w:val="18"/>
              </w:rPr>
              <w:t>Authorization uses effective published policy according to governance, while workflow/form/rule business versions remain pinned; behavior must be explicit and auditable.</w:t>
            </w:r>
          </w:p>
        </w:tc>
      </w:tr>
    </w:tbl>
    <w:p>
      <w:pPr>
        <w:pStyle w:val="Heading2"/>
      </w:pPr>
      <w:r>
        <w:t>20.16 Testing requirements</w:t>
      </w:r>
    </w:p>
    <w:p>
      <w:pPr>
        <w:pStyle w:val="ListBullet"/>
        <w:spacing w:after="40"/>
      </w:pPr>
      <w:r>
        <w:t>For every human workflow node, test an allowed actor, wrong tenant, wrong role, wrong jurisdiction, expired delegation and unauthorized workflow state.</w:t>
      </w:r>
    </w:p>
    <w:p>
      <w:pPr>
        <w:pStyle w:val="ListBullet"/>
        <w:spacing w:after="40"/>
      </w:pPr>
      <w:r>
        <w:t>Run OPA unit/policy tests for common policy and representative tenant data before bundle publication.</w:t>
      </w:r>
    </w:p>
    <w:p>
      <w:pPr>
        <w:pStyle w:val="ListBullet"/>
        <w:spacing w:after="40"/>
      </w:pPr>
      <w:r>
        <w:t>Run workflow simulation proving every branch terminates or reaches a valid wait/human state and every side effect is idempotent.</w:t>
      </w:r>
    </w:p>
    <w:p>
      <w:pPr>
        <w:pStyle w:val="ListBullet"/>
        <w:spacing w:after="40"/>
      </w:pPr>
      <w:r>
        <w:t>Run end-to-end tests proving OPA deny prevents PostgreSQL state change and Temporal advancement.</w:t>
      </w:r>
    </w:p>
    <w:p>
      <w:pPr>
        <w:pStyle w:val="ListBullet"/>
        <w:spacing w:after="40"/>
      </w:pPr>
      <w:r>
        <w:t>Run tests proving PostgreSQL RLS still blocks cross-tenant rows even when application authorization code is intentionally bypassed in test harnesses.</w:t>
      </w:r>
    </w:p>
    <w:p>
      <w:pPr>
        <w:pStyle w:val="ListBullet"/>
        <w:spacing w:after="40"/>
      </w:pPr>
      <w:r>
        <w:t>Run failure tests with OPA/Temporal connectivity disruption, stale/invalid bundle, worker restart and duplicate delivery.</w:t>
      </w:r>
    </w:p>
    <w:p>
      <w:pPr>
        <w:pStyle w:val="ListBullet"/>
        <w:spacing w:after="40"/>
      </w:pPr>
      <w:r>
        <w:t>Load-test authorization separately; policy evaluation must not become a centralized bottleneck at the 10K RPS platform target.</w:t>
      </w:r>
    </w:p>
    <w:p>
      <w:pPr>
        <w:pStyle w:val="Heading2"/>
      </w:pPr>
      <w:r>
        <w:t>20.17 AI agent implementation rules</w:t>
      </w:r>
    </w:p>
    <w:tbl>
      <w:tblPr>
        <w:tblW w:type="auto" w:w="0"/>
        <w:jc w:val="center"/>
        <w:tblLook w:firstColumn="1" w:firstRow="1" w:lastColumn="0" w:lastRow="0" w:noHBand="0" w:noVBand="1" w:val="04A0"/>
      </w:tblPr>
      <w:tblGrid>
        <w:gridCol w:w="10166"/>
      </w:tblGrid>
      <w:tr>
        <w:tc>
          <w:tcPr>
            <w:tcW w:type="dxa" w:w="10166"/>
            <w:shd w:fill="EAF1F8"/>
            <w:tcMar>
              <w:top w:w="150" w:type="dxa"/>
              <w:start w:w="160" w:type="dxa"/>
              <w:bottom w:w="150" w:type="dxa"/>
              <w:end w:w="160" w:type="dxa"/>
            </w:tcMar>
          </w:tcPr>
          <w:p>
            <w:r/>
            <w:r>
              <w:rPr>
                <w:b/>
                <w:color w:val="17365D"/>
                <w:sz w:val="20"/>
              </w:rPr>
              <w:t>AI development rule: an agent may implement generic policy/workflow adapters and metadata interpreters, but must never generate tenant-specific Rego or tenant-specific Temporal workflow classes as the default onboarding mechanism. Any exception requires an approved ADR.</w:t>
            </w:r>
          </w:p>
        </w:tc>
      </w:tr>
    </w:tbl>
    <w:p>
      <w:pPr>
        <w:pStyle w:val="ListBullet"/>
        <w:spacing w:after="40"/>
      </w:pPr>
      <w:r>
        <w:t>The AI must preserve the boundary: OPA = authorization, GoRules = deterministic business rules, Temporal = orchestration, PostgreSQL = authoritative business state + RLS.</w:t>
      </w:r>
    </w:p>
    <w:p>
      <w:pPr>
        <w:pStyle w:val="ListBullet"/>
        <w:spacing w:after="40"/>
      </w:pPr>
      <w:r>
        <w:t>The AI must create/update TenantServiceBinding and immutable versions through the publishing path, not by directly patching production metadata.</w:t>
      </w:r>
    </w:p>
    <w:p>
      <w:pPr>
        <w:pStyle w:val="ListBullet"/>
        <w:spacing w:after="40"/>
      </w:pPr>
      <w:r>
        <w:t>The AI must not trust tenant_id, roles or jurisdiction supplied by browser/mobile clients.</w:t>
      </w:r>
    </w:p>
    <w:p>
      <w:pPr>
        <w:pStyle w:val="ListBullet"/>
        <w:spacing w:after="40"/>
      </w:pPr>
      <w:r>
        <w:t>Every human workflow node must declare role/action/jurisdiction semantics and have automated access-policy validation.</w:t>
      </w:r>
    </w:p>
    <w:p>
      <w:pPr>
        <w:pStyle w:val="ListBullet"/>
        <w:spacing w:after="40"/>
      </w:pPr>
      <w:r>
        <w:t>Every new workflow activity with an external side effect must define timeout, retry, idempotency and compensation/reconciliation behavior.</w:t>
      </w:r>
    </w:p>
    <w:p>
      <w:pPr>
        <w:pStyle w:val="ListBullet"/>
        <w:spacing w:after="40"/>
      </w:pPr>
      <w:r>
        <w:t>Any proposal to create one OPA service/Temporal cluster/database per small tenant requires an ADR and cost/scale justification.</w:t>
      </w:r>
    </w:p>
    <w:p>
      <w:pPr>
        <w:pStyle w:val="Heading2"/>
      </w:pPr>
      <w:r>
        <w:t>20.18 Official technology references</w:t>
      </w:r>
    </w:p>
    <w:p>
      <w:pPr>
        <w:spacing w:after="120"/>
      </w:pPr>
      <w:r>
        <w:t>The following official references were re-verified on 2 October 2026 and support the deployment/interface patterns used in this section:</w:t>
      </w:r>
    </w:p>
    <w:p>
      <w:pPr>
        <w:pStyle w:val="ListBullet"/>
        <w:spacing w:after="40"/>
      </w:pPr>
      <w:r>
        <w:t>https://www.openpolicyagent.org/docs/deploy</w:t>
      </w:r>
    </w:p>
    <w:p>
      <w:pPr>
        <w:pStyle w:val="ListBullet"/>
        <w:spacing w:after="40"/>
      </w:pPr>
      <w:r>
        <w:t>https://www.openpolicyagent.org/docs/deploy/k8s</w:t>
      </w:r>
    </w:p>
    <w:p>
      <w:pPr>
        <w:pStyle w:val="ListBullet"/>
        <w:spacing w:after="40"/>
      </w:pPr>
      <w:r>
        <w:t>https://www.openpolicyagent.org/docs/integration</w:t>
      </w:r>
    </w:p>
    <w:p>
      <w:pPr>
        <w:pStyle w:val="ListBullet"/>
        <w:spacing w:after="40"/>
      </w:pPr>
      <w:r>
        <w:t>https://www.openpolicyagent.org/docs/management-bundles</w:t>
      </w:r>
    </w:p>
    <w:p>
      <w:pPr>
        <w:pStyle w:val="ListBullet"/>
        <w:spacing w:after="40"/>
      </w:pPr>
      <w:r>
        <w:t>https://www.openpolicyagent.org/docs/management-decision-logs</w:t>
      </w:r>
    </w:p>
    <w:p>
      <w:pPr>
        <w:pStyle w:val="ListBullet"/>
        <w:spacing w:after="40"/>
      </w:pPr>
      <w:r>
        <w:t>https://docs.temporal.io/tasks</w:t>
      </w:r>
    </w:p>
    <w:p>
      <w:pPr>
        <w:pStyle w:val="ListBullet"/>
        <w:spacing w:after="40"/>
      </w:pPr>
      <w:r>
        <w:t>https://docs.temporal.io/develop/worker-performance</w:t>
      </w:r>
    </w:p>
    <w:p>
      <w:pPr>
        <w:pStyle w:val="Heading2"/>
      </w:pPr>
      <w:r>
        <w:t>20.19 Acceptance criteria</w:t>
      </w:r>
    </w:p>
    <w:p>
      <w:pPr>
        <w:pStyle w:val="ListBullet"/>
        <w:spacing w:after="40"/>
      </w:pPr>
      <w:r>
        <w:t>A tenant maker can configure workflow roles, jurisdiction scope and allowed actions visually without writing Rego or Temporal code.</w:t>
      </w:r>
    </w:p>
    <w:p>
      <w:pPr>
        <w:pStyle w:val="ListBullet"/>
        <w:spacing w:after="40"/>
      </w:pPr>
      <w:r>
        <w:t>Publishing produces a valid TenantServiceBinding and a signed/effective authorization policy version plus workflow/rule/form versions.</w:t>
      </w:r>
    </w:p>
    <w:p>
      <w:pPr>
        <w:pStyle w:val="ListBullet"/>
        <w:spacing w:after="40"/>
      </w:pPr>
      <w:r>
        <w:t>Two tenants can use the same canonical workflow pattern with different role/jurisdiction mappings without code forks.</w:t>
      </w:r>
    </w:p>
    <w:p>
      <w:pPr>
        <w:pStyle w:val="ListBullet"/>
        <w:spacing w:after="40"/>
      </w:pPr>
      <w:r>
        <w:t>OPA denies a wrong-tenant/wrong-role/wrong-jurisdiction action and PostgreSQL RLS independently prevents cross-tenant row access.</w:t>
      </w:r>
    </w:p>
    <w:p>
      <w:pPr>
        <w:pStyle w:val="ListBullet"/>
        <w:spacing w:after="40"/>
      </w:pPr>
      <w:r>
        <w:t>Temporal continues/retries workflow execution after worker failure without duplicating approval/payment/credential side effects.</w:t>
      </w:r>
    </w:p>
    <w:p>
      <w:pPr>
        <w:pStyle w:val="ListBullet"/>
        <w:spacing w:after="40"/>
      </w:pPr>
      <w:r>
        <w:t>Changing a tenant workflow/access configuration creates a new published version; existing application history remains auditable and reproducible.</w:t>
      </w:r>
    </w:p>
    <w:p>
      <w:pPr>
        <w:pStyle w:val="ListBullet"/>
        <w:spacing w:after="40"/>
      </w:pPr>
      <w:r>
        <w:t>Pre-publish validation blocks any human task with no authorized role/scope and any service package with draft/missing dependencies.</w:t>
      </w:r>
    </w:p>
    <w:p>
      <w:r>
        <w:br w:type="page"/>
      </w:r>
    </w:p>
    <w:p>
      <w:pPr>
        <w:pStyle w:val="Heading1"/>
      </w:pPr>
      <w:r>
        <w:rPr>
          <w:b w:val="0"/>
        </w:rPr>
        <w:t>21. World-Class Platform Extensions &amp; Benchmark Alignment</w:t>
      </w:r>
    </w:p>
    <w:tbl>
      <w:tblPr>
        <w:tblStyle w:val="TableGrid"/>
        <w:tblW w:type="auto" w:w="0"/>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7365D"/>
                <w:sz w:val="20"/>
              </w:rPr>
              <w:t>Architecture intent</w:t>
              <w:br/>
            </w:r>
            <w:r>
              <w:rPr>
                <w:sz w:val="19"/>
              </w:rPr>
              <w:t>ServiceForm AI remains metadata-first, tenant-aware and portable. These extensions close material gaps identified against government LCNC, composable-government, low-code case-management and BPMN orchestration benchmarks. They do not change the frozen v1 datastore or responsibility boundaries.</w:t>
            </w:r>
          </w:p>
        </w:tc>
      </w:tr>
    </w:tbl>
    <w:p>
      <w:pPr>
        <w:pStyle w:val="Heading2"/>
      </w:pPr>
      <w:r>
        <w:rPr>
          <w:b w:val="0"/>
        </w:rPr>
        <w:t>21.1 Benchmark alignment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vAlign w:val="center"/>
            <w:tcMar>
              <w:top w:w="80" w:type="dxa"/>
              <w:start w:w="100" w:type="dxa"/>
              <w:bottom w:w="80" w:type="dxa"/>
              <w:end w:w="100" w:type="dxa"/>
            </w:tcMar>
            <w:shd w:fill="EAF1F8"/>
          </w:tcPr>
          <w:p>
            <w:r>
              <w:rPr>
                <w:b/>
                <w:color w:val="17365D"/>
                <w:sz w:val="17"/>
              </w:rPr>
              <w:t>Benchmark</w:t>
            </w:r>
          </w:p>
        </w:tc>
        <w:tc>
          <w:tcPr>
            <w:tcW w:type="dxa" w:w="3888"/>
            <w:vAlign w:val="center"/>
            <w:tcMar>
              <w:top w:w="80" w:type="dxa"/>
              <w:start w:w="100" w:type="dxa"/>
              <w:bottom w:w="80" w:type="dxa"/>
              <w:end w:w="100" w:type="dxa"/>
            </w:tcMar>
            <w:shd w:fill="EAF1F8"/>
          </w:tcPr>
          <w:p>
            <w:r>
              <w:rPr>
                <w:b/>
                <w:color w:val="17365D"/>
                <w:sz w:val="17"/>
              </w:rPr>
              <w:t>Strength used as reference</w:t>
            </w:r>
          </w:p>
        </w:tc>
        <w:tc>
          <w:tcPr>
            <w:tcW w:type="dxa" w:w="4752"/>
            <w:vAlign w:val="center"/>
            <w:tcMar>
              <w:top w:w="80" w:type="dxa"/>
              <w:start w:w="100" w:type="dxa"/>
              <w:bottom w:w="80" w:type="dxa"/>
              <w:end w:w="100" w:type="dxa"/>
            </w:tcMar>
            <w:shd w:fill="EAF1F8"/>
          </w:tcPr>
          <w:p>
            <w:r>
              <w:rPr>
                <w:b/>
                <w:color w:val="17365D"/>
                <w:sz w:val="17"/>
              </w:rPr>
              <w:t>ServiceForm AI architectural response</w:t>
            </w:r>
          </w:p>
        </w:tc>
      </w:tr>
      <w:tr>
        <w:trPr>
          <w:cantSplit/>
        </w:trPr>
        <w:tc>
          <w:tcPr>
            <w:tcW w:type="dxa" w:w="1872"/>
            <w:vAlign w:val="center"/>
            <w:tcMar>
              <w:top w:w="80" w:type="dxa"/>
              <w:start w:w="100" w:type="dxa"/>
              <w:bottom w:w="80" w:type="dxa"/>
              <w:end w:w="100" w:type="dxa"/>
            </w:tcMar>
          </w:tcPr>
          <w:p>
            <w:r>
              <w:rPr>
                <w:b w:val="0"/>
                <w:color w:val="333333"/>
                <w:sz w:val="17"/>
              </w:rPr>
              <w:t>NIC ServicePlus</w:t>
            </w:r>
          </w:p>
        </w:tc>
        <w:tc>
          <w:tcPr>
            <w:tcW w:type="dxa" w:w="3888"/>
            <w:vAlign w:val="center"/>
            <w:tcMar>
              <w:top w:w="80" w:type="dxa"/>
              <w:start w:w="100" w:type="dxa"/>
              <w:bottom w:w="80" w:type="dxa"/>
              <w:end w:w="100" w:type="dxa"/>
            </w:tcMar>
          </w:tcPr>
          <w:p>
            <w:r>
              <w:rPr>
                <w:b w:val="0"/>
                <w:color w:val="333333"/>
                <w:sz w:val="17"/>
              </w:rPr>
              <w:t>Metadata-driven LCNC government services, process flow, service delivery at national scale.</w:t>
            </w:r>
          </w:p>
        </w:tc>
        <w:tc>
          <w:tcPr>
            <w:tcW w:type="dxa" w:w="4752"/>
            <w:vAlign w:val="center"/>
            <w:tcMar>
              <w:top w:w="80" w:type="dxa"/>
              <w:start w:w="100" w:type="dxa"/>
              <w:bottom w:w="80" w:type="dxa"/>
              <w:end w:w="100" w:type="dxa"/>
            </w:tcMar>
          </w:tcPr>
          <w:p>
            <w:r>
              <w:rPr>
                <w:b w:val="0"/>
                <w:color w:val="333333"/>
                <w:sz w:val="17"/>
              </w:rPr>
              <w:t>Retain government-service focus; strengthen template inheritance, immutable TenantServiceBinding, migration workbench and assisted channels.</w:t>
            </w:r>
          </w:p>
        </w:tc>
      </w:tr>
      <w:tr>
        <w:trPr>
          <w:cantSplit/>
        </w:trPr>
        <w:tc>
          <w:tcPr>
            <w:tcW w:type="dxa" w:w="1872"/>
            <w:vAlign w:val="center"/>
            <w:tcMar>
              <w:top w:w="80" w:type="dxa"/>
              <w:start w:w="100" w:type="dxa"/>
              <w:bottom w:w="80" w:type="dxa"/>
              <w:end w:w="100" w:type="dxa"/>
            </w:tcMar>
          </w:tcPr>
          <w:p>
            <w:r>
              <w:rPr>
                <w:b w:val="0"/>
                <w:color w:val="333333"/>
                <w:sz w:val="17"/>
              </w:rPr>
              <w:t>GovStack 2.0</w:t>
            </w:r>
          </w:p>
        </w:tc>
        <w:tc>
          <w:tcPr>
            <w:tcW w:type="dxa" w:w="3888"/>
            <w:vAlign w:val="center"/>
            <w:tcMar>
              <w:top w:w="80" w:type="dxa"/>
              <w:start w:w="100" w:type="dxa"/>
              <w:bottom w:w="80" w:type="dxa"/>
              <w:end w:w="100" w:type="dxa"/>
            </w:tcMar>
          </w:tcPr>
          <w:p>
            <w:r>
              <w:rPr>
                <w:b w:val="0"/>
                <w:color w:val="333333"/>
                <w:sz w:val="17"/>
              </w:rPr>
              <w:t>Composable building blocks and inherited cross-functional requirements.</w:t>
            </w:r>
          </w:p>
        </w:tc>
        <w:tc>
          <w:tcPr>
            <w:tcW w:type="dxa" w:w="4752"/>
            <w:vAlign w:val="center"/>
            <w:tcMar>
              <w:top w:w="80" w:type="dxa"/>
              <w:start w:w="100" w:type="dxa"/>
              <w:bottom w:w="80" w:type="dxa"/>
              <w:end w:w="100" w:type="dxa"/>
            </w:tcMar>
          </w:tcPr>
          <w:p>
            <w:r>
              <w:rPr>
                <w:b w:val="0"/>
                <w:color w:val="333333"/>
                <w:sz w:val="17"/>
              </w:rPr>
              <w:t>Map 61 logical components into deployable macro-building blocks; preserve explicit component ownership/contracts and portability.</w:t>
            </w:r>
          </w:p>
        </w:tc>
      </w:tr>
      <w:tr>
        <w:trPr>
          <w:cantSplit/>
        </w:trPr>
        <w:tc>
          <w:tcPr>
            <w:tcW w:type="dxa" w:w="1872"/>
            <w:vAlign w:val="center"/>
            <w:tcMar>
              <w:top w:w="80" w:type="dxa"/>
              <w:start w:w="100" w:type="dxa"/>
              <w:bottom w:w="80" w:type="dxa"/>
              <w:end w:w="100" w:type="dxa"/>
            </w:tcMar>
          </w:tcPr>
          <w:p>
            <w:r>
              <w:rPr>
                <w:b w:val="0"/>
                <w:color w:val="333333"/>
                <w:sz w:val="17"/>
              </w:rPr>
              <w:t>Singapore FormSG</w:t>
            </w:r>
          </w:p>
        </w:tc>
        <w:tc>
          <w:tcPr>
            <w:tcW w:type="dxa" w:w="3888"/>
            <w:vAlign w:val="center"/>
            <w:tcMar>
              <w:top w:w="80" w:type="dxa"/>
              <w:start w:w="100" w:type="dxa"/>
              <w:bottom w:w="80" w:type="dxa"/>
              <w:end w:w="100" w:type="dxa"/>
            </w:tcMar>
          </w:tcPr>
          <w:p>
            <w:r>
              <w:rPr>
                <w:b w:val="0"/>
                <w:color w:val="333333"/>
                <w:sz w:val="17"/>
              </w:rPr>
              <w:t>Extremely simple government zero-code form creation, conditional routing, workflow/status features.</w:t>
            </w:r>
          </w:p>
        </w:tc>
        <w:tc>
          <w:tcPr>
            <w:tcW w:type="dxa" w:w="4752"/>
            <w:vAlign w:val="center"/>
            <w:tcMar>
              <w:top w:w="80" w:type="dxa"/>
              <w:start w:w="100" w:type="dxa"/>
              <w:bottom w:w="80" w:type="dxa"/>
              <w:end w:w="100" w:type="dxa"/>
            </w:tcMar>
          </w:tcPr>
          <w:p>
            <w:r>
              <w:rPr>
                <w:b w:val="0"/>
                <w:color w:val="333333"/>
                <w:sz w:val="17"/>
              </w:rPr>
              <w:t>Studio UX must hide engine complexity; forms/workflows remain metadata-first with government field library and AI-assisted creation.</w:t>
            </w:r>
          </w:p>
        </w:tc>
      </w:tr>
      <w:tr>
        <w:trPr>
          <w:cantSplit/>
        </w:trPr>
        <w:tc>
          <w:tcPr>
            <w:tcW w:type="dxa" w:w="1872"/>
            <w:vAlign w:val="center"/>
            <w:tcMar>
              <w:top w:w="80" w:type="dxa"/>
              <w:start w:w="100" w:type="dxa"/>
              <w:bottom w:w="80" w:type="dxa"/>
              <w:end w:w="100" w:type="dxa"/>
            </w:tcMar>
          </w:tcPr>
          <w:p>
            <w:r>
              <w:rPr>
                <w:b w:val="0"/>
                <w:color w:val="333333"/>
                <w:sz w:val="17"/>
              </w:rPr>
              <w:t>ServiceNow / Appian</w:t>
            </w:r>
          </w:p>
        </w:tc>
        <w:tc>
          <w:tcPr>
            <w:tcW w:type="dxa" w:w="3888"/>
            <w:vAlign w:val="center"/>
            <w:tcMar>
              <w:top w:w="80" w:type="dxa"/>
              <w:start w:w="100" w:type="dxa"/>
              <w:bottom w:w="80" w:type="dxa"/>
              <w:end w:w="100" w:type="dxa"/>
            </w:tcMar>
          </w:tcPr>
          <w:p>
            <w:r>
              <w:rPr>
                <w:b w:val="0"/>
                <w:color w:val="333333"/>
                <w:sz w:val="17"/>
              </w:rPr>
              <w:t>Mature case management, omnichannel operations, investigations, analytics and AI-assisted work.</w:t>
            </w:r>
          </w:p>
        </w:tc>
        <w:tc>
          <w:tcPr>
            <w:tcW w:type="dxa" w:w="4752"/>
            <w:vAlign w:val="center"/>
            <w:tcMar>
              <w:top w:w="80" w:type="dxa"/>
              <w:start w:w="100" w:type="dxa"/>
              <w:bottom w:w="80" w:type="dxa"/>
              <w:end w:w="100" w:type="dxa"/>
            </w:tcMar>
          </w:tcPr>
          <w:p>
            <w:r>
              <w:rPr>
                <w:b w:val="0"/>
                <w:color w:val="333333"/>
                <w:sz w:val="17"/>
              </w:rPr>
              <w:t>Add assisted service, case relationships, scheduler, integrity/risk and service-journey analytics while retaining open contracts.</w:t>
            </w:r>
          </w:p>
        </w:tc>
      </w:tr>
      <w:tr>
        <w:trPr>
          <w:cantSplit/>
        </w:trPr>
        <w:tc>
          <w:tcPr>
            <w:tcW w:type="dxa" w:w="1872"/>
            <w:vAlign w:val="center"/>
            <w:tcMar>
              <w:top w:w="80" w:type="dxa"/>
              <w:start w:w="100" w:type="dxa"/>
              <w:bottom w:w="80" w:type="dxa"/>
              <w:end w:w="100" w:type="dxa"/>
            </w:tcMar>
          </w:tcPr>
          <w:p>
            <w:r>
              <w:rPr>
                <w:b w:val="0"/>
                <w:color w:val="333333"/>
                <w:sz w:val="17"/>
              </w:rPr>
              <w:t>Camunda / BPMN ecosystem</w:t>
            </w:r>
          </w:p>
        </w:tc>
        <w:tc>
          <w:tcPr>
            <w:tcW w:type="dxa" w:w="3888"/>
            <w:vAlign w:val="center"/>
            <w:tcMar>
              <w:top w:w="80" w:type="dxa"/>
              <w:start w:w="100" w:type="dxa"/>
              <w:bottom w:w="80" w:type="dxa"/>
              <w:end w:w="100" w:type="dxa"/>
            </w:tcMar>
          </w:tcPr>
          <w:p>
            <w:r>
              <w:rPr>
                <w:b w:val="0"/>
                <w:color w:val="333333"/>
                <w:sz w:val="17"/>
              </w:rPr>
              <w:t>Open BPMN process notation and executable process portability.</w:t>
            </w:r>
          </w:p>
        </w:tc>
        <w:tc>
          <w:tcPr>
            <w:tcW w:type="dxa" w:w="4752"/>
            <w:vAlign w:val="center"/>
            <w:tcMar>
              <w:top w:w="80" w:type="dxa"/>
              <w:start w:w="100" w:type="dxa"/>
              <w:bottom w:w="80" w:type="dxa"/>
              <w:end w:w="100" w:type="dxa"/>
            </w:tcMar>
          </w:tcPr>
          <w:p>
            <w:r>
              <w:rPr>
                <w:b w:val="0"/>
                <w:color w:val="333333"/>
                <w:sz w:val="17"/>
              </w:rPr>
              <w:t>Keep Temporal as durable runtime but add BPMN 2.0 import/export through canonical ServiceForm Workflow Model.</w:t>
            </w:r>
          </w:p>
        </w:tc>
      </w:tr>
    </w:tbl>
    <w:p>
      <w:pPr>
        <w:pStyle w:val="Heading2"/>
      </w:pPr>
      <w:r>
        <w:rPr>
          <w:b w:val="0"/>
        </w:rPr>
        <w:t>21.2 GovStack-aligned macro-building-block profile</w:t>
      </w:r>
    </w:p>
    <w:p>
      <w:pPr/>
      <w:r>
        <w:rPr>
          <w:b w:val="0"/>
        </w:rPr>
        <w:t>The 61 logical components are design and ownership boundaries, not 61 mandatory deployments. For external interoperability and future deployment autonomy, group them into macro-building blocks such as Identity, Government Structure, Jurisdiction, Service Configuration, Forms, Rules, Evidence, Case Management, Workflow, Payment, Credentials, Notification, Integration, Search/Analytics and AI. A macro-building block may later receive separate database/cell/runtime isolation without changing domain contracts.</w:t>
      </w:r>
    </w:p>
    <w:p>
      <w:pPr>
        <w:pStyle w:val="Heading2"/>
      </w:pPr>
      <w:r>
        <w:rPr>
          <w:b w:val="0"/>
        </w:rPr>
        <w:t>21.3 BPMN 2.0 interoperability profile</w:t>
      </w:r>
    </w:p>
    <w:p>
      <w:pPr>
        <w:pStyle w:val="ListBullet"/>
      </w:pPr>
      <w:r>
        <w:rPr>
          <w:b w:val="0"/>
        </w:rPr>
        <w:t>ServiceForm Workflow Model remains canonical; Temporal remains the v1 durable runtime.</w:t>
      </w:r>
    </w:p>
    <w:p>
      <w:pPr>
        <w:pStyle w:val="ListBullet"/>
      </w:pPr>
      <w:r>
        <w:rPr>
          <w:b w:val="0"/>
        </w:rPr>
        <w:t>Studio shall export a documented BPMN 2.0 subset for human/system tasks, gateways, timers, messages, errors and subprocesses.</w:t>
      </w:r>
    </w:p>
    <w:p>
      <w:pPr>
        <w:pStyle w:val="ListBullet"/>
      </w:pPr>
      <w:r>
        <w:rPr>
          <w:b w:val="0"/>
        </w:rPr>
        <w:t>Import shall support a validated subset and produce an explicit compatibility report for unsupported constructs.</w:t>
      </w:r>
    </w:p>
    <w:p>
      <w:pPr>
        <w:pStyle w:val="ListBullet"/>
      </w:pPr>
      <w:r>
        <w:rPr>
          <w:b w:val="0"/>
        </w:rPr>
        <w:t>BPMN import/export must never bypass ServiceForm assignment, OPA, tenant, SLA, versioning or publication controls.</w:t>
      </w:r>
    </w:p>
    <w:p>
      <w:pPr>
        <w:pStyle w:val="ListBullet"/>
      </w:pPr>
      <w:r>
        <w:rPr>
          <w:b w:val="0"/>
        </w:rPr>
        <w:t>Round-trip tests must prove semantic equivalence for the supported profile.</w:t>
      </w:r>
    </w:p>
    <w:p>
      <w:pPr>
        <w:pStyle w:val="Heading2"/>
      </w:pPr>
      <w:r>
        <w:rPr>
          <w:b w:val="0"/>
        </w:rPr>
        <w:t>21.4 Signed Service Package promotion (.sfpackage)</w:t>
      </w:r>
    </w:p>
    <w:p>
      <w:pPr/>
      <w:r>
        <w:rPr>
          <w:b w:val="0"/>
        </w:rPr>
        <w:t>Every publishable service configuration shall be exportable as a signed, content-addressed package containing manifest, form/UI schema, semantic dependencies, rules, workflow, evidence, fees, SLA, access policy, credential, localization, tests, dependency versions, hashes and signature. Promotion DEV -&gt; SIT -&gt; UAT -&gt; PREPROD -&gt; PROD uses the same immutable package; environment-specific connector bindings and secrets are referenced, not embedded.</w:t>
      </w:r>
    </w:p>
    <w:p>
      <w:pPr>
        <w:pStyle w:val="Heading2"/>
      </w:pPr>
      <w:r>
        <w:rPr>
          <w:b w:val="0"/>
        </w:rPr>
        <w:t>21.5 Long-running workflow and configuration migration</w:t>
      </w:r>
    </w:p>
    <w:p>
      <w:pPr>
        <w:pStyle w:val="ListBullet"/>
      </w:pPr>
      <w:r>
        <w:rPr>
          <w:b w:val="0"/>
        </w:rPr>
        <w:t>Default: in-flight applications continue on their pinned published versions.</w:t>
      </w:r>
    </w:p>
    <w:p>
      <w:pPr>
        <w:pStyle w:val="ListBullet"/>
      </w:pPr>
      <w:r>
        <w:rPr>
          <w:b w:val="0"/>
        </w:rPr>
        <w:t>MIGRATE_AT_SAFE_POINT requires explicit source/target node mapping, data transformation, simulation and maker-checker approval.</w:t>
      </w:r>
    </w:p>
    <w:p>
      <w:pPr>
        <w:pStyle w:val="ListBullet"/>
      </w:pPr>
      <w:r>
        <w:rPr>
          <w:b w:val="0"/>
        </w:rPr>
        <w:t>MANDATORY_SECURITY_PATCH is exceptional, separately authorized and must preserve audit/replay evidence.</w:t>
      </w:r>
    </w:p>
    <w:p>
      <w:pPr>
        <w:pStyle w:val="ListBullet"/>
      </w:pPr>
      <w:r>
        <w:rPr>
          <w:b w:val="0"/>
        </w:rPr>
        <w:t>No agent or operator may silently repoint active cases to a new workflow/config version.</w:t>
      </w:r>
    </w:p>
    <w:p>
      <w:pPr>
        <w:pStyle w:val="ListBullet"/>
      </w:pPr>
      <w:r>
        <w:rPr>
          <w:b w:val="0"/>
        </w:rPr>
        <w:t>Migration supports dry-run, impact count, rollback/compensation strategy and post-migration reconciliation.</w:t>
      </w:r>
    </w:p>
    <w:p>
      <w:pPr>
        <w:pStyle w:val="Heading2"/>
      </w:pPr>
      <w:r>
        <w:rPr>
          <w:b w:val="0"/>
        </w:rPr>
        <w:t>21.6 Government AI model, prompt and evaluation governance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tcMar>
              <w:top w:w="80" w:type="dxa"/>
              <w:start w:w="100" w:type="dxa"/>
              <w:bottom w:w="80" w:type="dxa"/>
              <w:end w:w="100" w:type="dxa"/>
            </w:tcMar>
            <w:shd w:fill="EAF1F8"/>
          </w:tcPr>
          <w:p>
            <w:r>
              <w:rPr>
                <w:b/>
                <w:color w:val="17365D"/>
                <w:sz w:val="17"/>
              </w:rPr>
              <w:t>Governed artifact</w:t>
            </w:r>
          </w:p>
        </w:tc>
        <w:tc>
          <w:tcPr>
            <w:tcW w:type="dxa" w:w="8064"/>
            <w:vAlign w:val="center"/>
            <w:tcMar>
              <w:top w:w="80" w:type="dxa"/>
              <w:start w:w="100" w:type="dxa"/>
              <w:bottom w:w="80" w:type="dxa"/>
              <w:end w:w="100" w:type="dxa"/>
            </w:tcMar>
            <w:shd w:fill="EAF1F8"/>
          </w:tcPr>
          <w:p>
            <w:r>
              <w:rPr>
                <w:b/>
                <w:color w:val="17365D"/>
                <w:sz w:val="17"/>
              </w:rPr>
              <w:t>Minimum pinned metadata</w:t>
            </w:r>
          </w:p>
        </w:tc>
      </w:tr>
      <w:tr>
        <w:trPr>
          <w:cantSplit/>
        </w:trPr>
        <w:tc>
          <w:tcPr>
            <w:tcW w:type="dxa" w:w="2160"/>
            <w:vAlign w:val="center"/>
            <w:tcMar>
              <w:top w:w="80" w:type="dxa"/>
              <w:start w:w="100" w:type="dxa"/>
              <w:bottom w:w="80" w:type="dxa"/>
              <w:end w:w="100" w:type="dxa"/>
            </w:tcMar>
          </w:tcPr>
          <w:p>
            <w:r>
              <w:rPr>
                <w:b w:val="0"/>
                <w:color w:val="333333"/>
                <w:sz w:val="17"/>
              </w:rPr>
              <w:t>Model</w:t>
            </w:r>
          </w:p>
        </w:tc>
        <w:tc>
          <w:tcPr>
            <w:tcW w:type="dxa" w:w="8064"/>
            <w:vAlign w:val="center"/>
            <w:tcMar>
              <w:top w:w="80" w:type="dxa"/>
              <w:start w:w="100" w:type="dxa"/>
              <w:bottom w:w="80" w:type="dxa"/>
              <w:end w:w="100" w:type="dxa"/>
            </w:tcMar>
          </w:tcPr>
          <w:p>
            <w:r>
              <w:rPr>
                <w:b w:val="0"/>
                <w:color w:val="333333"/>
                <w:sz w:val="17"/>
              </w:rPr>
              <w:t>provider, model/version, region, safety policy, data-use policy, cost/latency profile</w:t>
            </w:r>
          </w:p>
        </w:tc>
      </w:tr>
      <w:tr>
        <w:trPr>
          <w:cantSplit/>
        </w:trPr>
        <w:tc>
          <w:tcPr>
            <w:tcW w:type="dxa" w:w="2160"/>
            <w:vAlign w:val="center"/>
            <w:tcMar>
              <w:top w:w="80" w:type="dxa"/>
              <w:start w:w="100" w:type="dxa"/>
              <w:bottom w:w="80" w:type="dxa"/>
              <w:end w:w="100" w:type="dxa"/>
            </w:tcMar>
          </w:tcPr>
          <w:p>
            <w:r>
              <w:rPr>
                <w:b w:val="0"/>
                <w:color w:val="333333"/>
                <w:sz w:val="17"/>
              </w:rPr>
              <w:t>Prompt</w:t>
            </w:r>
          </w:p>
        </w:tc>
        <w:tc>
          <w:tcPr>
            <w:tcW w:type="dxa" w:w="8064"/>
            <w:vAlign w:val="center"/>
            <w:tcMar>
              <w:top w:w="80" w:type="dxa"/>
              <w:start w:w="100" w:type="dxa"/>
              <w:bottom w:w="80" w:type="dxa"/>
              <w:end w:w="100" w:type="dxa"/>
            </w:tcMar>
          </w:tcPr>
          <w:p>
            <w:r>
              <w:rPr>
                <w:b w:val="0"/>
                <w:color w:val="333333"/>
                <w:sz w:val="17"/>
              </w:rPr>
              <w:t>prompt ID/version/hash, purpose, allowed data classes, template owner</w:t>
            </w:r>
          </w:p>
        </w:tc>
      </w:tr>
      <w:tr>
        <w:trPr>
          <w:cantSplit/>
        </w:trPr>
        <w:tc>
          <w:tcPr>
            <w:tcW w:type="dxa" w:w="2160"/>
            <w:vAlign w:val="center"/>
            <w:tcMar>
              <w:top w:w="80" w:type="dxa"/>
              <w:start w:w="100" w:type="dxa"/>
              <w:bottom w:w="80" w:type="dxa"/>
              <w:end w:w="100" w:type="dxa"/>
            </w:tcMar>
          </w:tcPr>
          <w:p>
            <w:r>
              <w:rPr>
                <w:b w:val="0"/>
                <w:color w:val="333333"/>
                <w:sz w:val="17"/>
              </w:rPr>
              <w:t>Tools</w:t>
            </w:r>
          </w:p>
        </w:tc>
        <w:tc>
          <w:tcPr>
            <w:tcW w:type="dxa" w:w="8064"/>
            <w:vAlign w:val="center"/>
            <w:tcMar>
              <w:top w:w="80" w:type="dxa"/>
              <w:start w:w="100" w:type="dxa"/>
              <w:bottom w:w="80" w:type="dxa"/>
              <w:end w:w="100" w:type="dxa"/>
            </w:tcMar>
          </w:tcPr>
          <w:p>
            <w:r>
              <w:rPr>
                <w:b w:val="0"/>
                <w:color w:val="333333"/>
                <w:sz w:val="17"/>
              </w:rPr>
              <w:t>toolset version, scopes, OPA policy, side-effect classification</w:t>
            </w:r>
          </w:p>
        </w:tc>
      </w:tr>
      <w:tr>
        <w:trPr>
          <w:cantSplit/>
        </w:trPr>
        <w:tc>
          <w:tcPr>
            <w:tcW w:type="dxa" w:w="2160"/>
            <w:vAlign w:val="center"/>
            <w:tcMar>
              <w:top w:w="80" w:type="dxa"/>
              <w:start w:w="100" w:type="dxa"/>
              <w:bottom w:w="80" w:type="dxa"/>
              <w:end w:w="100" w:type="dxa"/>
            </w:tcMar>
          </w:tcPr>
          <w:p>
            <w:r>
              <w:rPr>
                <w:b w:val="0"/>
                <w:color w:val="333333"/>
                <w:sz w:val="17"/>
              </w:rPr>
              <w:t>Evaluation</w:t>
            </w:r>
          </w:p>
        </w:tc>
        <w:tc>
          <w:tcPr>
            <w:tcW w:type="dxa" w:w="8064"/>
            <w:vAlign w:val="center"/>
            <w:tcMar>
              <w:top w:w="80" w:type="dxa"/>
              <w:start w:w="100" w:type="dxa"/>
              <w:bottom w:w="80" w:type="dxa"/>
              <w:end w:w="100" w:type="dxa"/>
            </w:tcMar>
          </w:tcPr>
          <w:p>
            <w:r>
              <w:rPr>
                <w:b w:val="0"/>
                <w:color w:val="333333"/>
                <w:sz w:val="17"/>
              </w:rPr>
              <w:t>golden dataset version, task metrics, hallucination/prompt-injection/PII-leakage tests</w:t>
            </w:r>
          </w:p>
        </w:tc>
      </w:tr>
      <w:tr>
        <w:trPr>
          <w:cantSplit/>
        </w:trPr>
        <w:tc>
          <w:tcPr>
            <w:tcW w:type="dxa" w:w="2160"/>
            <w:vAlign w:val="center"/>
            <w:tcMar>
              <w:top w:w="80" w:type="dxa"/>
              <w:start w:w="100" w:type="dxa"/>
              <w:bottom w:w="80" w:type="dxa"/>
              <w:end w:w="100" w:type="dxa"/>
            </w:tcMar>
          </w:tcPr>
          <w:p>
            <w:r>
              <w:rPr>
                <w:b w:val="0"/>
                <w:color w:val="333333"/>
                <w:sz w:val="17"/>
              </w:rPr>
              <w:t>Release</w:t>
            </w:r>
          </w:p>
        </w:tc>
        <w:tc>
          <w:tcPr>
            <w:tcW w:type="dxa" w:w="8064"/>
            <w:vAlign w:val="center"/>
            <w:tcMar>
              <w:top w:w="80" w:type="dxa"/>
              <w:start w:w="100" w:type="dxa"/>
              <w:bottom w:w="80" w:type="dxa"/>
              <w:end w:w="100" w:type="dxa"/>
            </w:tcMar>
          </w:tcPr>
          <w:p>
            <w:r>
              <w:rPr>
                <w:b w:val="0"/>
                <w:color w:val="333333"/>
                <w:sz w:val="17"/>
              </w:rPr>
              <w:t>model+prompt+toolset bundle, fallback model, budget, monitoring/drift thresholds, approval evidence</w:t>
            </w:r>
          </w:p>
        </w:tc>
      </w:tr>
    </w:tbl>
    <w:p>
      <w:pPr>
        <w:pStyle w:val="Heading2"/>
      </w:pPr>
      <w:r>
        <w:rPr>
          <w:b w:val="0"/>
        </w:rPr>
        <w:t>21.7 TenantServiceBinding extension</w:t>
      </w:r>
    </w:p>
    <w:p>
      <w:pPr/>
      <w:r>
        <w:rPr>
          <w:b w:val="0"/>
        </w:rPr>
        <w:t>TenantServiceBinding remains the executable manifest. v1.7 extends its optional dependencies to semantic_registry_version, appointment_policy_version, assisted_service_policy_version, risk_policy_version and privacy_policy_version. These are pinned only when the service uses the capability; they do not create mandatory runtime dependencies for every service.</w:t>
      </w:r>
    </w:p>
    <w:p>
      <w:pPr>
        <w:pStyle w:val="Heading2"/>
      </w:pPr>
      <w:r>
        <w:rPr>
          <w:b w:val="0"/>
        </w:rPr>
        <w:t>21.8 Acceptance criteria for the extensions</w:t>
      </w:r>
    </w:p>
    <w:p>
      <w:pPr>
        <w:pStyle w:val="ListBullet"/>
      </w:pPr>
      <w:r>
        <w:rPr>
          <w:b w:val="0"/>
        </w:rPr>
        <w:t>An appointment-based service can be configured without service-specific scheduling code.</w:t>
      </w:r>
    </w:p>
    <w:p>
      <w:pPr>
        <w:pStyle w:val="ListBullet"/>
      </w:pPr>
      <w:r>
        <w:rPr>
          <w:b w:val="0"/>
        </w:rPr>
        <w:t>An assisted counter operator can apply for a citizen without impersonation and with complete applied_by/applied_for audit.</w:t>
      </w:r>
    </w:p>
    <w:p>
      <w:pPr>
        <w:pStyle w:val="ListBullet"/>
      </w:pPr>
      <w:r>
        <w:rPr>
          <w:b w:val="0"/>
        </w:rPr>
        <w:t>Common fields reuse canonical semantic IDs and impact analysis works before semantic deprecation.</w:t>
      </w:r>
    </w:p>
    <w:p>
      <w:pPr>
        <w:pStyle w:val="ListBullet"/>
      </w:pPr>
      <w:r>
        <w:rPr>
          <w:b w:val="0"/>
        </w:rPr>
        <w:t>A legacy service can be dry-run imported with mapping and reconciliation evidence.</w:t>
      </w:r>
    </w:p>
    <w:p>
      <w:pPr>
        <w:pStyle w:val="ListBullet"/>
      </w:pPr>
      <w:r>
        <w:rPr>
          <w:b w:val="0"/>
        </w:rPr>
        <w:t>Risk signals can create review tasks but cannot independently make an adverse statutory decision.</w:t>
      </w:r>
    </w:p>
    <w:p>
      <w:pPr>
        <w:pStyle w:val="ListBullet"/>
      </w:pPr>
      <w:r>
        <w:rPr>
          <w:b w:val="0"/>
        </w:rPr>
        <w:t>A citizen can submit and track an applicable privacy-rights request without direct cross-domain data mutation.</w:t>
      </w:r>
    </w:p>
    <w:p>
      <w:pPr>
        <w:pStyle w:val="ListBullet"/>
      </w:pPr>
      <w:r>
        <w:rPr>
          <w:b w:val="0"/>
        </w:rPr>
        <w:t>A representative workflow round-trips through the supported BPMN profile.</w:t>
      </w:r>
    </w:p>
    <w:p>
      <w:pPr>
        <w:pStyle w:val="ListBullet"/>
      </w:pPr>
      <w:r>
        <w:rPr>
          <w:b w:val="0"/>
        </w:rPr>
        <w:t>The same signed .sfpackage is promoted across environments with environment-specific secrets kept outside the package.</w:t>
      </w:r>
    </w:p>
    <w:p>
      <w:pPr>
        <w:pStyle w:val="ListBullet"/>
      </w:pPr>
      <w:r>
        <w:rPr>
          <w:b w:val="0"/>
        </w:rPr>
        <w:t>An active workflow version migration cannot occur without simulation, authorization and evidence.</w:t>
      </w:r>
    </w:p>
    <w:p>
      <w:pPr>
        <w:pStyle w:val="ListBullet"/>
      </w:pPr>
      <w:r>
        <w:rPr>
          <w:b w:val="0"/>
        </w:rPr>
        <w:t>Every AI production capability has pinned model/prompt/tool/evaluation versions and release evidence.</w:t>
      </w:r>
    </w:p>
    <w:p>
      <w:pPr>
        <w:pStyle w:val="Heading1"/>
      </w:pPr>
      <w:r>
        <w:rPr>
          <w:b w:val="0"/>
        </w:rPr>
        <w:t>22. UX4G Design System Conformance &amp; ServiceForm Experience Contract</w:t>
      </w:r>
    </w:p>
    <w:tbl>
      <w:tblPr>
        <w:tblStyle w:val="TableGrid"/>
        <w:tblW w:type="auto" w:w="0"/>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7365D"/>
                <w:sz w:val="20"/>
              </w:rPr>
              <w:t>Normative UX baseline</w:t>
              <w:br/>
            </w:r>
            <w:r>
              <w:rPr>
                <w:sz w:val="19"/>
              </w:rPr>
              <w:t>ServiceForm AI adopts UX4G Design System 3.0 as the mandatory design-system baseline for all first-party user interfaces. UX4G foundations, tokens, accessible component behavior and government patterns are reused before any custom UI is introduced. This requirement applies to Citizen, Officer Workbench, ServiceForm Studio, Tenant Administration and platform operations surfaces.</w:t>
            </w:r>
          </w:p>
        </w:tc>
      </w:tr>
    </w:tbl>
    <w:p>
      <w:pPr>
        <w:pStyle w:val="Heading2"/>
      </w:pPr>
      <w:r>
        <w:rPr>
          <w:b w:val="0"/>
        </w:rPr>
        <w:t>22.1 Scope and implementation mapping</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16"/>
            <w:vAlign w:val="center"/>
            <w:tcMar>
              <w:top w:w="90" w:type="dxa"/>
              <w:start w:w="110" w:type="dxa"/>
              <w:bottom w:w="90" w:type="dxa"/>
              <w:end w:w="110" w:type="dxa"/>
            </w:tcMar>
            <w:shd w:fill="EAF1F8"/>
          </w:tcPr>
          <w:p>
            <w:r>
              <w:rPr>
                <w:b/>
                <w:color w:val="17365D"/>
                <w:sz w:val="17"/>
              </w:rPr>
              <w:t>Surface</w:t>
            </w:r>
          </w:p>
        </w:tc>
        <w:tc>
          <w:tcPr>
            <w:tcW w:type="dxa" w:w="3168"/>
            <w:vAlign w:val="center"/>
            <w:tcMar>
              <w:top w:w="90" w:type="dxa"/>
              <w:start w:w="110" w:type="dxa"/>
              <w:bottom w:w="90" w:type="dxa"/>
              <w:end w:w="110" w:type="dxa"/>
            </w:tcMar>
            <w:shd w:fill="EAF1F8"/>
          </w:tcPr>
          <w:p>
            <w:r>
              <w:rPr>
                <w:b/>
                <w:color w:val="17365D"/>
                <w:sz w:val="17"/>
              </w:rPr>
              <w:t>Required UX4G implementation</w:t>
            </w:r>
          </w:p>
        </w:tc>
        <w:tc>
          <w:tcPr>
            <w:tcW w:type="dxa" w:w="4608"/>
            <w:vAlign w:val="center"/>
            <w:tcMar>
              <w:top w:w="90" w:type="dxa"/>
              <w:start w:w="110" w:type="dxa"/>
              <w:bottom w:w="90" w:type="dxa"/>
              <w:end w:w="110" w:type="dxa"/>
            </w:tcMar>
            <w:shd w:fill="EAF1F8"/>
          </w:tcPr>
          <w:p>
            <w:r>
              <w:rPr>
                <w:b/>
                <w:color w:val="17365D"/>
                <w:sz w:val="17"/>
              </w:rPr>
              <w:t>ServiceForm rule</w:t>
            </w:r>
          </w:p>
        </w:tc>
      </w:tr>
      <w:tr>
        <w:trPr>
          <w:cantSplit/>
        </w:trPr>
        <w:tc>
          <w:tcPr>
            <w:tcW w:type="dxa" w:w="2016"/>
            <w:vAlign w:val="center"/>
            <w:tcMar>
              <w:top w:w="90" w:type="dxa"/>
              <w:start w:w="110" w:type="dxa"/>
              <w:bottom w:w="90" w:type="dxa"/>
              <w:end w:w="110" w:type="dxa"/>
            </w:tcMar>
          </w:tcPr>
          <w:p>
            <w:r>
              <w:rPr>
                <w:b w:val="0"/>
                <w:color w:val="333333"/>
                <w:sz w:val="17"/>
              </w:rPr>
              <w:t>Citizen web (Next.js/React)</w:t>
            </w:r>
          </w:p>
        </w:tc>
        <w:tc>
          <w:tcPr>
            <w:tcW w:type="dxa" w:w="3168"/>
            <w:vAlign w:val="center"/>
            <w:tcMar>
              <w:top w:w="90" w:type="dxa"/>
              <w:start w:w="110" w:type="dxa"/>
              <w:bottom w:w="90" w:type="dxa"/>
              <w:end w:w="110" w:type="dxa"/>
            </w:tcMar>
          </w:tcPr>
          <w:p>
            <w:r>
              <w:rPr>
                <w:b w:val="0"/>
                <w:color w:val="333333"/>
                <w:sz w:val="17"/>
              </w:rPr>
              <w:t>UX4G React components + tokens + patterns</w:t>
            </w:r>
          </w:p>
        </w:tc>
        <w:tc>
          <w:tcPr>
            <w:tcW w:type="dxa" w:w="4608"/>
            <w:vAlign w:val="center"/>
            <w:tcMar>
              <w:top w:w="90" w:type="dxa"/>
              <w:start w:w="110" w:type="dxa"/>
              <w:bottom w:w="90" w:type="dxa"/>
              <w:end w:w="110" w:type="dxa"/>
            </w:tcMar>
          </w:tcPr>
          <w:p>
            <w:r>
              <w:rPr>
                <w:b w:val="0"/>
                <w:color w:val="333333"/>
                <w:sz w:val="17"/>
              </w:rPr>
              <w:t>No direct default JSON Forms widgets; metadata renderers map to UX4G.</w:t>
            </w:r>
          </w:p>
        </w:tc>
      </w:tr>
      <w:tr>
        <w:trPr>
          <w:cantSplit/>
        </w:trPr>
        <w:tc>
          <w:tcPr>
            <w:tcW w:type="dxa" w:w="2016"/>
            <w:vAlign w:val="center"/>
            <w:tcMar>
              <w:top w:w="90" w:type="dxa"/>
              <w:start w:w="110" w:type="dxa"/>
              <w:bottom w:w="90" w:type="dxa"/>
              <w:end w:w="110" w:type="dxa"/>
            </w:tcMar>
          </w:tcPr>
          <w:p>
            <w:r>
              <w:rPr>
                <w:b w:val="0"/>
                <w:color w:val="333333"/>
                <w:sz w:val="17"/>
              </w:rPr>
              <w:t>Officer / tenant / Studio web</w:t>
            </w:r>
          </w:p>
        </w:tc>
        <w:tc>
          <w:tcPr>
            <w:tcW w:type="dxa" w:w="3168"/>
            <w:vAlign w:val="center"/>
            <w:tcMar>
              <w:top w:w="90" w:type="dxa"/>
              <w:start w:w="110" w:type="dxa"/>
              <w:bottom w:w="90" w:type="dxa"/>
              <w:end w:w="110" w:type="dxa"/>
            </w:tcMar>
          </w:tcPr>
          <w:p>
            <w:r>
              <w:rPr>
                <w:b w:val="0"/>
                <w:color w:val="333333"/>
                <w:sz w:val="17"/>
              </w:rPr>
              <w:t>UX4G React as the primary component layer</w:t>
            </w:r>
          </w:p>
        </w:tc>
        <w:tc>
          <w:tcPr>
            <w:tcW w:type="dxa" w:w="4608"/>
            <w:vAlign w:val="center"/>
            <w:tcMar>
              <w:top w:w="90" w:type="dxa"/>
              <w:start w:w="110" w:type="dxa"/>
              <w:bottom w:w="90" w:type="dxa"/>
              <w:end w:w="110" w:type="dxa"/>
            </w:tcMar>
          </w:tcPr>
          <w:p>
            <w:r>
              <w:rPr>
                <w:b w:val="0"/>
                <w:color w:val="333333"/>
                <w:sz w:val="17"/>
              </w:rPr>
              <w:t>Admin tools are not exempt from accessibility or token rules.</w:t>
            </w:r>
          </w:p>
        </w:tc>
      </w:tr>
      <w:tr>
        <w:trPr>
          <w:cantSplit/>
        </w:trPr>
        <w:tc>
          <w:tcPr>
            <w:tcW w:type="dxa" w:w="2016"/>
            <w:vAlign w:val="center"/>
            <w:tcMar>
              <w:top w:w="90" w:type="dxa"/>
              <w:start w:w="110" w:type="dxa"/>
              <w:bottom w:w="90" w:type="dxa"/>
              <w:end w:w="110" w:type="dxa"/>
            </w:tcMar>
          </w:tcPr>
          <w:p>
            <w:r>
              <w:rPr>
                <w:b w:val="0"/>
                <w:color w:val="333333"/>
                <w:sz w:val="17"/>
              </w:rPr>
              <w:t>Flutter mobile</w:t>
            </w:r>
          </w:p>
        </w:tc>
        <w:tc>
          <w:tcPr>
            <w:tcW w:type="dxa" w:w="3168"/>
            <w:vAlign w:val="center"/>
            <w:tcMar>
              <w:top w:w="90" w:type="dxa"/>
              <w:start w:w="110" w:type="dxa"/>
              <w:bottom w:w="90" w:type="dxa"/>
              <w:end w:w="110" w:type="dxa"/>
            </w:tcMar>
          </w:tcPr>
          <w:p>
            <w:r>
              <w:rPr>
                <w:b w:val="0"/>
                <w:color w:val="333333"/>
                <w:sz w:val="17"/>
              </w:rPr>
              <w:t>UX4G Flutter components and tokens</w:t>
            </w:r>
          </w:p>
        </w:tc>
        <w:tc>
          <w:tcPr>
            <w:tcW w:type="dxa" w:w="4608"/>
            <w:vAlign w:val="center"/>
            <w:tcMar>
              <w:top w:w="90" w:type="dxa"/>
              <w:start w:w="110" w:type="dxa"/>
              <w:bottom w:w="90" w:type="dxa"/>
              <w:end w:w="110" w:type="dxa"/>
            </w:tcMar>
          </w:tcPr>
          <w:p>
            <w:r>
              <w:rPr>
                <w:b w:val="0"/>
                <w:color w:val="333333"/>
                <w:sz w:val="17"/>
              </w:rPr>
              <w:t>Same semantic form contract and state behavior as web.</w:t>
            </w:r>
          </w:p>
        </w:tc>
      </w:tr>
      <w:tr>
        <w:trPr>
          <w:cantSplit/>
        </w:trPr>
        <w:tc>
          <w:tcPr>
            <w:tcW w:type="dxa" w:w="2016"/>
            <w:vAlign w:val="center"/>
            <w:tcMar>
              <w:top w:w="90" w:type="dxa"/>
              <w:start w:w="110" w:type="dxa"/>
              <w:bottom w:w="90" w:type="dxa"/>
              <w:end w:w="110" w:type="dxa"/>
            </w:tcMar>
          </w:tcPr>
          <w:p>
            <w:r>
              <w:rPr>
                <w:b w:val="0"/>
                <w:color w:val="333333"/>
                <w:sz w:val="17"/>
              </w:rPr>
              <w:t>Embeddable/partner widgets</w:t>
            </w:r>
          </w:p>
        </w:tc>
        <w:tc>
          <w:tcPr>
            <w:tcW w:type="dxa" w:w="3168"/>
            <w:vAlign w:val="center"/>
            <w:tcMar>
              <w:top w:w="90" w:type="dxa"/>
              <w:start w:w="110" w:type="dxa"/>
              <w:bottom w:w="90" w:type="dxa"/>
              <w:end w:w="110" w:type="dxa"/>
            </w:tcMar>
          </w:tcPr>
          <w:p>
            <w:r>
              <w:rPr>
                <w:b w:val="0"/>
                <w:color w:val="333333"/>
                <w:sz w:val="17"/>
              </w:rPr>
              <w:t>UX4G Web Components where appropriate</w:t>
            </w:r>
          </w:p>
        </w:tc>
        <w:tc>
          <w:tcPr>
            <w:tcW w:type="dxa" w:w="4608"/>
            <w:vAlign w:val="center"/>
            <w:tcMar>
              <w:top w:w="90" w:type="dxa"/>
              <w:start w:w="110" w:type="dxa"/>
              <w:bottom w:w="90" w:type="dxa"/>
              <w:end w:w="110" w:type="dxa"/>
            </w:tcMar>
          </w:tcPr>
          <w:p>
            <w:r>
              <w:rPr>
                <w:b w:val="0"/>
                <w:color w:val="333333"/>
                <w:sz w:val="17"/>
              </w:rPr>
              <w:t>Do not duplicate styling into bespoke widget CSS.</w:t>
            </w:r>
          </w:p>
        </w:tc>
      </w:tr>
      <w:tr>
        <w:trPr>
          <w:cantSplit/>
        </w:trPr>
        <w:tc>
          <w:tcPr>
            <w:tcW w:type="dxa" w:w="2016"/>
            <w:vAlign w:val="center"/>
            <w:tcMar>
              <w:top w:w="90" w:type="dxa"/>
              <w:start w:w="110" w:type="dxa"/>
              <w:bottom w:w="90" w:type="dxa"/>
              <w:end w:w="110" w:type="dxa"/>
            </w:tcMar>
          </w:tcPr>
          <w:p>
            <w:r>
              <w:rPr>
                <w:b w:val="0"/>
                <w:color w:val="333333"/>
                <w:sz w:val="17"/>
              </w:rPr>
              <w:t>Design/Figma</w:t>
            </w:r>
          </w:p>
        </w:tc>
        <w:tc>
          <w:tcPr>
            <w:tcW w:type="dxa" w:w="3168"/>
            <w:vAlign w:val="center"/>
            <w:tcMar>
              <w:top w:w="90" w:type="dxa"/>
              <w:start w:w="110" w:type="dxa"/>
              <w:bottom w:w="90" w:type="dxa"/>
              <w:end w:w="110" w:type="dxa"/>
            </w:tcMar>
          </w:tcPr>
          <w:p>
            <w:r>
              <w:rPr>
                <w:b w:val="0"/>
                <w:color w:val="333333"/>
                <w:sz w:val="17"/>
              </w:rPr>
              <w:t>Official UX4G Figma library / tokens / patterns</w:t>
            </w:r>
          </w:p>
        </w:tc>
        <w:tc>
          <w:tcPr>
            <w:tcW w:type="dxa" w:w="4608"/>
            <w:vAlign w:val="center"/>
            <w:tcMar>
              <w:top w:w="90" w:type="dxa"/>
              <w:start w:w="110" w:type="dxa"/>
              <w:bottom w:w="90" w:type="dxa"/>
              <w:end w:w="110" w:type="dxa"/>
            </w:tcMar>
          </w:tcPr>
          <w:p>
            <w:r>
              <w:rPr>
                <w:b w:val="0"/>
                <w:color w:val="333333"/>
                <w:sz w:val="17"/>
              </w:rPr>
              <w:t>Design artifacts and coded components must maintain named parity.</w:t>
            </w:r>
          </w:p>
        </w:tc>
      </w:tr>
    </w:tbl>
    <w:p>
      <w:pPr>
        <w:pStyle w:val="Heading2"/>
      </w:pPr>
      <w:r>
        <w:rPr>
          <w:b w:val="0"/>
        </w:rPr>
        <w:t>22.2 UX4G foundations that are mandatory</w:t>
      </w:r>
    </w:p>
    <w:p>
      <w:pPr>
        <w:pStyle w:val="ListBullet"/>
      </w:pPr>
      <w:r>
        <w:rPr>
          <w:b w:val="0"/>
        </w:rPr>
        <w:t>Color: use UX4G primary, semantic and neutral token families; tenant themes may change permitted brand tokens only after automated contrast validation.</w:t>
      </w:r>
    </w:p>
    <w:p>
      <w:pPr>
        <w:pStyle w:val="ListBullet"/>
      </w:pPr>
      <w:r>
        <w:rPr>
          <w:b w:val="0"/>
        </w:rPr>
        <w:t>Typography: use UX4G type scale, weights and line-height tokens; do not introduce arbitrary per-page typography.</w:t>
      </w:r>
    </w:p>
    <w:p>
      <w:pPr>
        <w:pStyle w:val="ListBullet"/>
      </w:pPr>
      <w:r>
        <w:rPr>
          <w:b w:val="0"/>
        </w:rPr>
        <w:t>Spacing and layout: use UX4G base-4 spacing scale and responsive-grid principles; avoid hard-coded spacing values in feature code.</w:t>
      </w:r>
    </w:p>
    <w:p>
      <w:pPr>
        <w:pStyle w:val="ListBullet"/>
      </w:pPr>
      <w:r>
        <w:rPr>
          <w:b w:val="0"/>
        </w:rPr>
        <w:t>Elevation and iconography: use UX4G elevation levels and icon semantics before creating custom assets.</w:t>
      </w:r>
    </w:p>
    <w:p>
      <w:pPr>
        <w:pStyle w:val="ListBullet"/>
      </w:pPr>
      <w:r>
        <w:rPr>
          <w:b w:val="0"/>
        </w:rPr>
        <w:t>Design tokens: UI source code consumes tokens/variables, not copied hexadecimal colours, radii or shadow values.</w:t>
      </w:r>
    </w:p>
    <w:p>
      <w:pPr>
        <w:pStyle w:val="ListBullet"/>
      </w:pPr>
      <w:r>
        <w:rPr>
          <w:b w:val="0"/>
        </w:rPr>
        <w:t>Accessibility: WCAG 2.1 AA/GIGW-aligned implementation, keyboard paths, visible focus, semantic HTML, screen-reader names, contrast and reflow are release requirements.</w:t>
      </w:r>
    </w:p>
    <w:p>
      <w:pPr>
        <w:pStyle w:val="ListBullet"/>
      </w:pPr>
      <w:r>
        <w:rPr>
          <w:b w:val="0"/>
        </w:rPr>
        <w:t>Content design: citizen-facing labels, errors, instructions and confirmations follow UX4G plain-language and multilingual content guidance.</w:t>
      </w:r>
    </w:p>
    <w:p>
      <w:pPr>
        <w:pStyle w:val="Heading2"/>
      </w:pPr>
      <w:r>
        <w:rPr>
          <w:b w:val="0"/>
        </w:rPr>
        <w:t>22.3 Component reuse and ServiceForm extension policy</w:t>
      </w:r>
    </w:p>
    <w:p>
      <w:pPr/>
      <w:r>
        <w:rPr>
          <w:b w:val="0"/>
        </w:rPr>
        <w:t>The implementation order for any interface element is: UX4G component/pattern -&gt; composed UX4G pattern -&gt; certified ServiceForm UX4G extension -&gt; exception approved through ADR. Feature teams must not start from a third-party visual component library when UX4G already provides the required control.</w:t>
      </w:r>
    </w:p>
    <w:tbl>
      <w:tblPr>
        <w:tblStyle w:val="TableGrid"/>
        <w:tblW w:type="auto" w:w="0"/>
        <w:jc w:val="center"/>
        <w:tblLook w:firstColumn="1" w:firstRow="1" w:lastColumn="0" w:lastRow="0" w:noHBand="0" w:noVBand="1" w:val="04A0"/>
      </w:tblPr>
      <w:tblGrid>
        <w:gridCol w:w="5083"/>
        <w:gridCol w:w="5083"/>
      </w:tblGrid>
      <w:tr>
        <w:trPr>
          <w:cantSplit/>
        </w:trPr>
        <w:tc>
          <w:tcPr>
            <w:tcW w:type="dxa" w:w="3744"/>
            <w:vAlign w:val="center"/>
            <w:tcMar>
              <w:top w:w="90" w:type="dxa"/>
              <w:start w:w="110" w:type="dxa"/>
              <w:bottom w:w="90" w:type="dxa"/>
              <w:end w:w="110" w:type="dxa"/>
            </w:tcMar>
            <w:shd w:fill="EAF1F8"/>
          </w:tcPr>
          <w:p>
            <w:r>
              <w:rPr>
                <w:b/>
                <w:color w:val="17365D"/>
                <w:sz w:val="17"/>
              </w:rPr>
              <w:t>ServiceForm extension candidate</w:t>
            </w:r>
          </w:p>
        </w:tc>
        <w:tc>
          <w:tcPr>
            <w:tcW w:type="dxa" w:w="6048"/>
            <w:vAlign w:val="center"/>
            <w:tcMar>
              <w:top w:w="90" w:type="dxa"/>
              <w:start w:w="110" w:type="dxa"/>
              <w:bottom w:w="90" w:type="dxa"/>
              <w:end w:w="110" w:type="dxa"/>
            </w:tcMar>
            <w:shd w:fill="EAF1F8"/>
          </w:tcPr>
          <w:p>
            <w:r>
              <w:rPr>
                <w:b/>
                <w:color w:val="17365D"/>
                <w:sz w:val="17"/>
              </w:rPr>
              <w:t>Required UX4G foundation</w:t>
            </w:r>
          </w:p>
        </w:tc>
      </w:tr>
      <w:tr>
        <w:trPr>
          <w:cantSplit/>
        </w:trPr>
        <w:tc>
          <w:tcPr>
            <w:tcW w:type="dxa" w:w="3744"/>
            <w:vAlign w:val="center"/>
            <w:tcMar>
              <w:top w:w="90" w:type="dxa"/>
              <w:start w:w="110" w:type="dxa"/>
              <w:bottom w:w="90" w:type="dxa"/>
              <w:end w:w="110" w:type="dxa"/>
            </w:tcMar>
          </w:tcPr>
          <w:p>
            <w:r>
              <w:rPr>
                <w:b w:val="0"/>
                <w:color w:val="333333"/>
                <w:sz w:val="17"/>
              </w:rPr>
              <w:t>Jurisdiction / government hierarchy selector</w:t>
            </w:r>
          </w:p>
        </w:tc>
        <w:tc>
          <w:tcPr>
            <w:tcW w:type="dxa" w:w="6048"/>
            <w:vAlign w:val="center"/>
            <w:tcMar>
              <w:top w:w="90" w:type="dxa"/>
              <w:start w:w="110" w:type="dxa"/>
              <w:bottom w:w="90" w:type="dxa"/>
              <w:end w:w="110" w:type="dxa"/>
            </w:tcMar>
          </w:tcPr>
          <w:p>
            <w:r>
              <w:rPr>
                <w:b w:val="0"/>
                <w:color w:val="333333"/>
                <w:sz w:val="17"/>
              </w:rPr>
              <w:t>Select, autocomplete, field help, loading/error/empty states</w:t>
            </w:r>
          </w:p>
        </w:tc>
      </w:tr>
      <w:tr>
        <w:trPr>
          <w:cantSplit/>
        </w:trPr>
        <w:tc>
          <w:tcPr>
            <w:tcW w:type="dxa" w:w="3744"/>
            <w:vAlign w:val="center"/>
            <w:tcMar>
              <w:top w:w="90" w:type="dxa"/>
              <w:start w:w="110" w:type="dxa"/>
              <w:bottom w:w="90" w:type="dxa"/>
              <w:end w:w="110" w:type="dxa"/>
            </w:tcMar>
          </w:tcPr>
          <w:p>
            <w:r>
              <w:rPr>
                <w:b w:val="0"/>
                <w:color w:val="333333"/>
                <w:sz w:val="17"/>
              </w:rPr>
              <w:t>DigiLocker document picker</w:t>
            </w:r>
          </w:p>
        </w:tc>
        <w:tc>
          <w:tcPr>
            <w:tcW w:type="dxa" w:w="6048"/>
            <w:vAlign w:val="center"/>
            <w:tcMar>
              <w:top w:w="90" w:type="dxa"/>
              <w:start w:w="110" w:type="dxa"/>
              <w:bottom w:w="90" w:type="dxa"/>
              <w:end w:w="110" w:type="dxa"/>
            </w:tcMar>
          </w:tcPr>
          <w:p>
            <w:r>
              <w:rPr>
                <w:b w:val="0"/>
                <w:color w:val="333333"/>
                <w:sz w:val="17"/>
              </w:rPr>
              <w:t>Identity/document patterns, cards, consent and status feedback</w:t>
            </w:r>
          </w:p>
        </w:tc>
      </w:tr>
      <w:tr>
        <w:trPr>
          <w:cantSplit/>
        </w:trPr>
        <w:tc>
          <w:tcPr>
            <w:tcW w:type="dxa" w:w="3744"/>
            <w:vAlign w:val="center"/>
            <w:tcMar>
              <w:top w:w="90" w:type="dxa"/>
              <w:start w:w="110" w:type="dxa"/>
              <w:bottom w:w="90" w:type="dxa"/>
              <w:end w:w="110" w:type="dxa"/>
            </w:tcMar>
          </w:tcPr>
          <w:p>
            <w:r>
              <w:rPr>
                <w:b w:val="0"/>
                <w:color w:val="333333"/>
                <w:sz w:val="17"/>
              </w:rPr>
              <w:t>Evidence uploader and verification state</w:t>
            </w:r>
          </w:p>
        </w:tc>
        <w:tc>
          <w:tcPr>
            <w:tcW w:type="dxa" w:w="6048"/>
            <w:vAlign w:val="center"/>
            <w:tcMar>
              <w:top w:w="90" w:type="dxa"/>
              <w:start w:w="110" w:type="dxa"/>
              <w:bottom w:w="90" w:type="dxa"/>
              <w:end w:w="110" w:type="dxa"/>
            </w:tcMar>
          </w:tcPr>
          <w:p>
            <w:r>
              <w:rPr>
                <w:b w:val="0"/>
                <w:color w:val="333333"/>
                <w:sz w:val="17"/>
              </w:rPr>
              <w:t>File upload, alerts, progress, badges, error guidance</w:t>
            </w:r>
          </w:p>
        </w:tc>
      </w:tr>
      <w:tr>
        <w:trPr>
          <w:cantSplit/>
        </w:trPr>
        <w:tc>
          <w:tcPr>
            <w:tcW w:type="dxa" w:w="3744"/>
            <w:vAlign w:val="center"/>
            <w:tcMar>
              <w:top w:w="90" w:type="dxa"/>
              <w:start w:w="110" w:type="dxa"/>
              <w:bottom w:w="90" w:type="dxa"/>
              <w:end w:w="110" w:type="dxa"/>
            </w:tcMar>
          </w:tcPr>
          <w:p>
            <w:r>
              <w:rPr>
                <w:b w:val="0"/>
                <w:color w:val="333333"/>
                <w:sz w:val="17"/>
              </w:rPr>
              <w:t>Application / case status timeline</w:t>
            </w:r>
          </w:p>
        </w:tc>
        <w:tc>
          <w:tcPr>
            <w:tcW w:type="dxa" w:w="6048"/>
            <w:vAlign w:val="center"/>
            <w:tcMar>
              <w:top w:w="90" w:type="dxa"/>
              <w:start w:w="110" w:type="dxa"/>
              <w:bottom w:w="90" w:type="dxa"/>
              <w:end w:w="110" w:type="dxa"/>
            </w:tcMar>
          </w:tcPr>
          <w:p>
            <w:r>
              <w:rPr>
                <w:b w:val="0"/>
                <w:color w:val="333333"/>
                <w:sz w:val="17"/>
              </w:rPr>
              <w:t>Stepper/timeline, badges, alerts, links and responsive states</w:t>
            </w:r>
          </w:p>
        </w:tc>
      </w:tr>
      <w:tr>
        <w:trPr>
          <w:cantSplit/>
        </w:trPr>
        <w:tc>
          <w:tcPr>
            <w:tcW w:type="dxa" w:w="3744"/>
            <w:vAlign w:val="center"/>
            <w:tcMar>
              <w:top w:w="90" w:type="dxa"/>
              <w:start w:w="110" w:type="dxa"/>
              <w:bottom w:w="90" w:type="dxa"/>
              <w:end w:w="110" w:type="dxa"/>
            </w:tcMar>
          </w:tcPr>
          <w:p>
            <w:r>
              <w:rPr>
                <w:b w:val="0"/>
                <w:color w:val="333333"/>
                <w:sz w:val="17"/>
              </w:rPr>
              <w:t>SLA / escalation indicator</w:t>
            </w:r>
          </w:p>
        </w:tc>
        <w:tc>
          <w:tcPr>
            <w:tcW w:type="dxa" w:w="6048"/>
            <w:vAlign w:val="center"/>
            <w:tcMar>
              <w:top w:w="90" w:type="dxa"/>
              <w:start w:w="110" w:type="dxa"/>
              <w:bottom w:w="90" w:type="dxa"/>
              <w:end w:w="110" w:type="dxa"/>
            </w:tcMar>
          </w:tcPr>
          <w:p>
            <w:r>
              <w:rPr>
                <w:b w:val="0"/>
                <w:color w:val="333333"/>
                <w:sz w:val="17"/>
              </w:rPr>
              <w:t>Badge, status, date/time and warning semantics</w:t>
            </w:r>
          </w:p>
        </w:tc>
      </w:tr>
      <w:tr>
        <w:trPr>
          <w:cantSplit/>
        </w:trPr>
        <w:tc>
          <w:tcPr>
            <w:tcW w:type="dxa" w:w="3744"/>
            <w:vAlign w:val="center"/>
            <w:tcMar>
              <w:top w:w="90" w:type="dxa"/>
              <w:start w:w="110" w:type="dxa"/>
              <w:bottom w:w="90" w:type="dxa"/>
              <w:end w:w="110" w:type="dxa"/>
            </w:tcMar>
          </w:tcPr>
          <w:p>
            <w:r>
              <w:rPr>
                <w:b w:val="0"/>
                <w:color w:val="333333"/>
                <w:sz w:val="17"/>
              </w:rPr>
              <w:t>Appointment slot picker</w:t>
            </w:r>
          </w:p>
        </w:tc>
        <w:tc>
          <w:tcPr>
            <w:tcW w:type="dxa" w:w="6048"/>
            <w:vAlign w:val="center"/>
            <w:tcMar>
              <w:top w:w="90" w:type="dxa"/>
              <w:start w:w="110" w:type="dxa"/>
              <w:bottom w:w="90" w:type="dxa"/>
              <w:end w:w="110" w:type="dxa"/>
            </w:tcMar>
          </w:tcPr>
          <w:p>
            <w:r>
              <w:rPr>
                <w:b w:val="0"/>
                <w:color w:val="333333"/>
                <w:sz w:val="17"/>
              </w:rPr>
              <w:t>Calendar/date/time/select patterns plus accessible slot states</w:t>
            </w:r>
          </w:p>
        </w:tc>
      </w:tr>
      <w:tr>
        <w:trPr>
          <w:cantSplit/>
        </w:trPr>
        <w:tc>
          <w:tcPr>
            <w:tcW w:type="dxa" w:w="3744"/>
            <w:vAlign w:val="center"/>
            <w:tcMar>
              <w:top w:w="90" w:type="dxa"/>
              <w:start w:w="110" w:type="dxa"/>
              <w:bottom w:w="90" w:type="dxa"/>
              <w:end w:w="110" w:type="dxa"/>
            </w:tcMar>
          </w:tcPr>
          <w:p>
            <w:r>
              <w:rPr>
                <w:b w:val="0"/>
                <w:color w:val="333333"/>
                <w:sz w:val="17"/>
              </w:rPr>
              <w:t>Officer task / work-queue card</w:t>
            </w:r>
          </w:p>
        </w:tc>
        <w:tc>
          <w:tcPr>
            <w:tcW w:type="dxa" w:w="6048"/>
            <w:vAlign w:val="center"/>
            <w:tcMar>
              <w:top w:w="90" w:type="dxa"/>
              <w:start w:w="110" w:type="dxa"/>
              <w:bottom w:w="90" w:type="dxa"/>
              <w:end w:w="110" w:type="dxa"/>
            </w:tcMar>
          </w:tcPr>
          <w:p>
            <w:r>
              <w:rPr>
                <w:b w:val="0"/>
                <w:color w:val="333333"/>
                <w:sz w:val="17"/>
              </w:rPr>
              <w:t>Data display, filters, badges, action menus and keyboard operations</w:t>
            </w:r>
          </w:p>
        </w:tc>
      </w:tr>
      <w:tr>
        <w:trPr>
          <w:cantSplit/>
        </w:trPr>
        <w:tc>
          <w:tcPr>
            <w:tcW w:type="dxa" w:w="3744"/>
            <w:vAlign w:val="center"/>
            <w:tcMar>
              <w:top w:w="90" w:type="dxa"/>
              <w:start w:w="110" w:type="dxa"/>
              <w:bottom w:w="90" w:type="dxa"/>
              <w:end w:w="110" w:type="dxa"/>
            </w:tcMar>
          </w:tcPr>
          <w:p>
            <w:r>
              <w:rPr>
                <w:b w:val="0"/>
                <w:color w:val="333333"/>
                <w:sz w:val="17"/>
              </w:rPr>
              <w:t>Consent / privacy-rights card</w:t>
            </w:r>
          </w:p>
        </w:tc>
        <w:tc>
          <w:tcPr>
            <w:tcW w:type="dxa" w:w="6048"/>
            <w:vAlign w:val="center"/>
            <w:tcMar>
              <w:top w:w="90" w:type="dxa"/>
              <w:start w:w="110" w:type="dxa"/>
              <w:bottom w:w="90" w:type="dxa"/>
              <w:end w:w="110" w:type="dxa"/>
            </w:tcMar>
          </w:tcPr>
          <w:p>
            <w:r>
              <w:rPr>
                <w:b w:val="0"/>
                <w:color w:val="333333"/>
                <w:sz w:val="17"/>
              </w:rPr>
              <w:t>Consent pattern, disclosure, checkbox/radio and status feedback</w:t>
            </w:r>
          </w:p>
        </w:tc>
      </w:tr>
      <w:tr>
        <w:trPr>
          <w:cantSplit/>
        </w:trPr>
        <w:tc>
          <w:tcPr>
            <w:tcW w:type="dxa" w:w="3744"/>
            <w:vAlign w:val="center"/>
            <w:tcMar>
              <w:top w:w="90" w:type="dxa"/>
              <w:start w:w="110" w:type="dxa"/>
              <w:bottom w:w="90" w:type="dxa"/>
              <w:end w:w="110" w:type="dxa"/>
            </w:tcMar>
          </w:tcPr>
          <w:p>
            <w:r>
              <w:rPr>
                <w:b w:val="0"/>
                <w:color w:val="333333"/>
                <w:sz w:val="17"/>
              </w:rPr>
              <w:t>Credential / QR viewer</w:t>
            </w:r>
          </w:p>
        </w:tc>
        <w:tc>
          <w:tcPr>
            <w:tcW w:type="dxa" w:w="6048"/>
            <w:vAlign w:val="center"/>
            <w:tcMar>
              <w:top w:w="90" w:type="dxa"/>
              <w:start w:w="110" w:type="dxa"/>
              <w:bottom w:w="90" w:type="dxa"/>
              <w:end w:w="110" w:type="dxa"/>
            </w:tcMar>
          </w:tcPr>
          <w:p>
            <w:r>
              <w:rPr>
                <w:b w:val="0"/>
                <w:color w:val="333333"/>
                <w:sz w:val="17"/>
              </w:rPr>
              <w:t>Card, download/share actions, verification status and accessible QR alternative</w:t>
            </w:r>
          </w:p>
        </w:tc>
      </w:tr>
      <w:tr>
        <w:trPr>
          <w:cantSplit/>
        </w:trPr>
        <w:tc>
          <w:tcPr>
            <w:tcW w:type="dxa" w:w="3744"/>
            <w:vAlign w:val="center"/>
            <w:tcMar>
              <w:top w:w="90" w:type="dxa"/>
              <w:start w:w="110" w:type="dxa"/>
              <w:bottom w:w="90" w:type="dxa"/>
              <w:end w:w="110" w:type="dxa"/>
            </w:tcMar>
          </w:tcPr>
          <w:p>
            <w:r>
              <w:rPr>
                <w:b w:val="0"/>
                <w:color w:val="333333"/>
                <w:sz w:val="17"/>
              </w:rPr>
              <w:t>AI assistant disclosure / suggestions</w:t>
            </w:r>
          </w:p>
        </w:tc>
        <w:tc>
          <w:tcPr>
            <w:tcW w:type="dxa" w:w="6048"/>
            <w:vAlign w:val="center"/>
            <w:tcMar>
              <w:top w:w="90" w:type="dxa"/>
              <w:start w:w="110" w:type="dxa"/>
              <w:bottom w:w="90" w:type="dxa"/>
              <w:end w:w="110" w:type="dxa"/>
            </w:tcMar>
          </w:tcPr>
          <w:p>
            <w:r>
              <w:rPr>
                <w:b w:val="0"/>
                <w:color w:val="333333"/>
                <w:sz w:val="17"/>
              </w:rPr>
              <w:t>Chat/feedback primitives with explicit AI disclosure and user confirmation</w:t>
            </w:r>
          </w:p>
        </w:tc>
      </w:tr>
    </w:tbl>
    <w:p>
      <w:pPr>
        <w:pStyle w:val="Heading2"/>
      </w:pPr>
      <w:r>
        <w:rPr>
          <w:b w:val="0"/>
        </w:rPr>
        <w:t>22.4 Tenant theming and branding</w:t>
      </w:r>
    </w:p>
    <w:p>
      <w:pPr>
        <w:pStyle w:val="ListBullet"/>
      </w:pPr>
      <w:r>
        <w:rPr>
          <w:b w:val="0"/>
        </w:rPr>
        <w:t>Tenant branding is a controlled token overlay: approved logo/identity assets, brand accent token, limited imagery and content; it is not a component fork.</w:t>
      </w:r>
    </w:p>
    <w:p>
      <w:pPr>
        <w:pStyle w:val="ListBullet"/>
      </w:pPr>
      <w:r>
        <w:rPr>
          <w:b w:val="0"/>
        </w:rPr>
        <w:t>A theme cannot change semantic meaning, focus visibility, keyboard behavior, layout structure or minimum accessibility contrast.</w:t>
      </w:r>
    </w:p>
    <w:p>
      <w:pPr>
        <w:pStyle w:val="ListBullet"/>
      </w:pPr>
      <w:r>
        <w:rPr>
          <w:b w:val="0"/>
        </w:rPr>
        <w:t>Theme publication runs automated token/contrast/component visual regression and accessibility checks before maker-checker approval.</w:t>
      </w:r>
    </w:p>
    <w:p>
      <w:pPr>
        <w:pStyle w:val="ListBullet"/>
      </w:pPr>
      <w:r>
        <w:rPr>
          <w:b w:val="0"/>
        </w:rPr>
        <w:t>No tenant-supplied arbitrary CSS or JavaScript is permitted in first-party ServiceForm surfaces.</w:t>
      </w:r>
    </w:p>
    <w:p>
      <w:pPr>
        <w:pStyle w:val="Heading2"/>
      </w:pPr>
      <w:r>
        <w:rPr>
          <w:b w:val="0"/>
        </w:rPr>
        <w:t>22.5 UX4G extension component contract</w:t>
      </w:r>
    </w:p>
    <w:tbl>
      <w:tblPr>
        <w:tblStyle w:val="TableGrid"/>
        <w:tblW w:type="auto" w:w="0"/>
        <w:jc w:val="center"/>
        <w:tblLook w:firstColumn="1" w:firstRow="1" w:lastColumn="0" w:lastRow="0" w:noHBand="0" w:noVBand="1" w:val="04A0"/>
      </w:tblPr>
      <w:tblGrid>
        <w:gridCol w:w="5083"/>
        <w:gridCol w:w="5083"/>
      </w:tblGrid>
      <w:tr>
        <w:trPr>
          <w:cantSplit/>
        </w:trPr>
        <w:tc>
          <w:tcPr>
            <w:tcW w:type="dxa" w:w="1440"/>
            <w:vAlign w:val="center"/>
            <w:tcMar>
              <w:top w:w="90" w:type="dxa"/>
              <w:start w:w="110" w:type="dxa"/>
              <w:bottom w:w="90" w:type="dxa"/>
              <w:end w:w="110" w:type="dxa"/>
            </w:tcMar>
            <w:shd w:fill="EAF1F8"/>
          </w:tcPr>
          <w:p>
            <w:r>
              <w:rPr>
                <w:b/>
                <w:color w:val="17365D"/>
                <w:sz w:val="17"/>
              </w:rPr>
              <w:t>Gate</w:t>
            </w:r>
          </w:p>
        </w:tc>
        <w:tc>
          <w:tcPr>
            <w:tcW w:type="dxa" w:w="8352"/>
            <w:vAlign w:val="center"/>
            <w:tcMar>
              <w:top w:w="90" w:type="dxa"/>
              <w:start w:w="110" w:type="dxa"/>
              <w:bottom w:w="90" w:type="dxa"/>
              <w:end w:w="110" w:type="dxa"/>
            </w:tcMar>
            <w:shd w:fill="EAF1F8"/>
          </w:tcPr>
          <w:p>
            <w:r>
              <w:rPr>
                <w:b/>
                <w:color w:val="17365D"/>
                <w:sz w:val="17"/>
              </w:rPr>
              <w:t>Mandatory evidence</w:t>
            </w:r>
          </w:p>
        </w:tc>
      </w:tr>
      <w:tr>
        <w:trPr>
          <w:cantSplit/>
        </w:trPr>
        <w:tc>
          <w:tcPr>
            <w:tcW w:type="dxa" w:w="1440"/>
            <w:vAlign w:val="center"/>
            <w:tcMar>
              <w:top w:w="90" w:type="dxa"/>
              <w:start w:w="110" w:type="dxa"/>
              <w:bottom w:w="90" w:type="dxa"/>
              <w:end w:w="110" w:type="dxa"/>
            </w:tcMar>
          </w:tcPr>
          <w:p>
            <w:r>
              <w:rPr>
                <w:b w:val="0"/>
                <w:color w:val="333333"/>
                <w:sz w:val="17"/>
              </w:rPr>
              <w:t>Design</w:t>
            </w:r>
          </w:p>
        </w:tc>
        <w:tc>
          <w:tcPr>
            <w:tcW w:type="dxa" w:w="8352"/>
            <w:vAlign w:val="center"/>
            <w:tcMar>
              <w:top w:w="90" w:type="dxa"/>
              <w:start w:w="110" w:type="dxa"/>
              <w:bottom w:w="90" w:type="dxa"/>
              <w:end w:w="110" w:type="dxa"/>
            </w:tcMar>
          </w:tcPr>
          <w:p>
            <w:r>
              <w:rPr>
                <w:b w:val="0"/>
                <w:color w:val="333333"/>
                <w:sz w:val="17"/>
              </w:rPr>
              <w:t>UX4G component/pattern gap documented; Figma component uses UX4G tokens and state naming.</w:t>
            </w:r>
          </w:p>
        </w:tc>
      </w:tr>
      <w:tr>
        <w:trPr>
          <w:cantSplit/>
        </w:trPr>
        <w:tc>
          <w:tcPr>
            <w:tcW w:type="dxa" w:w="1440"/>
            <w:vAlign w:val="center"/>
            <w:tcMar>
              <w:top w:w="90" w:type="dxa"/>
              <w:start w:w="110" w:type="dxa"/>
              <w:bottom w:w="90" w:type="dxa"/>
              <w:end w:w="110" w:type="dxa"/>
            </w:tcMar>
          </w:tcPr>
          <w:p>
            <w:r>
              <w:rPr>
                <w:b w:val="0"/>
                <w:color w:val="333333"/>
                <w:sz w:val="17"/>
              </w:rPr>
              <w:t>Develop</w:t>
            </w:r>
          </w:p>
        </w:tc>
        <w:tc>
          <w:tcPr>
            <w:tcW w:type="dxa" w:w="8352"/>
            <w:vAlign w:val="center"/>
            <w:tcMar>
              <w:top w:w="90" w:type="dxa"/>
              <w:start w:w="110" w:type="dxa"/>
              <w:bottom w:w="90" w:type="dxa"/>
              <w:end w:w="110" w:type="dxa"/>
            </w:tcMar>
          </w:tcPr>
          <w:p>
            <w:r>
              <w:rPr>
                <w:b w:val="0"/>
                <w:color w:val="333333"/>
                <w:sz w:val="17"/>
              </w:rPr>
              <w:t>React/Flutter implementation consumes UX4G tokens; Storybook/examples cover all states; no duplicated design primitives.</w:t>
            </w:r>
          </w:p>
        </w:tc>
      </w:tr>
      <w:tr>
        <w:trPr>
          <w:cantSplit/>
        </w:trPr>
        <w:tc>
          <w:tcPr>
            <w:tcW w:type="dxa" w:w="1440"/>
            <w:vAlign w:val="center"/>
            <w:tcMar>
              <w:top w:w="90" w:type="dxa"/>
              <w:start w:w="110" w:type="dxa"/>
              <w:bottom w:w="90" w:type="dxa"/>
              <w:end w:w="110" w:type="dxa"/>
            </w:tcMar>
          </w:tcPr>
          <w:p>
            <w:r>
              <w:rPr>
                <w:b w:val="0"/>
                <w:color w:val="333333"/>
                <w:sz w:val="17"/>
              </w:rPr>
              <w:t>Verify</w:t>
            </w:r>
          </w:p>
        </w:tc>
        <w:tc>
          <w:tcPr>
            <w:tcW w:type="dxa" w:w="8352"/>
            <w:vAlign w:val="center"/>
            <w:tcMar>
              <w:top w:w="90" w:type="dxa"/>
              <w:start w:w="110" w:type="dxa"/>
              <w:bottom w:w="90" w:type="dxa"/>
              <w:end w:w="110" w:type="dxa"/>
            </w:tcMar>
          </w:tcPr>
          <w:p>
            <w:r>
              <w:rPr>
                <w:b w:val="0"/>
                <w:color w:val="333333"/>
                <w:sz w:val="17"/>
              </w:rPr>
              <w:t>Unit/component tests, keyboard tests, automated accessibility scan, responsive/reflow tests, visual regression, localization and error-state tests.</w:t>
            </w:r>
          </w:p>
        </w:tc>
      </w:tr>
      <w:tr>
        <w:trPr>
          <w:cantSplit/>
        </w:trPr>
        <w:tc>
          <w:tcPr>
            <w:tcW w:type="dxa" w:w="1440"/>
            <w:vAlign w:val="center"/>
            <w:tcMar>
              <w:top w:w="90" w:type="dxa"/>
              <w:start w:w="110" w:type="dxa"/>
              <w:bottom w:w="90" w:type="dxa"/>
              <w:end w:w="110" w:type="dxa"/>
            </w:tcMar>
          </w:tcPr>
          <w:p>
            <w:r>
              <w:rPr>
                <w:b w:val="0"/>
                <w:color w:val="333333"/>
                <w:sz w:val="17"/>
              </w:rPr>
              <w:t>Certify</w:t>
            </w:r>
          </w:p>
        </w:tc>
        <w:tc>
          <w:tcPr>
            <w:tcW w:type="dxa" w:w="8352"/>
            <w:vAlign w:val="center"/>
            <w:tcMar>
              <w:top w:w="90" w:type="dxa"/>
              <w:start w:w="110" w:type="dxa"/>
              <w:bottom w:w="90" w:type="dxa"/>
              <w:end w:w="110" w:type="dxa"/>
            </w:tcMar>
          </w:tcPr>
          <w:p>
            <w:r>
              <w:rPr>
                <w:b w:val="0"/>
                <w:color w:val="333333"/>
                <w:sz w:val="17"/>
              </w:rPr>
              <w:t>UX4G version, component inventory, exceptions/ADRs, Figma-code parity, WCAG/GIGW evidence and reviewer approval recorded in release evidence.</w:t>
            </w:r>
          </w:p>
        </w:tc>
      </w:tr>
    </w:tbl>
    <w:p>
      <w:pPr>
        <w:pStyle w:val="Heading2"/>
      </w:pPr>
      <w:r>
        <w:rPr>
          <w:b w:val="0"/>
        </w:rPr>
        <w:t>22.6 Form Designer and runtime renderer rules</w:t>
      </w:r>
    </w:p>
    <w:p>
      <w:pPr>
        <w:pStyle w:val="ListBullet"/>
      </w:pPr>
      <w:r>
        <w:rPr>
          <w:b w:val="0"/>
        </w:rPr>
        <w:t>Studio component palette presents government concepts, but every visual control resolves to a UX4G-backed renderer or certified UX4G extension.</w:t>
      </w:r>
    </w:p>
    <w:p>
      <w:pPr>
        <w:pStyle w:val="ListBullet"/>
      </w:pPr>
      <w:r>
        <w:rPr>
          <w:b w:val="0"/>
        </w:rPr>
        <w:t>The renderer registry declares web React renderer, Flutter renderer, accessibility contract, semantic element compatibility and supported states for each control type.</w:t>
      </w:r>
    </w:p>
    <w:p>
      <w:pPr>
        <w:pStyle w:val="ListBullet"/>
      </w:pPr>
      <w:r>
        <w:rPr>
          <w:b w:val="0"/>
        </w:rPr>
        <w:t>Preview/Test Studio must run desktop, tablet/mobile, keyboard-only, high zoom/reflow and multilingual scenarios before service publication.</w:t>
      </w:r>
    </w:p>
    <w:p>
      <w:pPr>
        <w:pStyle w:val="ListBullet"/>
      </w:pPr>
      <w:r>
        <w:rPr>
          <w:b w:val="0"/>
        </w:rPr>
        <w:t>Form schemas remain design-system independent; the design system is an implementation/runtime rendering concern so published services stay portable.</w:t>
      </w:r>
    </w:p>
    <w:p>
      <w:pPr>
        <w:pStyle w:val="Heading2"/>
      </w:pPr>
      <w:r>
        <w:rPr>
          <w:b w:val="0"/>
        </w:rPr>
        <w:t>22.7 Engineering restrictions</w:t>
      </w:r>
    </w:p>
    <w:p>
      <w:pPr>
        <w:pStyle w:val="ListBullet"/>
      </w:pPr>
      <w:r>
        <w:rPr>
          <w:b w:val="0"/>
        </w:rPr>
        <w:t>Do not introduce Material UI, Bootstrap, Tailwind component styling or another visual design system into product UI without an approved ADR and a UX4G-conformance wrapper. Headless utilities may be used when they do not alter the UX4G visual/semantic contract.</w:t>
      </w:r>
    </w:p>
    <w:p>
      <w:pPr>
        <w:pStyle w:val="ListBullet"/>
      </w:pPr>
      <w:r>
        <w:rPr>
          <w:b w:val="0"/>
        </w:rPr>
        <w:t>Do not hard-code colours, spacing, typography, radii, focus rings or component states inside feature modules when a UX4G token exists.</w:t>
      </w:r>
    </w:p>
    <w:p>
      <w:pPr>
        <w:pStyle w:val="ListBullet"/>
      </w:pPr>
      <w:r>
        <w:rPr>
          <w:b w:val="0"/>
        </w:rPr>
        <w:t>Do not copy UX4G component source into service-specific code. Consume the governed design-system package and extension package.</w:t>
      </w:r>
    </w:p>
    <w:p>
      <w:pPr>
        <w:pStyle w:val="ListBullet"/>
      </w:pPr>
      <w:r>
        <w:rPr>
          <w:b w:val="0"/>
        </w:rPr>
        <w:t>Pin the UX4G dependency/version for a release. Upgrades run compatibility, accessibility and visual-regression suites before promotion.</w:t>
      </w:r>
    </w:p>
    <w:p>
      <w:pPr>
        <w:pStyle w:val="Heading2"/>
      </w:pPr>
      <w:r>
        <w:rPr>
          <w:b w:val="0"/>
        </w:rPr>
        <w:t>22.8 Accessibility and experience certification</w:t>
      </w:r>
    </w:p>
    <w:p>
      <w:pPr>
        <w:pStyle w:val="ListBullet"/>
      </w:pPr>
      <w:r>
        <w:rPr>
          <w:b w:val="0"/>
        </w:rPr>
        <w:t>Component-level accessibility is necessary but not sufficient: every completed ServiceForm journey must be tested in its assembled context.</w:t>
      </w:r>
    </w:p>
    <w:p>
      <w:pPr>
        <w:pStyle w:val="ListBullet"/>
      </w:pPr>
      <w:r>
        <w:rPr>
          <w:b w:val="0"/>
        </w:rPr>
        <w:t>Required automated evidence: axe-compatible accessibility checks, keyboard traversal, focus order, form error association, contrast/token checks, responsive reflow and visual regression.</w:t>
      </w:r>
    </w:p>
    <w:p>
      <w:pPr>
        <w:pStyle w:val="ListBullet"/>
      </w:pPr>
      <w:r>
        <w:rPr>
          <w:b w:val="0"/>
        </w:rPr>
        <w:t>Required manual evidence for release-critical journeys: screen-reader smoke test, keyboard-only completion, zoom/reflow review, multilingual truncation review and representative usability review.</w:t>
      </w:r>
    </w:p>
    <w:p>
      <w:pPr>
        <w:pStyle w:val="ListBullet"/>
      </w:pPr>
      <w:r>
        <w:rPr>
          <w:b w:val="0"/>
        </w:rPr>
        <w:t>Golden Residence Certificate cannot reach G6 RELEASE_CERTIFIED without UX4G conformance evidence across citizen web, mobile and officer workflow surfaces.</w:t>
      </w:r>
    </w:p>
    <w:p>
      <w:pPr>
        <w:pStyle w:val="Heading2"/>
      </w:pPr>
      <w:r>
        <w:rPr>
          <w:b w:val="0"/>
        </w:rPr>
        <w:t>22.9 UX4G authoritative references</w:t>
      </w:r>
    </w:p>
    <w:p>
      <w:pPr>
        <w:pStyle w:val="ListBullet"/>
      </w:pPr>
      <w:r>
        <w:rPr>
          <w:b w:val="0"/>
        </w:rPr>
        <w:t>https://www.ux4g.gov.in/get-started</w:t>
      </w:r>
    </w:p>
    <w:p>
      <w:pPr>
        <w:pStyle w:val="ListBullet"/>
      </w:pPr>
      <w:r>
        <w:rPr>
          <w:b w:val="0"/>
        </w:rPr>
        <w:t>https://www.ux4g.gov.in/foundations</w:t>
      </w:r>
    </w:p>
    <w:p>
      <w:pPr>
        <w:pStyle w:val="ListBullet"/>
      </w:pPr>
      <w:r>
        <w:rPr>
          <w:b w:val="0"/>
        </w:rPr>
        <w:t>https://www.ux4g.gov.in/components</w:t>
      </w:r>
    </w:p>
    <w:p>
      <w:pPr>
        <w:pStyle w:val="ListBullet"/>
      </w:pPr>
      <w:r>
        <w:rPr>
          <w:b w:val="0"/>
        </w:rPr>
        <w:t>https://doc.ux4g.gov.in/utilities/api.php/</w:t>
      </w:r>
    </w:p>
    <w:p>
      <w:pPr>
        <w:pStyle w:val="Heading2"/>
      </w:pPr>
      <w:r>
        <w:rPr>
          <w:b w:val="0"/>
        </w:rPr>
        <w:t>22.10 Acceptance criteria</w:t>
      </w:r>
    </w:p>
    <w:p>
      <w:pPr>
        <w:pStyle w:val="ListBullet"/>
      </w:pPr>
      <w:r>
        <w:rPr>
          <w:b w:val="0"/>
        </w:rPr>
        <w:t>A developer can build a new service journey without creating new visual primitives for standard controls.</w:t>
      </w:r>
    </w:p>
    <w:p>
      <w:pPr>
        <w:pStyle w:val="ListBullet"/>
      </w:pPr>
      <w:r>
        <w:rPr>
          <w:b w:val="0"/>
        </w:rPr>
        <w:t>A tenant can brand its service without forking UX4G components or breaking accessibility.</w:t>
      </w:r>
    </w:p>
    <w:p>
      <w:pPr>
        <w:pStyle w:val="ListBullet"/>
      </w:pPr>
      <w:r>
        <w:rPr>
          <w:b w:val="0"/>
        </w:rPr>
        <w:t>The same form metadata renders with semantically equivalent UX4G behavior on React web and Flutter mobile.</w:t>
      </w:r>
    </w:p>
    <w:p>
      <w:pPr>
        <w:pStyle w:val="ListBullet"/>
      </w:pPr>
      <w:r>
        <w:rPr>
          <w:b w:val="0"/>
        </w:rPr>
        <w:t>All custom ServiceForm components have documented UX4G basis, Storybook/Figma parity and accessibility/visual-regression evidence.</w:t>
      </w:r>
    </w:p>
    <w:p>
      <w:pPr>
        <w:pStyle w:val="ListBullet"/>
      </w:pPr>
      <w:r>
        <w:rPr>
          <w:b w:val="0"/>
        </w:rPr>
        <w:t>Cursor/Claude/Copilot fail review if they introduce ad-hoc CSS/components where approved UX4G primitives exist.</w:t>
      </w:r>
    </w:p>
    <w:p>
      <w:pPr>
        <w:pStyle w:val="Heading1"/>
        <w:pageBreakBefore w:val="true"/>
      </w:pPr>
      <w:r>
        <w:t>Appendix A - AWS Initial Deployment Blueprint</w:t>
      </w:r>
    </w:p>
    <w:p>
      <w:pPr>
        <w:pStyle w:val="ListBullet"/>
        <w:spacing w:after="40"/>
      </w:pPr>
      <w:r>
        <w:t>Use separate AWS accounts for production, non-production, security/log archive and shared services where organizational governance permits.</w:t>
      </w:r>
    </w:p>
    <w:p>
      <w:pPr>
        <w:pStyle w:val="ListBullet"/>
        <w:spacing w:after="40"/>
      </w:pPr>
      <w:r>
        <w:t>Primary production EKS spans at least three AZs. Start with one production cell and one non-production cell; add cells before a single data plane becomes a national blast radius.</w:t>
      </w:r>
    </w:p>
    <w:p>
      <w:pPr>
        <w:pStyle w:val="ListBullet"/>
        <w:spacing w:after="40"/>
      </w:pPr>
      <w:r>
        <w:t>Use Aurora PostgreSQL Multi-AZ/readers for primary transactional stores, bounded connection pools and RDS Proxy where benchmarked beneficial. Separate Temporal persistence from application DB when load/operational risk justifies it.</w:t>
      </w:r>
    </w:p>
    <w:p>
      <w:pPr>
        <w:pStyle w:val="ListBullet"/>
        <w:spacing w:after="40"/>
      </w:pPr>
      <w:r>
        <w:t>Use S3 direct upload with quarantine + scanning. Keep files out of application pod filesystem.</w:t>
      </w:r>
    </w:p>
    <w:p>
      <w:pPr>
        <w:pStyle w:val="ListBullet"/>
        <w:spacing w:after="40"/>
      </w:pPr>
      <w:r>
        <w:t>Use MSK for durable domain events and SQS for isolated retry/connector queues. Never use Redis as the authoritative message bus.</w:t>
      </w:r>
    </w:p>
    <w:p>
      <w:pPr>
        <w:pStyle w:val="ListBullet"/>
        <w:spacing w:after="40"/>
      </w:pPr>
      <w:r>
        <w:t>Use OpenSearch for derived search only. Every index must be rebuildable from systems of record/events.</w:t>
      </w:r>
    </w:p>
    <w:p>
      <w:pPr>
        <w:pStyle w:val="ListBullet"/>
        <w:spacing w:after="40"/>
      </w:pPr>
      <w:r>
        <w:t>Use OTel everywhere from day one. Correlation IDs must survive HTTP, Kafka/SQS and Temporal transitions.</w:t>
      </w:r>
    </w:p>
    <w:p>
      <w:pPr>
        <w:pStyle w:val="ListBullet"/>
        <w:spacing w:after="40"/>
      </w:pPr>
      <w:r>
        <w:t>Use KMS/Secrets Manager and AWS workload identity. No static cloud keys in Kubernetes secrets if workload identity can be used.</w:t>
      </w:r>
    </w:p>
    <w:p>
      <w:pPr>
        <w:pStyle w:val="ListBullet"/>
        <w:spacing w:after="40"/>
      </w:pPr>
      <w:r>
        <w:t>Use infrastructure as code and GitOps; no manual production configuration that cannot be reproduced from repositories and approved secrets/config stores.</w:t>
      </w:r>
    </w:p>
    <w:p>
      <w:pPr>
        <w:pStyle w:val="ListBullet"/>
        <w:spacing w:after="40"/>
      </w:pPr>
      <w:r>
        <w:t>Validate service availability and quotas in chosen India primary/DR regions before locking the DR topology.</w:t>
      </w:r>
    </w:p>
    <w:p>
      <w:pPr>
        <w:pStyle w:val="Heading1"/>
        <w:pageBreakBefore w:val="true"/>
      </w:pPr>
      <w:r>
        <w:t>Appendix B - Technology Replacement Boundaries</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shd w:fill="EAF0F6"/>
            <w:vAlign w:val="center"/>
            <w:tcMar>
              <w:top w:w="90" w:type="dxa"/>
              <w:start w:w="110" w:type="dxa"/>
              <w:bottom w:w="90" w:type="dxa"/>
              <w:end w:w="110" w:type="dxa"/>
            </w:tcMar>
          </w:tcPr>
          <w:p>
            <w:pPr>
              <w:spacing w:after="0"/>
            </w:pPr>
            <w:r>
              <w:rPr>
                <w:b/>
                <w:sz w:val="18"/>
              </w:rPr>
              <w:t>Keycloak replacement</w:t>
            </w:r>
          </w:p>
        </w:tc>
        <w:tc>
          <w:tcPr>
            <w:tcW w:type="dxa" w:w="7416"/>
            <w:vAlign w:val="center"/>
            <w:tcMar>
              <w:top w:w="90" w:type="dxa"/>
              <w:start w:w="110" w:type="dxa"/>
              <w:bottom w:w="90" w:type="dxa"/>
              <w:end w:w="110" w:type="dxa"/>
            </w:tcMar>
          </w:tcPr>
          <w:p>
            <w:pPr>
              <w:spacing w:after="0"/>
            </w:pPr>
            <w:r>
              <w:rPr>
                <w:sz w:val="18"/>
              </w:rPr>
              <w:t>Any OIDC/OAuth2/SAML-compatible identity service may replace it if token claims and identity-broker contract remain stable.</w:t>
            </w:r>
          </w:p>
        </w:tc>
      </w:tr>
      <w:tr>
        <w:trPr>
          <w:cantSplit/>
        </w:trPr>
        <w:tc>
          <w:tcPr>
            <w:tcW w:type="dxa" w:w="2232"/>
            <w:shd w:fill="EAF0F6"/>
            <w:vAlign w:val="center"/>
            <w:tcMar>
              <w:top w:w="90" w:type="dxa"/>
              <w:start w:w="110" w:type="dxa"/>
              <w:bottom w:w="90" w:type="dxa"/>
              <w:end w:w="110" w:type="dxa"/>
            </w:tcMar>
          </w:tcPr>
          <w:p>
            <w:pPr>
              <w:spacing w:after="0"/>
            </w:pPr>
            <w:r>
              <w:rPr>
                <w:b/>
                <w:sz w:val="18"/>
              </w:rPr>
              <w:t>Temporal replacement</w:t>
            </w:r>
          </w:p>
        </w:tc>
        <w:tc>
          <w:tcPr>
            <w:tcW w:type="dxa" w:w="7416"/>
            <w:vAlign w:val="center"/>
            <w:tcMar>
              <w:top w:w="90" w:type="dxa"/>
              <w:start w:w="110" w:type="dxa"/>
              <w:bottom w:w="90" w:type="dxa"/>
              <w:end w:w="110" w:type="dxa"/>
            </w:tcMar>
          </w:tcPr>
          <w:p>
            <w:pPr>
              <w:spacing w:after="0"/>
            </w:pPr>
            <w:r>
              <w:rPr>
                <w:sz w:val="18"/>
              </w:rPr>
              <w:t>Workflow adapter must isolate Temporal-specific APIs; a BPMN engine can replace it if durable timers, idempotency, replay/migration and human task semantics are preserved.</w:t>
            </w:r>
          </w:p>
        </w:tc>
      </w:tr>
      <w:tr>
        <w:trPr>
          <w:cantSplit/>
        </w:trPr>
        <w:tc>
          <w:tcPr>
            <w:tcW w:type="dxa" w:w="2232"/>
            <w:shd w:fill="EAF0F6"/>
            <w:vAlign w:val="center"/>
            <w:tcMar>
              <w:top w:w="90" w:type="dxa"/>
              <w:start w:w="110" w:type="dxa"/>
              <w:bottom w:w="90" w:type="dxa"/>
              <w:end w:w="110" w:type="dxa"/>
            </w:tcMar>
          </w:tcPr>
          <w:p>
            <w:pPr>
              <w:spacing w:after="0"/>
            </w:pPr>
            <w:r>
              <w:rPr>
                <w:b/>
                <w:sz w:val="18"/>
              </w:rPr>
              <w:t>ZEN replacement</w:t>
            </w:r>
          </w:p>
        </w:tc>
        <w:tc>
          <w:tcPr>
            <w:tcW w:type="dxa" w:w="7416"/>
            <w:vAlign w:val="center"/>
            <w:tcMar>
              <w:top w:w="90" w:type="dxa"/>
              <w:start w:w="110" w:type="dxa"/>
              <w:bottom w:w="90" w:type="dxa"/>
              <w:end w:w="110" w:type="dxa"/>
            </w:tcMar>
          </w:tcPr>
          <w:p>
            <w:pPr>
              <w:spacing w:after="0"/>
            </w:pPr>
            <w:r>
              <w:rPr>
                <w:sz w:val="18"/>
              </w:rPr>
              <w:t>Rule artifact schema and decision API remain owned by ServiceForm; alternative deterministic engine must pass conformance/golden tests.</w:t>
            </w:r>
          </w:p>
        </w:tc>
      </w:tr>
      <w:tr>
        <w:trPr>
          <w:cantSplit/>
        </w:trPr>
        <w:tc>
          <w:tcPr>
            <w:tcW w:type="dxa" w:w="2232"/>
            <w:shd w:fill="EAF0F6"/>
            <w:vAlign w:val="center"/>
            <w:tcMar>
              <w:top w:w="90" w:type="dxa"/>
              <w:start w:w="110" w:type="dxa"/>
              <w:bottom w:w="90" w:type="dxa"/>
              <w:end w:w="110" w:type="dxa"/>
            </w:tcMar>
          </w:tcPr>
          <w:p>
            <w:pPr>
              <w:spacing w:after="0"/>
            </w:pPr>
            <w:r>
              <w:rPr>
                <w:b/>
                <w:sz w:val="18"/>
              </w:rPr>
              <w:t>S3 replacement</w:t>
            </w:r>
          </w:p>
        </w:tc>
        <w:tc>
          <w:tcPr>
            <w:tcW w:type="dxa" w:w="7416"/>
            <w:vAlign w:val="center"/>
            <w:tcMar>
              <w:top w:w="90" w:type="dxa"/>
              <w:start w:w="110" w:type="dxa"/>
              <w:bottom w:w="90" w:type="dxa"/>
              <w:end w:w="110" w:type="dxa"/>
            </w:tcMar>
          </w:tcPr>
          <w:p>
            <w:pPr>
              <w:spacing w:after="0"/>
            </w:pPr>
            <w:r>
              <w:rPr>
                <w:sz w:val="18"/>
              </w:rPr>
              <w:t>Storage SDK exposes object operations/retention semantics; on-prem deployment may use compatible object storage.</w:t>
            </w:r>
          </w:p>
        </w:tc>
      </w:tr>
      <w:tr>
        <w:trPr>
          <w:cantSplit/>
        </w:trPr>
        <w:tc>
          <w:tcPr>
            <w:tcW w:type="dxa" w:w="2232"/>
            <w:shd w:fill="EAF0F6"/>
            <w:vAlign w:val="center"/>
            <w:tcMar>
              <w:top w:w="90" w:type="dxa"/>
              <w:start w:w="110" w:type="dxa"/>
              <w:bottom w:w="90" w:type="dxa"/>
              <w:end w:w="110" w:type="dxa"/>
            </w:tcMar>
          </w:tcPr>
          <w:p>
            <w:pPr>
              <w:spacing w:after="0"/>
            </w:pPr>
            <w:r>
              <w:rPr>
                <w:b/>
                <w:sz w:val="18"/>
              </w:rPr>
              <w:t>MSK replacement</w:t>
            </w:r>
          </w:p>
        </w:tc>
        <w:tc>
          <w:tcPr>
            <w:tcW w:type="dxa" w:w="7416"/>
            <w:vAlign w:val="center"/>
            <w:tcMar>
              <w:top w:w="90" w:type="dxa"/>
              <w:start w:w="110" w:type="dxa"/>
              <w:bottom w:w="90" w:type="dxa"/>
              <w:end w:w="110" w:type="dxa"/>
            </w:tcMar>
          </w:tcPr>
          <w:p>
            <w:pPr>
              <w:spacing w:after="0"/>
            </w:pPr>
            <w:r>
              <w:rPr>
                <w:sz w:val="18"/>
              </w:rPr>
              <w:t>Kafka/AsyncAPI event contracts remain independent of AWS managed Kafka implementation.</w:t>
            </w:r>
          </w:p>
        </w:tc>
      </w:tr>
      <w:tr>
        <w:trPr>
          <w:cantSplit/>
        </w:trPr>
        <w:tc>
          <w:tcPr>
            <w:tcW w:type="dxa" w:w="2232"/>
            <w:shd w:fill="EAF0F6"/>
            <w:vAlign w:val="center"/>
            <w:tcMar>
              <w:top w:w="90" w:type="dxa"/>
              <w:start w:w="110" w:type="dxa"/>
              <w:bottom w:w="90" w:type="dxa"/>
              <w:end w:w="110" w:type="dxa"/>
            </w:tcMar>
          </w:tcPr>
          <w:p>
            <w:pPr>
              <w:spacing w:after="0"/>
            </w:pPr>
            <w:r>
              <w:rPr>
                <w:b/>
                <w:sz w:val="18"/>
              </w:rPr>
              <w:t>OpenSearch replacement</w:t>
            </w:r>
          </w:p>
        </w:tc>
        <w:tc>
          <w:tcPr>
            <w:tcW w:type="dxa" w:w="7416"/>
            <w:vAlign w:val="center"/>
            <w:tcMar>
              <w:top w:w="90" w:type="dxa"/>
              <w:start w:w="110" w:type="dxa"/>
              <w:bottom w:w="90" w:type="dxa"/>
              <w:end w:w="110" w:type="dxa"/>
            </w:tcMar>
          </w:tcPr>
          <w:p>
            <w:pPr>
              <w:spacing w:after="0"/>
            </w:pPr>
            <w:r>
              <w:rPr>
                <w:sz w:val="18"/>
              </w:rPr>
              <w:t>Search API and indexing events are owned by ServiceForm; source of record never depends on search engine semantics.</w:t>
            </w:r>
          </w:p>
        </w:tc>
      </w:tr>
      <w:tr>
        <w:trPr>
          <w:cantSplit/>
        </w:trPr>
        <w:tc>
          <w:tcPr>
            <w:tcW w:type="dxa" w:w="2232"/>
            <w:shd w:fill="EAF0F6"/>
            <w:vAlign w:val="center"/>
            <w:tcMar>
              <w:top w:w="90" w:type="dxa"/>
              <w:start w:w="110" w:type="dxa"/>
              <w:bottom w:w="90" w:type="dxa"/>
              <w:end w:w="110" w:type="dxa"/>
            </w:tcMar>
          </w:tcPr>
          <w:p>
            <w:pPr>
              <w:spacing w:after="0"/>
            </w:pPr>
            <w:r>
              <w:rPr>
                <w:b/>
                <w:sz w:val="18"/>
              </w:rPr>
              <w:t>Bedrock replacement</w:t>
            </w:r>
          </w:p>
        </w:tc>
        <w:tc>
          <w:tcPr>
            <w:tcW w:type="dxa" w:w="7416"/>
            <w:vAlign w:val="center"/>
            <w:tcMar>
              <w:top w:w="90" w:type="dxa"/>
              <w:start w:w="110" w:type="dxa"/>
              <w:bottom w:w="90" w:type="dxa"/>
              <w:end w:w="110" w:type="dxa"/>
            </w:tcMar>
          </w:tcPr>
          <w:p>
            <w:pPr>
              <w:spacing w:after="0"/>
            </w:pPr>
            <w:r>
              <w:rPr>
                <w:sz w:val="18"/>
              </w:rPr>
              <w:t>AI Gateway provider adapter isolates models and prompts from domain services.</w:t>
            </w:r>
          </w:p>
        </w:tc>
      </w:tr>
    </w:tbl>
    <w:sectPr w:rsidR="00FC693F" w:rsidRPr="0006063C" w:rsidSect="00034616">
      <w:footerReference w:type="default" r:id="rId14"/>
      <w:footerReference w:type="first" r:id="rId17"/>
      <w:footerReference w:type="even" r:id="rId18"/>
      <w:headerReference w:type="default" r:id="rId2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ServiceForm AI - Component Functional &amp; Technical Specification v1.7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B8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ServiceForm AI - Component Functional &amp; Technical Specification (AWS-First) v1.2</dc:title>
  <dc:subject>AI-buildable component architecture, domain contracts and engineering constitution</dc:subject>
  <dc:creator>OpenAI</dc:creator>
  <cp:keywords>ServiceForm AI, AWS, 10000 TPS, Keycloak, Citizen Identity, DigiLocker, Temporal, Kafka, Aurora, Forms Engine, Rules Engine, Workflow, Government Services, Multi-tenant</cp:keywords>
  <dc:description>generated by python-docx</dc:description>
  <cp:lastModifiedBy/>
  <cp:revision>1</cp:revision>
  <dcterms:created xsi:type="dcterms:W3CDTF">2013-12-23T23:15:00Z</dcterms:created>
  <dcterms:modified xsi:type="dcterms:W3CDTF">2013-12-23T23:15:00Z</dcterms:modified>
  <cp:category/>
</cp:coreProperties>
</file>