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65D"/>
          <w:sz w:val="52"/>
        </w:rPr>
        <w:t>ServiceForm AI</w:t>
      </w:r>
    </w:p>
    <w:p>
      <w:pPr>
        <w:jc w:val="center"/>
      </w:pPr>
      <w:r>
        <w:rPr>
          <w:b/>
          <w:color w:val="2E5EAA"/>
          <w:sz w:val="40"/>
        </w:rPr>
        <w:t>Tenant Isolation Architecture &amp; Engineering Specification</w:t>
      </w:r>
    </w:p>
    <w:p>
      <w:pPr>
        <w:jc w:val="center"/>
      </w:pPr>
      <w:r>
        <w:rPr>
          <w:color w:val="5A5A5A"/>
          <w:sz w:val="22"/>
        </w:rPr>
        <w:t>AWS-first | Aurora PostgreSQL | Keycloak | OPA | EKS | Multi-tenant Government Service Platform</w:t>
      </w:r>
    </w:p>
    <w:p/>
    <w:p>
      <w:pPr>
        <w:pStyle w:val="Callout"/>
        <w:shd w:fill="EEF4FF"/>
      </w:pPr>
      <w:r>
        <w:t>Architecture decision: ServiceForm AI v1 uses pooled multi-tenant Aurora PostgreSQL with mandatory tenant_id + PostgreSQL Row-Level Security, OPA-based fine-grained authorization, explicit tenant context across storage/cache/search/events/workflows, and the ability to promote large or sensitive tenants to dedicated cells without changing domain code.</w:t>
      </w:r>
    </w:p>
    <w:p>
      <w:pPr>
        <w:jc w:val="center"/>
      </w:pPr>
      <w:r>
        <w:rPr>
          <w:color w:val="646464"/>
          <w:sz w:val="18"/>
        </w:rPr>
        <w:t>Version 1.0 | Engineering source for human teams and AI coding agents</w:t>
      </w:r>
    </w:p>
    <w:p>
      <w:r>
        <w:br w:type="page"/>
      </w:r>
    </w:p>
    <w:p>
      <w:pPr>
        <w:pStyle w:val="Heading1"/>
        <w:keepNext/>
      </w:pPr>
      <w:r>
        <w:t>1. Purpose and Scope</w:t>
      </w:r>
    </w:p>
    <w:p>
      <w:r>
        <w:t>This specification defines the mandatory tenant-isolation architecture for ServiceForm AI. It applies to all citizen services, officer portals, APIs, background jobs, data stores, search indexes, caches, workflow executions, object storage, events, audit trails, integrations and administrative tools.</w:t>
      </w:r>
    </w:p>
    <w:p>
      <w:r>
        <w:t>The design supports government entities of very different scale: Central and State departments, directorates, districts, subdivisions, tehsils/taluks/mandals, blocks, municipal corporations, municipalities, wards, gram panchayats, villages, statutory authorities, boards and agencies. The platform must support pooled infrastructure for cost efficiency while retaining a controlled path to dedicated infrastructure for large or sensitive tenants.</w:t>
      </w:r>
    </w:p>
    <w:p>
      <w:pPr>
        <w:pStyle w:val="Callout"/>
        <w:shd w:fill="EEF4FF"/>
      </w:pPr>
      <w:r>
        <w:t>Tenant isolation is a security property, not merely an authentication feature. Every layer must deny cross-tenant access by default.</w:t>
      </w:r>
    </w:p>
    <w:p>
      <w:pPr>
        <w:pStyle w:val="Heading1"/>
        <w:keepNext/>
      </w:pPr>
      <w:r>
        <w:t>2. Core Domain Definitions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D9EAF7"/>
            <w:vAlign w:val="center"/>
            <w:tcMar>
              <w:top w:w="120" w:type="dxa"/>
              <w:start w:w="100" w:type="dxa"/>
              <w:bottom w:w="120" w:type="dxa"/>
              <w:end w:w="100" w:type="dxa"/>
            </w:tcMar>
          </w:tcPr>
          <w:p>
            <w:r>
              <w:rPr>
                <w:b/>
                <w:color w:val="17365D"/>
                <w:sz w:val="18"/>
              </w:rPr>
              <w:t>Term</w:t>
            </w:r>
          </w:p>
        </w:tc>
        <w:tc>
          <w:tcPr>
            <w:tcW w:type="dxa" w:w="7632"/>
            <w:shd w:fill="D9EAF7"/>
            <w:vAlign w:val="center"/>
            <w:tcMar>
              <w:top w:w="120" w:type="dxa"/>
              <w:start w:w="100" w:type="dxa"/>
              <w:bottom w:w="120" w:type="dxa"/>
              <w:end w:w="100" w:type="dxa"/>
            </w:tcMar>
          </w:tcPr>
          <w:p>
            <w:r>
              <w:rPr>
                <w:b/>
                <w:color w:val="17365D"/>
                <w:sz w:val="18"/>
              </w:rPr>
              <w:t>Definition</w:t>
            </w:r>
          </w:p>
        </w:tc>
      </w:tr>
      <w:tr>
        <w:tc>
          <w:tcPr>
            <w:tcW w:type="dxa" w:w="2016"/>
            <w:vAlign w:val="center"/>
            <w:tcMar>
              <w:top w:w="100" w:type="dxa"/>
              <w:start w:w="100" w:type="dxa"/>
              <w:bottom w:w="100" w:type="dxa"/>
              <w:end w:w="100" w:type="dxa"/>
            </w:tcMar>
          </w:tcPr>
          <w:p>
            <w:r>
              <w:rPr>
                <w:sz w:val="18"/>
              </w:rPr>
              <w:t>Tenant</w:t>
            </w:r>
          </w:p>
        </w:tc>
        <w:tc>
          <w:tcPr>
            <w:tcW w:type="dxa" w:w="7632"/>
            <w:vAlign w:val="center"/>
            <w:tcMar>
              <w:top w:w="100" w:type="dxa"/>
              <w:start w:w="100" w:type="dxa"/>
              <w:bottom w:w="100" w:type="dxa"/>
              <w:end w:w="100" w:type="dxa"/>
            </w:tcMar>
          </w:tcPr>
          <w:p>
            <w:r>
              <w:rPr>
                <w:sz w:val="18"/>
              </w:rPr>
              <w:t>A contractual/governance isolation boundary on ServiceForm AI. A tenant may represent a State programme, department, municipality, statutory body, or other configured government authority.</w:t>
            </w:r>
          </w:p>
        </w:tc>
      </w:tr>
      <w:tr>
        <w:tc>
          <w:tcPr>
            <w:tcW w:type="dxa" w:w="2016"/>
            <w:vAlign w:val="center"/>
            <w:tcMar>
              <w:top w:w="100" w:type="dxa"/>
              <w:start w:w="100" w:type="dxa"/>
              <w:bottom w:w="100" w:type="dxa"/>
              <w:end w:w="100" w:type="dxa"/>
            </w:tcMar>
          </w:tcPr>
          <w:p>
            <w:r>
              <w:rPr>
                <w:sz w:val="18"/>
              </w:rPr>
              <w:t>Organisation</w:t>
            </w:r>
          </w:p>
        </w:tc>
        <w:tc>
          <w:tcPr>
            <w:tcW w:type="dxa" w:w="7632"/>
            <w:vAlign w:val="center"/>
            <w:tcMar>
              <w:top w:w="100" w:type="dxa"/>
              <w:start w:w="100" w:type="dxa"/>
              <w:bottom w:w="100" w:type="dxa"/>
              <w:end w:w="100" w:type="dxa"/>
            </w:tcMar>
          </w:tcPr>
          <w:p>
            <w:r>
              <w:rPr>
                <w:sz w:val="18"/>
              </w:rPr>
              <w:t>A legal or administrative body within a tenant. Organisations may be hierarchical.</w:t>
            </w:r>
          </w:p>
        </w:tc>
      </w:tr>
      <w:tr>
        <w:tc>
          <w:tcPr>
            <w:tcW w:type="dxa" w:w="2016"/>
            <w:vAlign w:val="center"/>
            <w:tcMar>
              <w:top w:w="100" w:type="dxa"/>
              <w:start w:w="100" w:type="dxa"/>
              <w:bottom w:w="100" w:type="dxa"/>
              <w:end w:w="100" w:type="dxa"/>
            </w:tcMar>
          </w:tcPr>
          <w:p>
            <w:r>
              <w:rPr>
                <w:sz w:val="18"/>
              </w:rPr>
              <w:t>Office</w:t>
            </w:r>
          </w:p>
        </w:tc>
        <w:tc>
          <w:tcPr>
            <w:tcW w:type="dxa" w:w="7632"/>
            <w:vAlign w:val="center"/>
            <w:tcMar>
              <w:top w:w="100" w:type="dxa"/>
              <w:start w:w="100" w:type="dxa"/>
              <w:bottom w:w="100" w:type="dxa"/>
              <w:end w:w="100" w:type="dxa"/>
            </w:tcMar>
          </w:tcPr>
          <w:p>
            <w:r>
              <w:rPr>
                <w:sz w:val="18"/>
              </w:rPr>
              <w:t>An operational location or administrative unit that performs tasks, e.g., collectorate, tehsil office, municipal ward office, block office.</w:t>
            </w:r>
          </w:p>
        </w:tc>
      </w:tr>
      <w:tr>
        <w:tc>
          <w:tcPr>
            <w:tcW w:type="dxa" w:w="2016"/>
            <w:vAlign w:val="center"/>
            <w:tcMar>
              <w:top w:w="100" w:type="dxa"/>
              <w:start w:w="100" w:type="dxa"/>
              <w:bottom w:w="100" w:type="dxa"/>
              <w:end w:w="100" w:type="dxa"/>
            </w:tcMar>
          </w:tcPr>
          <w:p>
            <w:r>
              <w:rPr>
                <w:sz w:val="18"/>
              </w:rPr>
              <w:t>Jurisdiction</w:t>
            </w:r>
          </w:p>
        </w:tc>
        <w:tc>
          <w:tcPr>
            <w:tcW w:type="dxa" w:w="7632"/>
            <w:vAlign w:val="center"/>
            <w:tcMar>
              <w:top w:w="100" w:type="dxa"/>
              <w:start w:w="100" w:type="dxa"/>
              <w:bottom w:w="100" w:type="dxa"/>
              <w:end w:w="100" w:type="dxa"/>
            </w:tcMar>
          </w:tcPr>
          <w:p>
            <w:r>
              <w:rPr>
                <w:sz w:val="18"/>
              </w:rPr>
              <w:t>The geographical or legal area over which an office/authority can exercise service responsibility.</w:t>
            </w:r>
          </w:p>
        </w:tc>
      </w:tr>
      <w:tr>
        <w:tc>
          <w:tcPr>
            <w:tcW w:type="dxa" w:w="2016"/>
            <w:vAlign w:val="center"/>
            <w:tcMar>
              <w:top w:w="100" w:type="dxa"/>
              <w:start w:w="100" w:type="dxa"/>
              <w:bottom w:w="100" w:type="dxa"/>
              <w:end w:w="100" w:type="dxa"/>
            </w:tcMar>
          </w:tcPr>
          <w:p>
            <w:r>
              <w:rPr>
                <w:sz w:val="18"/>
              </w:rPr>
              <w:t>Service Offering</w:t>
            </w:r>
          </w:p>
        </w:tc>
        <w:tc>
          <w:tcPr>
            <w:tcW w:type="dxa" w:w="7632"/>
            <w:vAlign w:val="center"/>
            <w:tcMar>
              <w:top w:w="100" w:type="dxa"/>
              <w:start w:w="100" w:type="dxa"/>
              <w:bottom w:w="100" w:type="dxa"/>
              <w:end w:w="100" w:type="dxa"/>
            </w:tcMar>
          </w:tcPr>
          <w:p>
            <w:r>
              <w:rPr>
                <w:sz w:val="18"/>
              </w:rPr>
              <w:t>A locally published executable version of a canonical service, linked to provider, jurisdiction, form, rules, workflow, fees, SLA, evidence and output.</w:t>
            </w:r>
          </w:p>
        </w:tc>
      </w:tr>
      <w:tr>
        <w:tc>
          <w:tcPr>
            <w:tcW w:type="dxa" w:w="2016"/>
            <w:vAlign w:val="center"/>
            <w:tcMar>
              <w:top w:w="100" w:type="dxa"/>
              <w:start w:w="100" w:type="dxa"/>
              <w:bottom w:w="100" w:type="dxa"/>
              <w:end w:w="100" w:type="dxa"/>
            </w:tcMar>
          </w:tcPr>
          <w:p>
            <w:r>
              <w:rPr>
                <w:sz w:val="18"/>
              </w:rPr>
              <w:t>Citizen</w:t>
            </w:r>
          </w:p>
        </w:tc>
        <w:tc>
          <w:tcPr>
            <w:tcW w:type="dxa" w:w="7632"/>
            <w:vAlign w:val="center"/>
            <w:tcMar>
              <w:top w:w="100" w:type="dxa"/>
              <w:start w:w="100" w:type="dxa"/>
              <w:bottom w:w="100" w:type="dxa"/>
              <w:end w:w="100" w:type="dxa"/>
            </w:tcMar>
          </w:tcPr>
          <w:p>
            <w:r>
              <w:rPr>
                <w:sz w:val="18"/>
              </w:rPr>
              <w:t>A platform-level person identity that may interact with many tenants; citizen identity is not duplicated per tenant.</w:t>
            </w:r>
          </w:p>
        </w:tc>
      </w:tr>
      <w:tr>
        <w:tc>
          <w:tcPr>
            <w:tcW w:type="dxa" w:w="2016"/>
            <w:vAlign w:val="center"/>
            <w:tcMar>
              <w:top w:w="100" w:type="dxa"/>
              <w:start w:w="100" w:type="dxa"/>
              <w:bottom w:w="100" w:type="dxa"/>
              <w:end w:w="100" w:type="dxa"/>
            </w:tcMar>
          </w:tcPr>
          <w:p>
            <w:r>
              <w:rPr>
                <w:sz w:val="18"/>
              </w:rPr>
              <w:t>Cell</w:t>
            </w:r>
          </w:p>
        </w:tc>
        <w:tc>
          <w:tcPr>
            <w:tcW w:type="dxa" w:w="7632"/>
            <w:vAlign w:val="center"/>
            <w:tcMar>
              <w:top w:w="100" w:type="dxa"/>
              <w:start w:w="100" w:type="dxa"/>
              <w:bottom w:w="100" w:type="dxa"/>
              <w:end w:w="100" w:type="dxa"/>
            </w:tcMar>
          </w:tcPr>
          <w:p>
            <w:r>
              <w:rPr>
                <w:sz w:val="18"/>
              </w:rPr>
              <w:t>An independently scalable deployment boundary containing application capacity and selected data/platform services.</w:t>
            </w:r>
          </w:p>
        </w:tc>
      </w:tr>
      <w:tr>
        <w:tc>
          <w:tcPr>
            <w:tcW w:type="dxa" w:w="2016"/>
            <w:vAlign w:val="center"/>
            <w:tcMar>
              <w:top w:w="100" w:type="dxa"/>
              <w:start w:w="100" w:type="dxa"/>
              <w:bottom w:w="100" w:type="dxa"/>
              <w:end w:w="100" w:type="dxa"/>
            </w:tcMar>
          </w:tcPr>
          <w:p>
            <w:r>
              <w:rPr>
                <w:sz w:val="18"/>
              </w:rPr>
              <w:t>Dedicated Tenant</w:t>
            </w:r>
          </w:p>
        </w:tc>
        <w:tc>
          <w:tcPr>
            <w:tcW w:type="dxa" w:w="7632"/>
            <w:vAlign w:val="center"/>
            <w:tcMar>
              <w:top w:w="100" w:type="dxa"/>
              <w:start w:w="100" w:type="dxa"/>
              <w:bottom w:w="100" w:type="dxa"/>
              <w:end w:w="100" w:type="dxa"/>
            </w:tcMar>
          </w:tcPr>
          <w:p>
            <w:r>
              <w:rPr>
                <w:sz w:val="18"/>
              </w:rPr>
              <w:t>A tenant assigned to a dedicated cell/account/data boundary due to scale, sensitivity, regulatory or operational reasons.</w:t>
            </w:r>
          </w:p>
        </w:tc>
      </w:tr>
    </w:tbl>
    <w:p>
      <w:pPr>
        <w:spacing w:after="40"/>
      </w:pPr>
    </w:p>
    <w:p>
      <w:pPr>
        <w:pStyle w:val="Heading1"/>
        <w:keepNext/>
      </w:pPr>
      <w:r>
        <w:t>3. Tenant, Organisation and Jurisdiction Must Remain Separate</w:t>
      </w:r>
    </w:p>
    <w:p>
      <w:r>
        <w:t>ServiceForm AI must not equate tenant with department or jurisdiction. The same deployment must support different operating models across States and programmes.</w:t>
      </w:r>
    </w:p>
    <w:p>
      <w:pPr>
        <w:jc w:val="center"/>
      </w:pPr>
      <w:r>
        <w:drawing>
          <wp:inline xmlns:a="http://schemas.openxmlformats.org/drawingml/2006/main" xmlns:pic="http://schemas.openxmlformats.org/drawingml/2006/picture">
            <wp:extent cx="5669280" cy="4588962"/>
            <wp:docPr id="1" name="Picture 1"/>
            <wp:cNvGraphicFramePr>
              <a:graphicFrameLocks noChangeAspect="1"/>
            </wp:cNvGraphicFramePr>
            <a:graphic>
              <a:graphicData uri="http://schemas.openxmlformats.org/drawingml/2006/picture">
                <pic:pic>
                  <pic:nvPicPr>
                    <pic:cNvPr id="0" name="tenant_model.png"/>
                    <pic:cNvPicPr/>
                  </pic:nvPicPr>
                  <pic:blipFill>
                    <a:blip r:embed="rId10"/>
                    <a:stretch>
                      <a:fillRect/>
                    </a:stretch>
                  </pic:blipFill>
                  <pic:spPr>
                    <a:xfrm>
                      <a:off x="0" y="0"/>
                      <a:ext cx="5669280" cy="4588962"/>
                    </a:xfrm>
                    <a:prstGeom prst="rect"/>
                  </pic:spPr>
                </pic:pic>
              </a:graphicData>
            </a:graphic>
          </wp:inline>
        </w:drawing>
      </w:r>
    </w:p>
    <w:p>
      <w:pPr>
        <w:jc w:val="center"/>
      </w:pPr>
      <w:r>
        <w:rPr>
          <w:i/>
          <w:color w:val="5A5A5A"/>
          <w:sz w:val="17"/>
        </w:rPr>
        <w:t>Figure 1. Tenant, organisation, office and jurisdiction are separate first-class concepts.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vAlign w:val="center"/>
            <w:tcMar>
              <w:top w:w="120" w:type="dxa"/>
              <w:start w:w="100" w:type="dxa"/>
              <w:bottom w:w="120" w:type="dxa"/>
              <w:end w:w="100" w:type="dxa"/>
            </w:tcMar>
          </w:tcPr>
          <w:p>
            <w:r>
              <w:rPr>
                <w:b/>
                <w:color w:val="17365D"/>
                <w:sz w:val="18"/>
              </w:rPr>
              <w:t>Example</w:t>
            </w:r>
          </w:p>
        </w:tc>
        <w:tc>
          <w:tcPr>
            <w:tcW w:type="dxa" w:w="7200"/>
            <w:shd w:fill="D9EAF7"/>
            <w:vAlign w:val="center"/>
            <w:tcMar>
              <w:top w:w="120" w:type="dxa"/>
              <w:start w:w="100" w:type="dxa"/>
              <w:bottom w:w="120" w:type="dxa"/>
              <w:end w:w="100" w:type="dxa"/>
            </w:tcMar>
          </w:tcPr>
          <w:p>
            <w:r>
              <w:rPr>
                <w:b/>
                <w:color w:val="17365D"/>
                <w:sz w:val="18"/>
              </w:rPr>
              <w:t>Possible configuration</w:t>
            </w:r>
          </w:p>
        </w:tc>
      </w:tr>
      <w:tr>
        <w:tc>
          <w:tcPr>
            <w:tcW w:type="dxa" w:w="2448"/>
            <w:vAlign w:val="center"/>
            <w:tcMar>
              <w:top w:w="100" w:type="dxa"/>
              <w:start w:w="100" w:type="dxa"/>
              <w:bottom w:w="100" w:type="dxa"/>
              <w:end w:w="100" w:type="dxa"/>
            </w:tcMar>
          </w:tcPr>
          <w:p>
            <w:r>
              <w:rPr>
                <w:sz w:val="18"/>
              </w:rPr>
              <w:t>State-wide deployment</w:t>
            </w:r>
          </w:p>
        </w:tc>
        <w:tc>
          <w:tcPr>
            <w:tcW w:type="dxa" w:w="7200"/>
            <w:vAlign w:val="center"/>
            <w:tcMar>
              <w:top w:w="100" w:type="dxa"/>
              <w:start w:w="100" w:type="dxa"/>
              <w:bottom w:w="100" w:type="dxa"/>
              <w:end w:w="100" w:type="dxa"/>
            </w:tcMar>
          </w:tcPr>
          <w:p>
            <w:r>
              <w:rPr>
                <w:sz w:val="18"/>
              </w:rPr>
              <w:t>Tenant = Government of State X; organisations = departments; offices = district/tehsil/block/ULB/GP units.</w:t>
            </w:r>
          </w:p>
        </w:tc>
      </w:tr>
      <w:tr>
        <w:tc>
          <w:tcPr>
            <w:tcW w:type="dxa" w:w="2448"/>
            <w:vAlign w:val="center"/>
            <w:tcMar>
              <w:top w:w="100" w:type="dxa"/>
              <w:start w:w="100" w:type="dxa"/>
              <w:bottom w:w="100" w:type="dxa"/>
              <w:end w:w="100" w:type="dxa"/>
            </w:tcMar>
          </w:tcPr>
          <w:p>
            <w:r>
              <w:rPr>
                <w:sz w:val="18"/>
              </w:rPr>
              <w:t>Department-only deployment</w:t>
            </w:r>
          </w:p>
        </w:tc>
        <w:tc>
          <w:tcPr>
            <w:tcW w:type="dxa" w:w="7200"/>
            <w:vAlign w:val="center"/>
            <w:tcMar>
              <w:top w:w="100" w:type="dxa"/>
              <w:start w:w="100" w:type="dxa"/>
              <w:bottom w:w="100" w:type="dxa"/>
              <w:end w:w="100" w:type="dxa"/>
            </w:tcMar>
          </w:tcPr>
          <w:p>
            <w:r>
              <w:rPr>
                <w:sz w:val="18"/>
              </w:rPr>
              <w:t>Tenant = Revenue Department; organisations/offices underneath; jurisdiction covers the relevant State/district structure.</w:t>
            </w:r>
          </w:p>
        </w:tc>
      </w:tr>
      <w:tr>
        <w:tc>
          <w:tcPr>
            <w:tcW w:type="dxa" w:w="2448"/>
            <w:vAlign w:val="center"/>
            <w:tcMar>
              <w:top w:w="100" w:type="dxa"/>
              <w:start w:w="100" w:type="dxa"/>
              <w:bottom w:w="100" w:type="dxa"/>
              <w:end w:w="100" w:type="dxa"/>
            </w:tcMar>
          </w:tcPr>
          <w:p>
            <w:r>
              <w:rPr>
                <w:sz w:val="18"/>
              </w:rPr>
              <w:t>Municipal deployment</w:t>
            </w:r>
          </w:p>
        </w:tc>
        <w:tc>
          <w:tcPr>
            <w:tcW w:type="dxa" w:w="7200"/>
            <w:vAlign w:val="center"/>
            <w:tcMar>
              <w:top w:w="100" w:type="dxa"/>
              <w:start w:w="100" w:type="dxa"/>
              <w:bottom w:w="100" w:type="dxa"/>
              <w:end w:w="100" w:type="dxa"/>
            </w:tcMar>
          </w:tcPr>
          <w:p>
            <w:r>
              <w:rPr>
                <w:sz w:val="18"/>
              </w:rPr>
              <w:t>Tenant = Municipal Corporation X; wards are offices/jurisdictions under the same tenant.</w:t>
            </w:r>
          </w:p>
        </w:tc>
      </w:tr>
      <w:tr>
        <w:tc>
          <w:tcPr>
            <w:tcW w:type="dxa" w:w="2448"/>
            <w:vAlign w:val="center"/>
            <w:tcMar>
              <w:top w:w="100" w:type="dxa"/>
              <w:start w:w="100" w:type="dxa"/>
              <w:bottom w:w="100" w:type="dxa"/>
              <w:end w:w="100" w:type="dxa"/>
            </w:tcMar>
          </w:tcPr>
          <w:p>
            <w:r>
              <w:rPr>
                <w:sz w:val="18"/>
              </w:rPr>
              <w:t>National programme</w:t>
            </w:r>
          </w:p>
        </w:tc>
        <w:tc>
          <w:tcPr>
            <w:tcW w:type="dxa" w:w="7200"/>
            <w:vAlign w:val="center"/>
            <w:tcMar>
              <w:top w:w="100" w:type="dxa"/>
              <w:start w:w="100" w:type="dxa"/>
              <w:bottom w:w="100" w:type="dxa"/>
              <w:end w:w="100" w:type="dxa"/>
            </w:tcMar>
          </w:tcPr>
          <w:p>
            <w:r>
              <w:rPr>
                <w:sz w:val="18"/>
              </w:rPr>
              <w:t>Tenant = National Programme; service providers may include configured State/District organisations while data remains programme-scoped.</w:t>
            </w:r>
          </w:p>
        </w:tc>
      </w:tr>
    </w:tbl>
    <w:p>
      <w:pPr>
        <w:spacing w:after="40"/>
      </w:pPr>
    </w:p>
    <w:p>
      <w:pPr>
        <w:pStyle w:val="Heading1"/>
        <w:keepNext/>
      </w:pPr>
      <w:r>
        <w:t>4. Supported Isolation Models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D9EAF7"/>
            <w:vAlign w:val="center"/>
            <w:tcMar>
              <w:top w:w="120" w:type="dxa"/>
              <w:start w:w="100" w:type="dxa"/>
              <w:bottom w:w="120" w:type="dxa"/>
              <w:end w:w="100" w:type="dxa"/>
            </w:tcMar>
          </w:tcPr>
          <w:p>
            <w:r>
              <w:rPr>
                <w:b/>
                <w:color w:val="17365D"/>
                <w:sz w:val="18"/>
              </w:rPr>
              <w:t>Model</w:t>
            </w:r>
          </w:p>
        </w:tc>
        <w:tc>
          <w:tcPr>
            <w:tcW w:type="dxa" w:w="2880"/>
            <w:shd w:fill="D9EAF7"/>
            <w:vAlign w:val="center"/>
            <w:tcMar>
              <w:top w:w="120" w:type="dxa"/>
              <w:start w:w="100" w:type="dxa"/>
              <w:bottom w:w="120" w:type="dxa"/>
              <w:end w:w="100" w:type="dxa"/>
            </w:tcMar>
          </w:tcPr>
          <w:p>
            <w:r>
              <w:rPr>
                <w:b/>
                <w:color w:val="17365D"/>
                <w:sz w:val="18"/>
              </w:rPr>
              <w:t>Use</w:t>
            </w:r>
          </w:p>
        </w:tc>
        <w:tc>
          <w:tcPr>
            <w:tcW w:type="dxa" w:w="2880"/>
            <w:shd w:fill="D9EAF7"/>
            <w:vAlign w:val="center"/>
            <w:tcMar>
              <w:top w:w="120" w:type="dxa"/>
              <w:start w:w="100" w:type="dxa"/>
              <w:bottom w:w="120" w:type="dxa"/>
              <w:end w:w="100" w:type="dxa"/>
            </w:tcMar>
          </w:tcPr>
          <w:p>
            <w:r>
              <w:rPr>
                <w:b/>
                <w:color w:val="17365D"/>
                <w:sz w:val="18"/>
              </w:rPr>
              <w:t>Isolation</w:t>
            </w:r>
          </w:p>
        </w:tc>
        <w:tc>
          <w:tcPr>
            <w:tcW w:type="dxa" w:w="2016"/>
            <w:shd w:fill="D9EAF7"/>
            <w:vAlign w:val="center"/>
            <w:tcMar>
              <w:top w:w="120" w:type="dxa"/>
              <w:start w:w="100" w:type="dxa"/>
              <w:bottom w:w="120" w:type="dxa"/>
              <w:end w:w="100" w:type="dxa"/>
            </w:tcMar>
          </w:tcPr>
          <w:p>
            <w:r>
              <w:rPr>
                <w:b/>
                <w:color w:val="17365D"/>
                <w:sz w:val="18"/>
              </w:rPr>
              <w:t>Cost/Complexity</w:t>
            </w:r>
          </w:p>
        </w:tc>
      </w:tr>
      <w:tr>
        <w:tc>
          <w:tcPr>
            <w:tcW w:type="dxa" w:w="1872"/>
            <w:vAlign w:val="center"/>
            <w:tcMar>
              <w:top w:w="100" w:type="dxa"/>
              <w:start w:w="100" w:type="dxa"/>
              <w:bottom w:w="100" w:type="dxa"/>
              <w:end w:w="100" w:type="dxa"/>
            </w:tcMar>
          </w:tcPr>
          <w:p>
            <w:r>
              <w:rPr>
                <w:sz w:val="18"/>
              </w:rPr>
              <w:t>Pool</w:t>
            </w:r>
          </w:p>
        </w:tc>
        <w:tc>
          <w:tcPr>
            <w:tcW w:type="dxa" w:w="2880"/>
            <w:vAlign w:val="center"/>
            <w:tcMar>
              <w:top w:w="100" w:type="dxa"/>
              <w:start w:w="100" w:type="dxa"/>
              <w:bottom w:w="100" w:type="dxa"/>
              <w:end w:w="100" w:type="dxa"/>
            </w:tcMar>
          </w:tcPr>
          <w:p>
            <w:r>
              <w:rPr>
                <w:sz w:val="18"/>
              </w:rPr>
              <w:t>Default for small/medium tenants</w:t>
            </w:r>
          </w:p>
        </w:tc>
        <w:tc>
          <w:tcPr>
            <w:tcW w:type="dxa" w:w="2880"/>
            <w:vAlign w:val="center"/>
            <w:tcMar>
              <w:top w:w="100" w:type="dxa"/>
              <w:start w:w="100" w:type="dxa"/>
              <w:bottom w:w="100" w:type="dxa"/>
              <w:end w:w="100" w:type="dxa"/>
            </w:tcMar>
          </w:tcPr>
          <w:p>
            <w:r>
              <w:rPr>
                <w:sz w:val="18"/>
              </w:rPr>
              <w:t>Shared cell + shared Aurora with RLS + shared platform services</w:t>
            </w:r>
          </w:p>
        </w:tc>
        <w:tc>
          <w:tcPr>
            <w:tcW w:type="dxa" w:w="2016"/>
            <w:vAlign w:val="center"/>
            <w:tcMar>
              <w:top w:w="100" w:type="dxa"/>
              <w:start w:w="100" w:type="dxa"/>
              <w:bottom w:w="100" w:type="dxa"/>
              <w:end w:w="100" w:type="dxa"/>
            </w:tcMar>
          </w:tcPr>
          <w:p>
            <w:r>
              <w:rPr>
                <w:sz w:val="18"/>
              </w:rPr>
              <w:t>Lowest cost / lowest operational overhead</w:t>
            </w:r>
          </w:p>
        </w:tc>
      </w:tr>
      <w:tr>
        <w:tc>
          <w:tcPr>
            <w:tcW w:type="dxa" w:w="1872"/>
            <w:vAlign w:val="center"/>
            <w:tcMar>
              <w:top w:w="100" w:type="dxa"/>
              <w:start w:w="100" w:type="dxa"/>
              <w:bottom w:w="100" w:type="dxa"/>
              <w:end w:w="100" w:type="dxa"/>
            </w:tcMar>
          </w:tcPr>
          <w:p>
            <w:r>
              <w:rPr>
                <w:sz w:val="18"/>
              </w:rPr>
              <w:t>Bridge</w:t>
            </w:r>
          </w:p>
        </w:tc>
        <w:tc>
          <w:tcPr>
            <w:tcW w:type="dxa" w:w="2880"/>
            <w:vAlign w:val="center"/>
            <w:tcMar>
              <w:top w:w="100" w:type="dxa"/>
              <w:start w:w="100" w:type="dxa"/>
              <w:bottom w:w="100" w:type="dxa"/>
              <w:end w:w="100" w:type="dxa"/>
            </w:tcMar>
          </w:tcPr>
          <w:p>
            <w:r>
              <w:rPr>
                <w:sz w:val="18"/>
              </w:rPr>
              <w:t>Intermediate isolation for selected tenants</w:t>
            </w:r>
          </w:p>
        </w:tc>
        <w:tc>
          <w:tcPr>
            <w:tcW w:type="dxa" w:w="2880"/>
            <w:vAlign w:val="center"/>
            <w:tcMar>
              <w:top w:w="100" w:type="dxa"/>
              <w:start w:w="100" w:type="dxa"/>
              <w:bottom w:w="100" w:type="dxa"/>
              <w:end w:w="100" w:type="dxa"/>
            </w:tcMar>
          </w:tcPr>
          <w:p>
            <w:r>
              <w:rPr>
                <w:sz w:val="18"/>
              </w:rPr>
              <w:t>Shared application platform but selected dedicated DB/schema/index/key boundaries</w:t>
            </w:r>
          </w:p>
        </w:tc>
        <w:tc>
          <w:tcPr>
            <w:tcW w:type="dxa" w:w="2016"/>
            <w:vAlign w:val="center"/>
            <w:tcMar>
              <w:top w:w="100" w:type="dxa"/>
              <w:start w:w="100" w:type="dxa"/>
              <w:bottom w:w="100" w:type="dxa"/>
              <w:end w:w="100" w:type="dxa"/>
            </w:tcMar>
          </w:tcPr>
          <w:p>
            <w:r>
              <w:rPr>
                <w:sz w:val="18"/>
              </w:rPr>
              <w:t>Moderate</w:t>
            </w:r>
          </w:p>
        </w:tc>
      </w:tr>
      <w:tr>
        <w:tc>
          <w:tcPr>
            <w:tcW w:type="dxa" w:w="1872"/>
            <w:vAlign w:val="center"/>
            <w:tcMar>
              <w:top w:w="100" w:type="dxa"/>
              <w:start w:w="100" w:type="dxa"/>
              <w:bottom w:w="100" w:type="dxa"/>
              <w:end w:w="100" w:type="dxa"/>
            </w:tcMar>
          </w:tcPr>
          <w:p>
            <w:r>
              <w:rPr>
                <w:sz w:val="18"/>
              </w:rPr>
              <w:t>Silo / Dedicated Cell</w:t>
            </w:r>
          </w:p>
        </w:tc>
        <w:tc>
          <w:tcPr>
            <w:tcW w:type="dxa" w:w="2880"/>
            <w:vAlign w:val="center"/>
            <w:tcMar>
              <w:top w:w="100" w:type="dxa"/>
              <w:start w:w="100" w:type="dxa"/>
              <w:bottom w:w="100" w:type="dxa"/>
              <w:end w:w="100" w:type="dxa"/>
            </w:tcMar>
          </w:tcPr>
          <w:p>
            <w:r>
              <w:rPr>
                <w:sz w:val="18"/>
              </w:rPr>
              <w:t>Large, sensitive or policy-mandated tenant</w:t>
            </w:r>
          </w:p>
        </w:tc>
        <w:tc>
          <w:tcPr>
            <w:tcW w:type="dxa" w:w="2880"/>
            <w:vAlign w:val="center"/>
            <w:tcMar>
              <w:top w:w="100" w:type="dxa"/>
              <w:start w:w="100" w:type="dxa"/>
              <w:bottom w:w="100" w:type="dxa"/>
              <w:end w:w="100" w:type="dxa"/>
            </w:tcMar>
          </w:tcPr>
          <w:p>
            <w:r>
              <w:rPr>
                <w:sz w:val="18"/>
              </w:rPr>
              <w:t>Dedicated cell, database, cache/search/workflow resources, optionally AWS account/key boundary</w:t>
            </w:r>
          </w:p>
        </w:tc>
        <w:tc>
          <w:tcPr>
            <w:tcW w:type="dxa" w:w="2016"/>
            <w:vAlign w:val="center"/>
            <w:tcMar>
              <w:top w:w="100" w:type="dxa"/>
              <w:start w:w="100" w:type="dxa"/>
              <w:bottom w:w="100" w:type="dxa"/>
              <w:end w:w="100" w:type="dxa"/>
            </w:tcMar>
          </w:tcPr>
          <w:p>
            <w:r>
              <w:rPr>
                <w:sz w:val="18"/>
              </w:rPr>
              <w:t>Highest isolation and cost</w:t>
            </w:r>
          </w:p>
        </w:tc>
      </w:tr>
    </w:tbl>
    <w:p>
      <w:pPr>
        <w:spacing w:after="40"/>
      </w:pPr>
    </w:p>
    <w:p>
      <w:r>
        <w:t>The v1 default is the pooled model. Tenants may be promoted to bridge or dedicated mode using placement metadata and deployment automation. Application code must not contain tenant-specific branches to accomplish this promotion.</w:t>
      </w:r>
    </w:p>
    <w:p>
      <w:pPr>
        <w:jc w:val="center"/>
      </w:pPr>
      <w:r>
        <w:drawing>
          <wp:inline xmlns:a="http://schemas.openxmlformats.org/drawingml/2006/main" xmlns:pic="http://schemas.openxmlformats.org/drawingml/2006/picture">
            <wp:extent cx="5577840" cy="1232388"/>
            <wp:docPr id="2" name="Picture 2"/>
            <wp:cNvGraphicFramePr>
              <a:graphicFrameLocks noChangeAspect="1"/>
            </wp:cNvGraphicFramePr>
            <a:graphic>
              <a:graphicData uri="http://schemas.openxmlformats.org/drawingml/2006/picture">
                <pic:pic>
                  <pic:nvPicPr>
                    <pic:cNvPr id="0" name="cell_model.png"/>
                    <pic:cNvPicPr/>
                  </pic:nvPicPr>
                  <pic:blipFill>
                    <a:blip r:embed="rId11"/>
                    <a:stretch>
                      <a:fillRect/>
                    </a:stretch>
                  </pic:blipFill>
                  <pic:spPr>
                    <a:xfrm>
                      <a:off x="0" y="0"/>
                      <a:ext cx="5577840" cy="1232388"/>
                    </a:xfrm>
                    <a:prstGeom prst="rect"/>
                  </pic:spPr>
                </pic:pic>
              </a:graphicData>
            </a:graphic>
          </wp:inline>
        </w:drawing>
      </w:r>
    </w:p>
    <w:p>
      <w:pPr>
        <w:jc w:val="center"/>
      </w:pPr>
      <w:r>
        <w:rPr>
          <w:i/>
          <w:color w:val="5A5A5A"/>
          <w:sz w:val="17"/>
        </w:rPr>
        <w:t>Figure 2. Control plane with pooled and dedicated cells.</w:t>
      </w:r>
    </w:p>
    <w:p>
      <w:pPr>
        <w:pStyle w:val="Heading1"/>
        <w:keepNext/>
      </w:pPr>
      <w:r>
        <w:t>5. Defence-in-Depth Isolation Model</w:t>
      </w:r>
    </w:p>
    <w:p>
      <w:pPr>
        <w:jc w:val="center"/>
      </w:pPr>
      <w:r>
        <w:drawing>
          <wp:inline xmlns:a="http://schemas.openxmlformats.org/drawingml/2006/main" xmlns:pic="http://schemas.openxmlformats.org/drawingml/2006/picture">
            <wp:extent cx="4480560" cy="5808561"/>
            <wp:docPr id="3" name="Picture 3"/>
            <wp:cNvGraphicFramePr>
              <a:graphicFrameLocks noChangeAspect="1"/>
            </wp:cNvGraphicFramePr>
            <a:graphic>
              <a:graphicData uri="http://schemas.openxmlformats.org/drawingml/2006/picture">
                <pic:pic>
                  <pic:nvPicPr>
                    <pic:cNvPr id="0" name="isolation_layers.png"/>
                    <pic:cNvPicPr/>
                  </pic:nvPicPr>
                  <pic:blipFill>
                    <a:blip r:embed="rId12"/>
                    <a:stretch>
                      <a:fillRect/>
                    </a:stretch>
                  </pic:blipFill>
                  <pic:spPr>
                    <a:xfrm>
                      <a:off x="0" y="0"/>
                      <a:ext cx="4480560" cy="5808561"/>
                    </a:xfrm>
                    <a:prstGeom prst="rect"/>
                  </pic:spPr>
                </pic:pic>
              </a:graphicData>
            </a:graphic>
          </wp:inline>
        </w:drawing>
      </w:r>
    </w:p>
    <w:p>
      <w:pPr>
        <w:jc w:val="center"/>
      </w:pPr>
      <w:r>
        <w:rPr>
          <w:i/>
          <w:color w:val="5A5A5A"/>
          <w:sz w:val="17"/>
        </w:rPr>
        <w:t>Figure 3. Five isolation layers.</w:t>
      </w:r>
    </w:p>
    <w:p>
      <w:pPr>
        <w:pStyle w:val="ListBullet"/>
      </w:pPr>
      <w:r>
        <w:t>Layer 1 – Application context: every tenant-owned record and operation carries explicit tenant context.</w:t>
      </w:r>
    </w:p>
    <w:p>
      <w:pPr>
        <w:pStyle w:val="ListBullet"/>
      </w:pPr>
      <w:r>
        <w:t>Layer 2 – Database: PostgreSQL Row-Level Security (RLS) enforces the hard row boundary for pooled tables.</w:t>
      </w:r>
    </w:p>
    <w:p>
      <w:pPr>
        <w:pStyle w:val="ListBullet"/>
      </w:pPr>
      <w:r>
        <w:t>Layer 3 – Authorization: OPA evaluates role, organisation, office, jurisdiction, service, delegation and action.</w:t>
      </w:r>
    </w:p>
    <w:p>
      <w:pPr>
        <w:pStyle w:val="ListBullet"/>
      </w:pPr>
      <w:r>
        <w:t>Layer 4 – Cell: cells bound blast radius, capacity and operational dependencies.</w:t>
      </w:r>
    </w:p>
    <w:p>
      <w:pPr>
        <w:pStyle w:val="ListBullet"/>
      </w:pPr>
      <w:r>
        <w:t>Layer 5 – Dedicated tenant: large or sensitive tenants can receive dedicated database/cell/account/key boundaries.</w:t>
      </w:r>
    </w:p>
    <w:p>
      <w:pPr>
        <w:pStyle w:val="Heading1"/>
        <w:keepNext/>
      </w:pPr>
      <w:r>
        <w:t>6. Request and Identity Context Flow</w:t>
      </w:r>
    </w:p>
    <w:p>
      <w:pPr>
        <w:jc w:val="center"/>
      </w:pPr>
      <w:r>
        <w:drawing>
          <wp:inline xmlns:a="http://schemas.openxmlformats.org/drawingml/2006/main" xmlns:pic="http://schemas.openxmlformats.org/drawingml/2006/picture">
            <wp:extent cx="6035040" cy="311319"/>
            <wp:docPr id="4" name="Picture 4"/>
            <wp:cNvGraphicFramePr>
              <a:graphicFrameLocks noChangeAspect="1"/>
            </wp:cNvGraphicFramePr>
            <a:graphic>
              <a:graphicData uri="http://schemas.openxmlformats.org/drawingml/2006/picture">
                <pic:pic>
                  <pic:nvPicPr>
                    <pic:cNvPr id="0" name="request_flow.png"/>
                    <pic:cNvPicPr/>
                  </pic:nvPicPr>
                  <pic:blipFill>
                    <a:blip r:embed="rId13"/>
                    <a:stretch>
                      <a:fillRect/>
                    </a:stretch>
                  </pic:blipFill>
                  <pic:spPr>
                    <a:xfrm>
                      <a:off x="0" y="0"/>
                      <a:ext cx="6035040" cy="311319"/>
                    </a:xfrm>
                    <a:prstGeom prst="rect"/>
                  </pic:spPr>
                </pic:pic>
              </a:graphicData>
            </a:graphic>
          </wp:inline>
        </w:drawing>
      </w:r>
    </w:p>
    <w:p>
      <w:pPr>
        <w:jc w:val="center"/>
      </w:pPr>
      <w:r>
        <w:rPr>
          <w:i/>
          <w:color w:val="5A5A5A"/>
          <w:sz w:val="17"/>
        </w:rPr>
        <w:t>Figure 4. Server-controlled tenant context from identity to database enforcement.</w:t>
      </w:r>
    </w:p>
    <w:p>
      <w:r>
        <w:t>The client may request a tenant-scoped resource, but the server must never trust a client-supplied tenant identifier as the authority for access. Tenant context is derived from authenticated identity plus server-side tenant membership and authorization data.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vAlign w:val="center"/>
            <w:tcMar>
              <w:top w:w="120" w:type="dxa"/>
              <w:start w:w="100" w:type="dxa"/>
              <w:bottom w:w="120" w:type="dxa"/>
              <w:end w:w="100" w:type="dxa"/>
            </w:tcMar>
          </w:tcPr>
          <w:p>
            <w:r>
              <w:rPr>
                <w:b/>
                <w:color w:val="17365D"/>
                <w:sz w:val="18"/>
              </w:rPr>
              <w:t>Actor</w:t>
            </w:r>
          </w:p>
        </w:tc>
        <w:tc>
          <w:tcPr>
            <w:tcW w:type="dxa" w:w="2880"/>
            <w:shd w:fill="D9EAF7"/>
            <w:vAlign w:val="center"/>
            <w:tcMar>
              <w:top w:w="120" w:type="dxa"/>
              <w:start w:w="100" w:type="dxa"/>
              <w:bottom w:w="120" w:type="dxa"/>
              <w:end w:w="100" w:type="dxa"/>
            </w:tcMar>
          </w:tcPr>
          <w:p>
            <w:r>
              <w:rPr>
                <w:b/>
                <w:color w:val="17365D"/>
                <w:sz w:val="18"/>
              </w:rPr>
              <w:t>Authentication</w:t>
            </w:r>
          </w:p>
        </w:tc>
        <w:tc>
          <w:tcPr>
            <w:tcW w:type="dxa" w:w="4608"/>
            <w:shd w:fill="D9EAF7"/>
            <w:vAlign w:val="center"/>
            <w:tcMar>
              <w:top w:w="120" w:type="dxa"/>
              <w:start w:w="100" w:type="dxa"/>
              <w:bottom w:w="120" w:type="dxa"/>
              <w:end w:w="100" w:type="dxa"/>
            </w:tcMar>
          </w:tcPr>
          <w:p>
            <w:r>
              <w:rPr>
                <w:b/>
                <w:color w:val="17365D"/>
                <w:sz w:val="18"/>
              </w:rPr>
              <w:t>Tenant/authority context</w:t>
            </w:r>
          </w:p>
        </w:tc>
      </w:tr>
      <w:tr>
        <w:tc>
          <w:tcPr>
            <w:tcW w:type="dxa" w:w="2160"/>
            <w:vAlign w:val="center"/>
            <w:tcMar>
              <w:top w:w="100" w:type="dxa"/>
              <w:start w:w="100" w:type="dxa"/>
              <w:bottom w:w="100" w:type="dxa"/>
              <w:end w:w="100" w:type="dxa"/>
            </w:tcMar>
          </w:tcPr>
          <w:p>
            <w:r>
              <w:rPr>
                <w:sz w:val="18"/>
              </w:rPr>
              <w:t>Government officer</w:t>
            </w:r>
          </w:p>
        </w:tc>
        <w:tc>
          <w:tcPr>
            <w:tcW w:type="dxa" w:w="2880"/>
            <w:vAlign w:val="center"/>
            <w:tcMar>
              <w:top w:w="100" w:type="dxa"/>
              <w:start w:w="100" w:type="dxa"/>
              <w:bottom w:w="100" w:type="dxa"/>
              <w:end w:w="100" w:type="dxa"/>
            </w:tcMar>
          </w:tcPr>
          <w:p>
            <w:r>
              <w:rPr>
                <w:sz w:val="18"/>
              </w:rPr>
              <w:t>Keycloak OIDC/MFA/federation</w:t>
            </w:r>
          </w:p>
        </w:tc>
        <w:tc>
          <w:tcPr>
            <w:tcW w:type="dxa" w:w="4608"/>
            <w:vAlign w:val="center"/>
            <w:tcMar>
              <w:top w:w="100" w:type="dxa"/>
              <w:start w:w="100" w:type="dxa"/>
              <w:bottom w:w="100" w:type="dxa"/>
              <w:end w:w="100" w:type="dxa"/>
            </w:tcMar>
          </w:tcPr>
          <w:p>
            <w:r>
              <w:rPr>
                <w:sz w:val="18"/>
              </w:rPr>
              <w:t>Officer → tenant membership → organisation → office → role → jurisdiction → service permissions/delegation</w:t>
            </w:r>
          </w:p>
        </w:tc>
      </w:tr>
      <w:tr>
        <w:tc>
          <w:tcPr>
            <w:tcW w:type="dxa" w:w="2160"/>
            <w:vAlign w:val="center"/>
            <w:tcMar>
              <w:top w:w="100" w:type="dxa"/>
              <w:start w:w="100" w:type="dxa"/>
              <w:bottom w:w="100" w:type="dxa"/>
              <w:end w:w="100" w:type="dxa"/>
            </w:tcMar>
          </w:tcPr>
          <w:p>
            <w:r>
              <w:rPr>
                <w:sz w:val="18"/>
              </w:rPr>
              <w:t>Citizen</w:t>
            </w:r>
          </w:p>
        </w:tc>
        <w:tc>
          <w:tcPr>
            <w:tcW w:type="dxa" w:w="2880"/>
            <w:vAlign w:val="center"/>
            <w:tcMar>
              <w:top w:w="100" w:type="dxa"/>
              <w:start w:w="100" w:type="dxa"/>
              <w:bottom w:w="100" w:type="dxa"/>
              <w:end w:w="100" w:type="dxa"/>
            </w:tcMar>
          </w:tcPr>
          <w:p>
            <w:r>
              <w:rPr>
                <w:sz w:val="18"/>
              </w:rPr>
              <w:t>Mobile OTP initially; DigiLocker verification; DigiLocker SSO later</w:t>
            </w:r>
          </w:p>
        </w:tc>
        <w:tc>
          <w:tcPr>
            <w:tcW w:type="dxa" w:w="4608"/>
            <w:vAlign w:val="center"/>
            <w:tcMar>
              <w:top w:w="100" w:type="dxa"/>
              <w:start w:w="100" w:type="dxa"/>
              <w:bottom w:w="100" w:type="dxa"/>
              <w:end w:w="100" w:type="dxa"/>
            </w:tcMar>
          </w:tcPr>
          <w:p>
            <w:r>
              <w:rPr>
                <w:sz w:val="18"/>
              </w:rPr>
              <w:t>Citizen is global. Access to applications is citizen ownership + tenant/resource checks, not citizen tenant membership alone.</w:t>
            </w:r>
          </w:p>
        </w:tc>
      </w:tr>
      <w:tr>
        <w:tc>
          <w:tcPr>
            <w:tcW w:type="dxa" w:w="2160"/>
            <w:vAlign w:val="center"/>
            <w:tcMar>
              <w:top w:w="100" w:type="dxa"/>
              <w:start w:w="100" w:type="dxa"/>
              <w:bottom w:w="100" w:type="dxa"/>
              <w:end w:w="100" w:type="dxa"/>
            </w:tcMar>
          </w:tcPr>
          <w:p>
            <w:r>
              <w:rPr>
                <w:sz w:val="18"/>
              </w:rPr>
              <w:t>Service account / integration</w:t>
            </w:r>
          </w:p>
        </w:tc>
        <w:tc>
          <w:tcPr>
            <w:tcW w:type="dxa" w:w="2880"/>
            <w:vAlign w:val="center"/>
            <w:tcMar>
              <w:top w:w="100" w:type="dxa"/>
              <w:start w:w="100" w:type="dxa"/>
              <w:bottom w:w="100" w:type="dxa"/>
              <w:end w:w="100" w:type="dxa"/>
            </w:tcMar>
          </w:tcPr>
          <w:p>
            <w:r>
              <w:rPr>
                <w:sz w:val="18"/>
              </w:rPr>
              <w:t>Workload identity / signed service credentials</w:t>
            </w:r>
          </w:p>
        </w:tc>
        <w:tc>
          <w:tcPr>
            <w:tcW w:type="dxa" w:w="4608"/>
            <w:vAlign w:val="center"/>
            <w:tcMar>
              <w:top w:w="100" w:type="dxa"/>
              <w:start w:w="100" w:type="dxa"/>
              <w:bottom w:w="100" w:type="dxa"/>
              <w:end w:w="100" w:type="dxa"/>
            </w:tcMar>
          </w:tcPr>
          <w:p>
            <w:r>
              <w:rPr>
                <w:sz w:val="18"/>
              </w:rPr>
              <w:t>Explicit allowed tenant(s), scopes and integration purpose; deny all unspecified tenants.</w:t>
            </w:r>
          </w:p>
        </w:tc>
      </w:tr>
      <w:tr>
        <w:tc>
          <w:tcPr>
            <w:tcW w:type="dxa" w:w="2160"/>
            <w:vAlign w:val="center"/>
            <w:tcMar>
              <w:top w:w="100" w:type="dxa"/>
              <w:start w:w="100" w:type="dxa"/>
              <w:bottom w:w="100" w:type="dxa"/>
              <w:end w:w="100" w:type="dxa"/>
            </w:tcMar>
          </w:tcPr>
          <w:p>
            <w:r>
              <w:rPr>
                <w:sz w:val="18"/>
              </w:rPr>
              <w:t>Platform administrator</w:t>
            </w:r>
          </w:p>
        </w:tc>
        <w:tc>
          <w:tcPr>
            <w:tcW w:type="dxa" w:w="2880"/>
            <w:vAlign w:val="center"/>
            <w:tcMar>
              <w:top w:w="100" w:type="dxa"/>
              <w:start w:w="100" w:type="dxa"/>
              <w:bottom w:w="100" w:type="dxa"/>
              <w:end w:w="100" w:type="dxa"/>
            </w:tcMar>
          </w:tcPr>
          <w:p>
            <w:r>
              <w:rPr>
                <w:sz w:val="18"/>
              </w:rPr>
              <w:t>Strong privileged authentication</w:t>
            </w:r>
          </w:p>
        </w:tc>
        <w:tc>
          <w:tcPr>
            <w:tcW w:type="dxa" w:w="4608"/>
            <w:vAlign w:val="center"/>
            <w:tcMar>
              <w:top w:w="100" w:type="dxa"/>
              <w:start w:w="100" w:type="dxa"/>
              <w:bottom w:w="100" w:type="dxa"/>
              <w:end w:w="100" w:type="dxa"/>
            </w:tcMar>
          </w:tcPr>
          <w:p>
            <w:r>
              <w:rPr>
                <w:sz w:val="18"/>
              </w:rPr>
              <w:t>No implicit cross-tenant data read. Break-glass or approved support workflow required.</w:t>
            </w:r>
          </w:p>
        </w:tc>
      </w:tr>
    </w:tbl>
    <w:p>
      <w:pPr>
        <w:spacing w:after="40"/>
      </w:pPr>
    </w:p>
    <w:p>
      <w:pPr>
        <w:pStyle w:val="Heading1"/>
        <w:keepNext/>
      </w:pPr>
      <w:r>
        <w:t>7. Mandatory Data Isolation Classification</w:t>
      </w:r>
    </w:p>
    <w:p>
      <w:r>
        <w:t>Every persisted entity must declare one of the following isolation classes before implementation: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vAlign w:val="center"/>
            <w:tcMar>
              <w:top w:w="120" w:type="dxa"/>
              <w:start w:w="100" w:type="dxa"/>
              <w:bottom w:w="120" w:type="dxa"/>
              <w:end w:w="100" w:type="dxa"/>
            </w:tcMar>
          </w:tcPr>
          <w:p>
            <w:r>
              <w:rPr>
                <w:b/>
                <w:color w:val="17365D"/>
                <w:sz w:val="18"/>
              </w:rPr>
              <w:t>Class</w:t>
            </w:r>
          </w:p>
        </w:tc>
        <w:tc>
          <w:tcPr>
            <w:tcW w:type="dxa" w:w="3600"/>
            <w:shd w:fill="D9EAF7"/>
            <w:vAlign w:val="center"/>
            <w:tcMar>
              <w:top w:w="120" w:type="dxa"/>
              <w:start w:w="100" w:type="dxa"/>
              <w:bottom w:w="120" w:type="dxa"/>
              <w:end w:w="100" w:type="dxa"/>
            </w:tcMar>
          </w:tcPr>
          <w:p>
            <w:r>
              <w:rPr>
                <w:b/>
                <w:color w:val="17365D"/>
                <w:sz w:val="18"/>
              </w:rPr>
              <w:t>Meaning</w:t>
            </w:r>
          </w:p>
        </w:tc>
        <w:tc>
          <w:tcPr>
            <w:tcW w:type="dxa" w:w="4032"/>
            <w:shd w:fill="D9EAF7"/>
            <w:vAlign w:val="center"/>
            <w:tcMar>
              <w:top w:w="120" w:type="dxa"/>
              <w:start w:w="100" w:type="dxa"/>
              <w:bottom w:w="120" w:type="dxa"/>
              <w:end w:w="100" w:type="dxa"/>
            </w:tcMar>
          </w:tcPr>
          <w:p>
            <w:r>
              <w:rPr>
                <w:b/>
                <w:color w:val="17365D"/>
                <w:sz w:val="18"/>
              </w:rPr>
              <w:t>Examples</w:t>
            </w:r>
          </w:p>
        </w:tc>
      </w:tr>
      <w:tr>
        <w:tc>
          <w:tcPr>
            <w:tcW w:type="dxa" w:w="2160"/>
            <w:vAlign w:val="center"/>
            <w:tcMar>
              <w:top w:w="100" w:type="dxa"/>
              <w:start w:w="100" w:type="dxa"/>
              <w:bottom w:w="100" w:type="dxa"/>
              <w:end w:w="100" w:type="dxa"/>
            </w:tcMar>
          </w:tcPr>
          <w:p>
            <w:r>
              <w:rPr>
                <w:sz w:val="18"/>
              </w:rPr>
              <w:t>GLOBAL</w:t>
            </w:r>
          </w:p>
        </w:tc>
        <w:tc>
          <w:tcPr>
            <w:tcW w:type="dxa" w:w="3600"/>
            <w:vAlign w:val="center"/>
            <w:tcMar>
              <w:top w:w="100" w:type="dxa"/>
              <w:start w:w="100" w:type="dxa"/>
              <w:bottom w:w="100" w:type="dxa"/>
              <w:end w:w="100" w:type="dxa"/>
            </w:tcMar>
          </w:tcPr>
          <w:p>
            <w:r>
              <w:rPr>
                <w:sz w:val="18"/>
              </w:rPr>
              <w:t>Shared platform reference information; not owned by a tenant</w:t>
            </w:r>
          </w:p>
        </w:tc>
        <w:tc>
          <w:tcPr>
            <w:tcW w:type="dxa" w:w="4032"/>
            <w:vAlign w:val="center"/>
            <w:tcMar>
              <w:top w:w="100" w:type="dxa"/>
              <w:start w:w="100" w:type="dxa"/>
              <w:bottom w:w="100" w:type="dxa"/>
              <w:end w:w="100" w:type="dxa"/>
            </w:tcMar>
          </w:tcPr>
          <w:p>
            <w:r>
              <w:rPr>
                <w:sz w:val="18"/>
              </w:rPr>
              <w:t>Canonical service taxonomy, public design-system metadata, platform reference codes</w:t>
            </w:r>
          </w:p>
        </w:tc>
      </w:tr>
      <w:tr>
        <w:tc>
          <w:tcPr>
            <w:tcW w:type="dxa" w:w="2160"/>
            <w:vAlign w:val="center"/>
            <w:tcMar>
              <w:top w:w="100" w:type="dxa"/>
              <w:start w:w="100" w:type="dxa"/>
              <w:bottom w:w="100" w:type="dxa"/>
              <w:end w:w="100" w:type="dxa"/>
            </w:tcMar>
          </w:tcPr>
          <w:p>
            <w:r>
              <w:rPr>
                <w:sz w:val="18"/>
              </w:rPr>
              <w:t>TENANT_SCOPED</w:t>
            </w:r>
          </w:p>
        </w:tc>
        <w:tc>
          <w:tcPr>
            <w:tcW w:type="dxa" w:w="3600"/>
            <w:vAlign w:val="center"/>
            <w:tcMar>
              <w:top w:w="100" w:type="dxa"/>
              <w:start w:w="100" w:type="dxa"/>
              <w:bottom w:w="100" w:type="dxa"/>
              <w:end w:w="100" w:type="dxa"/>
            </w:tcMar>
          </w:tcPr>
          <w:p>
            <w:r>
              <w:rPr>
                <w:sz w:val="18"/>
              </w:rPr>
              <w:t>Owned by one tenant</w:t>
            </w:r>
          </w:p>
        </w:tc>
        <w:tc>
          <w:tcPr>
            <w:tcW w:type="dxa" w:w="4032"/>
            <w:vAlign w:val="center"/>
            <w:tcMar>
              <w:top w:w="100" w:type="dxa"/>
              <w:start w:w="100" w:type="dxa"/>
              <w:bottom w:w="100" w:type="dxa"/>
              <w:end w:w="100" w:type="dxa"/>
            </w:tcMar>
          </w:tcPr>
          <w:p>
            <w:r>
              <w:rPr>
                <w:sz w:val="18"/>
              </w:rPr>
              <w:t>Local service offerings, applications, payments, credentials, tenant configuration</w:t>
            </w:r>
          </w:p>
        </w:tc>
      </w:tr>
      <w:tr>
        <w:tc>
          <w:tcPr>
            <w:tcW w:type="dxa" w:w="2160"/>
            <w:vAlign w:val="center"/>
            <w:tcMar>
              <w:top w:w="100" w:type="dxa"/>
              <w:start w:w="100" w:type="dxa"/>
              <w:bottom w:w="100" w:type="dxa"/>
              <w:end w:w="100" w:type="dxa"/>
            </w:tcMar>
          </w:tcPr>
          <w:p>
            <w:r>
              <w:rPr>
                <w:sz w:val="18"/>
              </w:rPr>
              <w:t>JURISDICTION_SCOPED</w:t>
            </w:r>
          </w:p>
        </w:tc>
        <w:tc>
          <w:tcPr>
            <w:tcW w:type="dxa" w:w="3600"/>
            <w:vAlign w:val="center"/>
            <w:tcMar>
              <w:top w:w="100" w:type="dxa"/>
              <w:start w:w="100" w:type="dxa"/>
              <w:bottom w:w="100" w:type="dxa"/>
              <w:end w:w="100" w:type="dxa"/>
            </w:tcMar>
          </w:tcPr>
          <w:p>
            <w:r>
              <w:rPr>
                <w:sz w:val="18"/>
              </w:rPr>
              <w:t>Tenant-owned plus restricted by authorised geographical/legal scope</w:t>
            </w:r>
          </w:p>
        </w:tc>
        <w:tc>
          <w:tcPr>
            <w:tcW w:type="dxa" w:w="4032"/>
            <w:vAlign w:val="center"/>
            <w:tcMar>
              <w:top w:w="100" w:type="dxa"/>
              <w:start w:w="100" w:type="dxa"/>
              <w:bottom w:w="100" w:type="dxa"/>
              <w:end w:w="100" w:type="dxa"/>
            </w:tcMar>
          </w:tcPr>
          <w:p>
            <w:r>
              <w:rPr>
                <w:sz w:val="18"/>
              </w:rPr>
              <w:t>Officer queues, inspections, district/ward service tasks</w:t>
            </w:r>
          </w:p>
        </w:tc>
      </w:tr>
      <w:tr>
        <w:tc>
          <w:tcPr>
            <w:tcW w:type="dxa" w:w="2160"/>
            <w:vAlign w:val="center"/>
            <w:tcMar>
              <w:top w:w="100" w:type="dxa"/>
              <w:start w:w="100" w:type="dxa"/>
              <w:bottom w:w="100" w:type="dxa"/>
              <w:end w:w="100" w:type="dxa"/>
            </w:tcMar>
          </w:tcPr>
          <w:p>
            <w:r>
              <w:rPr>
                <w:sz w:val="18"/>
              </w:rPr>
              <w:t>CITIZEN_PRIVATE</w:t>
            </w:r>
          </w:p>
        </w:tc>
        <w:tc>
          <w:tcPr>
            <w:tcW w:type="dxa" w:w="3600"/>
            <w:vAlign w:val="center"/>
            <w:tcMar>
              <w:top w:w="100" w:type="dxa"/>
              <w:start w:w="100" w:type="dxa"/>
              <w:bottom w:w="100" w:type="dxa"/>
              <w:end w:w="100" w:type="dxa"/>
            </w:tcMar>
          </w:tcPr>
          <w:p>
            <w:r>
              <w:rPr>
                <w:sz w:val="18"/>
              </w:rPr>
              <w:t>Owned by citizen and protected independently of tenant visibility</w:t>
            </w:r>
          </w:p>
        </w:tc>
        <w:tc>
          <w:tcPr>
            <w:tcW w:type="dxa" w:w="4032"/>
            <w:vAlign w:val="center"/>
            <w:tcMar>
              <w:top w:w="100" w:type="dxa"/>
              <w:start w:w="100" w:type="dxa"/>
              <w:bottom w:w="100" w:type="dxa"/>
              <w:end w:w="100" w:type="dxa"/>
            </w:tcMar>
          </w:tcPr>
          <w:p>
            <w:r>
              <w:rPr>
                <w:sz w:val="18"/>
              </w:rPr>
              <w:t>Global citizen identity, citizen account/security preferences, selected verified claims</w:t>
            </w:r>
          </w:p>
        </w:tc>
      </w:tr>
      <w:tr>
        <w:tc>
          <w:tcPr>
            <w:tcW w:type="dxa" w:w="2160"/>
            <w:vAlign w:val="center"/>
            <w:tcMar>
              <w:top w:w="100" w:type="dxa"/>
              <w:start w:w="100" w:type="dxa"/>
              <w:bottom w:w="100" w:type="dxa"/>
              <w:end w:w="100" w:type="dxa"/>
            </w:tcMar>
          </w:tcPr>
          <w:p>
            <w:r>
              <w:rPr>
                <w:sz w:val="18"/>
              </w:rPr>
              <w:t>PLATFORM_OPERATIONAL</w:t>
            </w:r>
          </w:p>
        </w:tc>
        <w:tc>
          <w:tcPr>
            <w:tcW w:type="dxa" w:w="3600"/>
            <w:vAlign w:val="center"/>
            <w:tcMar>
              <w:top w:w="100" w:type="dxa"/>
              <w:start w:w="100" w:type="dxa"/>
              <w:bottom w:w="100" w:type="dxa"/>
              <w:end w:w="100" w:type="dxa"/>
            </w:tcMar>
          </w:tcPr>
          <w:p>
            <w:r>
              <w:rPr>
                <w:sz w:val="18"/>
              </w:rPr>
              <w:t>Internal platform data with its own control model</w:t>
            </w:r>
          </w:p>
        </w:tc>
        <w:tc>
          <w:tcPr>
            <w:tcW w:type="dxa" w:w="4032"/>
            <w:vAlign w:val="center"/>
            <w:tcMar>
              <w:top w:w="100" w:type="dxa"/>
              <w:start w:w="100" w:type="dxa"/>
              <w:bottom w:w="100" w:type="dxa"/>
              <w:end w:w="100" w:type="dxa"/>
            </w:tcMar>
          </w:tcPr>
          <w:p>
            <w:r>
              <w:rPr>
                <w:sz w:val="18"/>
              </w:rPr>
              <w:t>Telemetry, deployment metadata, service health, technical job state</w:t>
            </w:r>
          </w:p>
        </w:tc>
      </w:tr>
    </w:tbl>
    <w:p>
      <w:pPr>
        <w:spacing w:after="40"/>
      </w:pPr>
    </w:p>
    <w:p>
      <w:pPr>
        <w:pStyle w:val="Callout"/>
        <w:shd w:fill="EEF4FF"/>
      </w:pPr>
      <w:r>
        <w:t>AI agents must not create a new table or document collection until its isolation class is explicitly defined.</w:t>
      </w:r>
    </w:p>
    <w:p>
      <w:pPr>
        <w:pStyle w:val="Heading1"/>
        <w:keepNext/>
      </w:pPr>
      <w:r>
        <w:t>8. Aurora PostgreSQL Tenant Isolation</w:t>
      </w:r>
    </w:p>
    <w:p>
      <w:r>
        <w:t>Aurora PostgreSQL is the authoritative transactional datastore for ServiceForm AI v1. Every tenant-scoped business table must contain a non-null tenant_id. For pooled tables, PostgreSQL Row-Level Security is mandatory.</w:t>
      </w:r>
    </w:p>
    <w:p>
      <w:pPr>
        <w:pStyle w:val="CodeBlock"/>
      </w:pPr>
      <w:r>
        <w:t>CREATE TABLE application (</w:t>
        <w:br/>
        <w:t xml:space="preserve">  application_id uuid PRIMARY KEY,</w:t>
        <w:br/>
        <w:t xml:space="preserve">  tenant_id uuid NOT NULL,</w:t>
        <w:br/>
        <w:t xml:space="preserve">  citizen_id uuid NOT NULL,</w:t>
        <w:br/>
        <w:t xml:space="preserve">  service_offering_id uuid NOT NULL,</w:t>
        <w:br/>
        <w:t xml:space="preserve">  jurisdiction_id uuid,</w:t>
        <w:br/>
        <w:t xml:space="preserve">  status text NOT NULL,</w:t>
        <w:br/>
        <w:t xml:space="preserve">  created_at timestamptz NOT NULL DEFAULT now()</w:t>
        <w:br/>
        <w:t>);</w:t>
        <w:br/>
        <w:br/>
        <w:t>CREATE INDEX idx_application_tenant_id</w:t>
        <w:br/>
        <w:t xml:space="preserve">  ON application (tenant_id);</w:t>
      </w:r>
    </w:p>
    <w:p>
      <w:pPr>
        <w:pStyle w:val="CodeBlock"/>
      </w:pPr>
      <w:r>
        <w:t>ALTER TABLE application ENABLE ROW LEVEL SECURITY;</w:t>
        <w:br/>
        <w:t>ALTER TABLE application FORCE ROW LEVEL SECURITY;</w:t>
        <w:br/>
        <w:br/>
        <w:t>CREATE POLICY application_tenant_policy</w:t>
        <w:br/>
        <w:t>ON application</w:t>
        <w:br/>
        <w:t>USING (tenant_id = current_setting('app.tenant_id', true)::uuid)</w:t>
        <w:br/>
        <w:t>WITH CHECK (tenant_id = current_setting('app.tenant_id', true)::uuid);</w:t>
      </w:r>
    </w:p>
    <w:p>
      <w:r>
        <w:t>Every database transaction that touches tenant-scoped data must establish the context using a transaction-local setting:</w:t>
      </w:r>
    </w:p>
    <w:p>
      <w:pPr>
        <w:pStyle w:val="CodeBlock"/>
      </w:pPr>
      <w:r>
        <w:t>BEGIN;</w:t>
        <w:br/>
        <w:t>SET LOCAL app.tenant_id = '11111111-1111-1111-1111-111111111111';</w:t>
        <w:br/>
        <w:t>-- domain repository operations</w:t>
        <w:br/>
        <w:t>COMMIT;</w:t>
      </w:r>
    </w:p>
    <w:p>
      <w:pPr>
        <w:pStyle w:val="Heading2"/>
        <w:keepNext/>
      </w:pPr>
      <w:r>
        <w:t>8.1 Mandatory PostgreSQL rules</w:t>
      </w:r>
    </w:p>
    <w:p>
      <w:pPr>
        <w:pStyle w:val="ListBullet"/>
      </w:pPr>
      <w:r>
        <w:t>Tenant-scoped tables must use tenant_id NOT NULL; do not use NULL to imply global data.</w:t>
      </w:r>
    </w:p>
    <w:p>
      <w:pPr>
        <w:pStyle w:val="ListBullet"/>
      </w:pPr>
      <w:r>
        <w:t>RLS must be enabled and forced for pooled tenant tables.</w:t>
      </w:r>
    </w:p>
    <w:p>
      <w:pPr>
        <w:pStyle w:val="ListBullet"/>
      </w:pPr>
      <w:r>
        <w:t>Application database roles must not have BYPASSRLS.</w:t>
      </w:r>
    </w:p>
    <w:p>
      <w:pPr>
        <w:pStyle w:val="ListBullet"/>
      </w:pPr>
      <w:r>
        <w:t>Domain services must use bounded transactions and set tenant context with SET LOCAL.</w:t>
      </w:r>
    </w:p>
    <w:p>
      <w:pPr>
        <w:pStyle w:val="ListBullet"/>
      </w:pPr>
      <w:r>
        <w:t>Foreign keys for tenant-owned child records should include tenant consistency where practical.</w:t>
      </w:r>
    </w:p>
    <w:p>
      <w:pPr>
        <w:pStyle w:val="ListBullet"/>
      </w:pPr>
      <w:r>
        <w:t>Composite uniqueness constraints must include tenant_id when uniqueness is tenant-relative.</w:t>
      </w:r>
    </w:p>
    <w:p>
      <w:pPr>
        <w:pStyle w:val="ListBullet"/>
      </w:pPr>
      <w:r>
        <w:t>Indexes must begin with or include tenant_id for high-volume tenant filters where appropriate.</w:t>
      </w:r>
    </w:p>
    <w:p>
      <w:pPr>
        <w:pStyle w:val="ListBullet"/>
      </w:pPr>
      <w:r>
        <w:t>Background workers must set tenant context explicitly for every unit of work.</w:t>
      </w:r>
    </w:p>
    <w:p>
      <w:pPr>
        <w:pStyle w:val="ListBullet"/>
      </w:pPr>
      <w:r>
        <w:t>Database migrations must include cross-tenant isolation tests before release.</w:t>
      </w:r>
    </w:p>
    <w:p>
      <w:pPr>
        <w:pStyle w:val="Heading1"/>
        <w:keepNext/>
      </w:pPr>
      <w:r>
        <w:t>9. Fine-Grained Authorization with OPA</w:t>
      </w:r>
    </w:p>
    <w:p>
      <w:r>
        <w:t>RLS enforces the hard tenant boundary. OPA enforces business authorization inside that boundary. OPA decisions should be evaluated locally/near the application runtime, using versioned policies and server-trusted context.</w:t>
      </w:r>
    </w:p>
    <w:p>
      <w:pPr>
        <w:pStyle w:val="CodeBlock"/>
      </w:pPr>
      <w:r>
        <w:t>ALLOW if:</w:t>
        <w:br/>
        <w:t xml:space="preserve">  request.tenant_id == resource.tenant_id</w:t>
        <w:br/>
        <w:t xml:space="preserve">  AND actor.organisation in resource.allowed_organisations</w:t>
        <w:br/>
        <w:t xml:space="preserve">  AND actor.jurisdiction covers resource.jurisdiction</w:t>
        <w:br/>
        <w:t xml:space="preserve">  AND actor.role permits request.action</w:t>
        <w:br/>
        <w:t xml:space="preserve">  AND actor.service_scope includes resource.service</w:t>
        <w:br/>
        <w:t xml:space="preserve">  AND delegation is valid at current_time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D9EAF7"/>
            <w:vAlign w:val="center"/>
            <w:tcMar>
              <w:top w:w="120" w:type="dxa"/>
              <w:start w:w="100" w:type="dxa"/>
              <w:bottom w:w="120" w:type="dxa"/>
              <w:end w:w="100" w:type="dxa"/>
            </w:tcMar>
          </w:tcPr>
          <w:p>
            <w:r>
              <w:rPr>
                <w:b/>
                <w:color w:val="17365D"/>
                <w:sz w:val="18"/>
              </w:rPr>
              <w:t>Control</w:t>
            </w:r>
          </w:p>
        </w:tc>
        <w:tc>
          <w:tcPr>
            <w:tcW w:type="dxa" w:w="5904"/>
            <w:shd w:fill="D9EAF7"/>
            <w:vAlign w:val="center"/>
            <w:tcMar>
              <w:top w:w="120" w:type="dxa"/>
              <w:start w:w="100" w:type="dxa"/>
              <w:bottom w:w="120" w:type="dxa"/>
              <w:end w:w="100" w:type="dxa"/>
            </w:tcMar>
          </w:tcPr>
          <w:p>
            <w:r>
              <w:rPr>
                <w:b/>
                <w:color w:val="17365D"/>
                <w:sz w:val="18"/>
              </w:rPr>
              <w:t>Owner</w:t>
            </w:r>
          </w:p>
        </w:tc>
      </w:tr>
      <w:tr>
        <w:tc>
          <w:tcPr>
            <w:tcW w:type="dxa" w:w="3744"/>
            <w:vAlign w:val="center"/>
            <w:tcMar>
              <w:top w:w="100" w:type="dxa"/>
              <w:start w:w="100" w:type="dxa"/>
              <w:bottom w:w="100" w:type="dxa"/>
              <w:end w:w="100" w:type="dxa"/>
            </w:tcMar>
          </w:tcPr>
          <w:p>
            <w:r>
              <w:rPr>
                <w:sz w:val="18"/>
              </w:rPr>
              <w:t>Tenant boundary</w:t>
            </w:r>
          </w:p>
        </w:tc>
        <w:tc>
          <w:tcPr>
            <w:tcW w:type="dxa" w:w="5904"/>
            <w:vAlign w:val="center"/>
            <w:tcMar>
              <w:top w:w="100" w:type="dxa"/>
              <w:start w:w="100" w:type="dxa"/>
              <w:bottom w:w="100" w:type="dxa"/>
              <w:end w:w="100" w:type="dxa"/>
            </w:tcMar>
          </w:tcPr>
          <w:p>
            <w:r>
              <w:rPr>
                <w:sz w:val="18"/>
              </w:rPr>
              <w:t>PostgreSQL RLS + service context</w:t>
            </w:r>
          </w:p>
        </w:tc>
      </w:tr>
      <w:tr>
        <w:tc>
          <w:tcPr>
            <w:tcW w:type="dxa" w:w="3744"/>
            <w:vAlign w:val="center"/>
            <w:tcMar>
              <w:top w:w="100" w:type="dxa"/>
              <w:start w:w="100" w:type="dxa"/>
              <w:bottom w:w="100" w:type="dxa"/>
              <w:end w:w="100" w:type="dxa"/>
            </w:tcMar>
          </w:tcPr>
          <w:p>
            <w:r>
              <w:rPr>
                <w:sz w:val="18"/>
              </w:rPr>
              <w:t>Role/action permission</w:t>
            </w:r>
          </w:p>
        </w:tc>
        <w:tc>
          <w:tcPr>
            <w:tcW w:type="dxa" w:w="5904"/>
            <w:vAlign w:val="center"/>
            <w:tcMar>
              <w:top w:w="100" w:type="dxa"/>
              <w:start w:w="100" w:type="dxa"/>
              <w:bottom w:w="100" w:type="dxa"/>
              <w:end w:w="100" w:type="dxa"/>
            </w:tcMar>
          </w:tcPr>
          <w:p>
            <w:r>
              <w:rPr>
                <w:sz w:val="18"/>
              </w:rPr>
              <w:t>OPA</w:t>
            </w:r>
          </w:p>
        </w:tc>
      </w:tr>
      <w:tr>
        <w:tc>
          <w:tcPr>
            <w:tcW w:type="dxa" w:w="3744"/>
            <w:vAlign w:val="center"/>
            <w:tcMar>
              <w:top w:w="100" w:type="dxa"/>
              <w:start w:w="100" w:type="dxa"/>
              <w:bottom w:w="100" w:type="dxa"/>
              <w:end w:w="100" w:type="dxa"/>
            </w:tcMar>
          </w:tcPr>
          <w:p>
            <w:r>
              <w:rPr>
                <w:sz w:val="18"/>
              </w:rPr>
              <w:t>Organisation/office authority</w:t>
            </w:r>
          </w:p>
        </w:tc>
        <w:tc>
          <w:tcPr>
            <w:tcW w:type="dxa" w:w="5904"/>
            <w:vAlign w:val="center"/>
            <w:tcMar>
              <w:top w:w="100" w:type="dxa"/>
              <w:start w:w="100" w:type="dxa"/>
              <w:bottom w:w="100" w:type="dxa"/>
              <w:end w:w="100" w:type="dxa"/>
            </w:tcMar>
          </w:tcPr>
          <w:p>
            <w:r>
              <w:rPr>
                <w:sz w:val="18"/>
              </w:rPr>
              <w:t>OPA</w:t>
            </w:r>
          </w:p>
        </w:tc>
      </w:tr>
      <w:tr>
        <w:tc>
          <w:tcPr>
            <w:tcW w:type="dxa" w:w="3744"/>
            <w:vAlign w:val="center"/>
            <w:tcMar>
              <w:top w:w="100" w:type="dxa"/>
              <w:start w:w="100" w:type="dxa"/>
              <w:bottom w:w="100" w:type="dxa"/>
              <w:end w:w="100" w:type="dxa"/>
            </w:tcMar>
          </w:tcPr>
          <w:p>
            <w:r>
              <w:rPr>
                <w:sz w:val="18"/>
              </w:rPr>
              <w:t>Jurisdiction coverage</w:t>
            </w:r>
          </w:p>
        </w:tc>
        <w:tc>
          <w:tcPr>
            <w:tcW w:type="dxa" w:w="5904"/>
            <w:vAlign w:val="center"/>
            <w:tcMar>
              <w:top w:w="100" w:type="dxa"/>
              <w:start w:w="100" w:type="dxa"/>
              <w:bottom w:w="100" w:type="dxa"/>
              <w:end w:w="100" w:type="dxa"/>
            </w:tcMar>
          </w:tcPr>
          <w:p>
            <w:r>
              <w:rPr>
                <w:sz w:val="18"/>
              </w:rPr>
              <w:t>OPA</w:t>
            </w:r>
          </w:p>
        </w:tc>
      </w:tr>
      <w:tr>
        <w:tc>
          <w:tcPr>
            <w:tcW w:type="dxa" w:w="3744"/>
            <w:vAlign w:val="center"/>
            <w:tcMar>
              <w:top w:w="100" w:type="dxa"/>
              <w:start w:w="100" w:type="dxa"/>
              <w:bottom w:w="100" w:type="dxa"/>
              <w:end w:w="100" w:type="dxa"/>
            </w:tcMar>
          </w:tcPr>
          <w:p>
            <w:r>
              <w:rPr>
                <w:sz w:val="18"/>
              </w:rPr>
              <w:t>Service-specific official permission</w:t>
            </w:r>
          </w:p>
        </w:tc>
        <w:tc>
          <w:tcPr>
            <w:tcW w:type="dxa" w:w="5904"/>
            <w:vAlign w:val="center"/>
            <w:tcMar>
              <w:top w:w="100" w:type="dxa"/>
              <w:start w:w="100" w:type="dxa"/>
              <w:bottom w:w="100" w:type="dxa"/>
              <w:end w:w="100" w:type="dxa"/>
            </w:tcMar>
          </w:tcPr>
          <w:p>
            <w:r>
              <w:rPr>
                <w:sz w:val="18"/>
              </w:rPr>
              <w:t>OPA</w:t>
            </w:r>
          </w:p>
        </w:tc>
      </w:tr>
      <w:tr>
        <w:tc>
          <w:tcPr>
            <w:tcW w:type="dxa" w:w="3744"/>
            <w:vAlign w:val="center"/>
            <w:tcMar>
              <w:top w:w="100" w:type="dxa"/>
              <w:start w:w="100" w:type="dxa"/>
              <w:bottom w:w="100" w:type="dxa"/>
              <w:end w:w="100" w:type="dxa"/>
            </w:tcMar>
          </w:tcPr>
          <w:p>
            <w:r>
              <w:rPr>
                <w:sz w:val="18"/>
              </w:rPr>
              <w:t>Delegation/temporary posting</w:t>
            </w:r>
          </w:p>
        </w:tc>
        <w:tc>
          <w:tcPr>
            <w:tcW w:type="dxa" w:w="5904"/>
            <w:vAlign w:val="center"/>
            <w:tcMar>
              <w:top w:w="100" w:type="dxa"/>
              <w:start w:w="100" w:type="dxa"/>
              <w:bottom w:w="100" w:type="dxa"/>
              <w:end w:w="100" w:type="dxa"/>
            </w:tcMar>
          </w:tcPr>
          <w:p>
            <w:r>
              <w:rPr>
                <w:sz w:val="18"/>
              </w:rPr>
              <w:t>OPA</w:t>
            </w:r>
          </w:p>
        </w:tc>
      </w:tr>
      <w:tr>
        <w:tc>
          <w:tcPr>
            <w:tcW w:type="dxa" w:w="3744"/>
            <w:vAlign w:val="center"/>
            <w:tcMar>
              <w:top w:w="100" w:type="dxa"/>
              <w:start w:w="100" w:type="dxa"/>
              <w:bottom w:w="100" w:type="dxa"/>
              <w:end w:w="100" w:type="dxa"/>
            </w:tcMar>
          </w:tcPr>
          <w:p>
            <w:r>
              <w:rPr>
                <w:sz w:val="18"/>
              </w:rPr>
              <w:t>Citizen ownership/access</w:t>
            </w:r>
          </w:p>
        </w:tc>
        <w:tc>
          <w:tcPr>
            <w:tcW w:type="dxa" w:w="5904"/>
            <w:vAlign w:val="center"/>
            <w:tcMar>
              <w:top w:w="100" w:type="dxa"/>
              <w:start w:w="100" w:type="dxa"/>
              <w:bottom w:w="100" w:type="dxa"/>
              <w:end w:w="100" w:type="dxa"/>
            </w:tcMar>
          </w:tcPr>
          <w:p>
            <w:r>
              <w:rPr>
                <w:sz w:val="18"/>
              </w:rPr>
              <w:t>Application service + OPA/policy checks</w:t>
            </w:r>
          </w:p>
        </w:tc>
      </w:tr>
      <w:tr>
        <w:tc>
          <w:tcPr>
            <w:tcW w:type="dxa" w:w="3744"/>
            <w:vAlign w:val="center"/>
            <w:tcMar>
              <w:top w:w="100" w:type="dxa"/>
              <w:start w:w="100" w:type="dxa"/>
              <w:bottom w:w="100" w:type="dxa"/>
              <w:end w:w="100" w:type="dxa"/>
            </w:tcMar>
          </w:tcPr>
          <w:p>
            <w:r>
              <w:rPr>
                <w:sz w:val="18"/>
              </w:rPr>
              <w:t>Break-glass support</w:t>
            </w:r>
          </w:p>
        </w:tc>
        <w:tc>
          <w:tcPr>
            <w:tcW w:type="dxa" w:w="5904"/>
            <w:vAlign w:val="center"/>
            <w:tcMar>
              <w:top w:w="100" w:type="dxa"/>
              <w:start w:w="100" w:type="dxa"/>
              <w:bottom w:w="100" w:type="dxa"/>
              <w:end w:w="100" w:type="dxa"/>
            </w:tcMar>
          </w:tcPr>
          <w:p>
            <w:r>
              <w:rPr>
                <w:sz w:val="18"/>
              </w:rPr>
              <w:t>Privileged workflow + audit + OPA</w:t>
            </w:r>
          </w:p>
        </w:tc>
      </w:tr>
    </w:tbl>
    <w:p>
      <w:pPr>
        <w:spacing w:after="40"/>
      </w:pPr>
    </w:p>
    <w:p>
      <w:pPr>
        <w:pStyle w:val="Heading1"/>
        <w:keepNext/>
      </w:pPr>
      <w:r>
        <w:t>10. Citizen Identity and Cross-Tenant Access</w:t>
      </w:r>
    </w:p>
    <w:p>
      <w:r>
        <w:t>A citizen must have one immutable ServiceForm citizen_id and must not be duplicated simply because the citizen uses services from multiple tenants. Tenant-owned resources still remain isolated.</w:t>
      </w:r>
    </w:p>
    <w:p>
      <w:pPr>
        <w:pStyle w:val="CodeBlock"/>
      </w:pPr>
      <w:r>
        <w:t>citizen</w:t>
        <w:br/>
        <w:t>-------</w:t>
        <w:br/>
        <w:t>citizen_id uuid PRIMARY KEY</w:t>
        <w:br/>
        <w:t>...</w:t>
        <w:br/>
        <w:br/>
        <w:t>citizen_tenant_relationship</w:t>
        <w:br/>
        <w:t>---------------------------</w:t>
        <w:br/>
        <w:t>citizen_id uuid</w:t>
        <w:br/>
        <w:t>tenant_id uuid</w:t>
        <w:br/>
        <w:t>relationship_type text</w:t>
        <w:br/>
        <w:t>created_at timestamptz</w:t>
      </w:r>
    </w:p>
    <w:p>
      <w:r>
        <w:t>A citizen may see an application only when the platform verifies both citizen ownership (or authorised representation) and the application resource. One tenant must not gain visibility of a citizen’s applications with another tenant merely because the same citizen_id exists.</w:t>
      </w:r>
    </w:p>
    <w:p>
      <w:pPr>
        <w:pStyle w:val="Heading1"/>
        <w:keepNext/>
      </w:pPr>
      <w:r>
        <w:t>11. S3 Document and Evidence Isolation</w:t>
      </w:r>
    </w:p>
    <w:p>
      <w:r>
        <w:t>Binary evidence, photos, generated certificates and inspection media are stored in S3, not PostgreSQL. Tenant boundaries must be represented in metadata and object naming but security must be enforced by the application and IAM/KMS policy, not by path naming alone.</w:t>
      </w:r>
    </w:p>
    <w:p>
      <w:pPr>
        <w:pStyle w:val="CodeBlock"/>
      </w:pPr>
      <w:r>
        <w:t>s3://serviceform-prod/</w:t>
        <w:br/>
        <w:t xml:space="preserve">  cell/&lt;cell_id&gt;/</w:t>
        <w:br/>
        <w:t xml:space="preserve">    tenant/&lt;tenant_id&gt;/</w:t>
        <w:br/>
        <w:t xml:space="preserve">      application/&lt;application_id&gt;/</w:t>
        <w:br/>
        <w:t xml:space="preserve">        evidence/&lt;document_id&gt;</w:t>
      </w:r>
    </w:p>
    <w:p>
      <w:pPr>
        <w:pStyle w:val="ListBullet"/>
      </w:pPr>
      <w:r>
        <w:t>Backend validates actor, tenant, application, document and purpose before issuing a short-lived signed URL.</w:t>
      </w:r>
    </w:p>
    <w:p>
      <w:pPr>
        <w:pStyle w:val="ListBullet"/>
      </w:pPr>
      <w:r>
        <w:t>Citizens and officers receive no broad S3 credentials.</w:t>
      </w:r>
    </w:p>
    <w:p>
      <w:pPr>
        <w:pStyle w:val="ListBullet"/>
      </w:pPr>
      <w:r>
        <w:t>Object metadata stores tenant_id, application_id, classification and retention policy identifiers.</w:t>
      </w:r>
    </w:p>
    <w:p>
      <w:pPr>
        <w:pStyle w:val="ListBullet"/>
      </w:pPr>
      <w:r>
        <w:t>Pooled tenants may use a cell-level KMS key; sensitive tenants may receive tenant-specific KMS keys.</w:t>
      </w:r>
    </w:p>
    <w:p>
      <w:pPr>
        <w:pStyle w:val="ListBullet"/>
      </w:pPr>
      <w:r>
        <w:t>Dedicated tenants may be moved to separate buckets/accounts without changing the domain model.</w:t>
      </w:r>
    </w:p>
    <w:p>
      <w:pPr>
        <w:pStyle w:val="ListBullet"/>
      </w:pPr>
      <w:r>
        <w:t>Lifecycle/retention is service-policy driven; tenant isolation applies throughout archive tiers.</w:t>
      </w:r>
    </w:p>
    <w:p>
      <w:pPr>
        <w:pStyle w:val="Heading1"/>
        <w:keepNext/>
      </w:pPr>
      <w:r>
        <w:t>12. Cache / Valkey Isolation</w:t>
      </w:r>
    </w:p>
    <w:p>
      <w:r>
        <w:t>Valkey is an acceleration layer and never an authority for isolation. Every tenant-owned cache key must carry tenant identity and cache invalidation must never cross tenant boundaries.</w:t>
      </w:r>
    </w:p>
    <w:p>
      <w:pPr>
        <w:pStyle w:val="CodeBlock"/>
      </w:pPr>
      <w:r>
        <w:t>TENANT:&lt;tenant_id&gt;:APPLICATION:&lt;application_id&gt;</w:t>
        <w:br/>
        <w:t>TENANT:&lt;tenant_id&gt;:SERVICE:&lt;service_id&gt;</w:t>
        <w:br/>
        <w:t>TENANT:&lt;tenant_id&gt;:RULESET:&lt;rule_version_id&gt;</w:t>
      </w:r>
    </w:p>
    <w:p>
      <w:pPr>
        <w:pStyle w:val="ListBullet"/>
      </w:pPr>
      <w:r>
        <w:t>No tenant-neutral cache key for tenant-owned data.</w:t>
      </w:r>
    </w:p>
    <w:p>
      <w:pPr>
        <w:pStyle w:val="ListBullet"/>
      </w:pPr>
      <w:r>
        <w:t>No sensitive citizen payloads unless justified and TTL-limited.</w:t>
      </w:r>
    </w:p>
    <w:p>
      <w:pPr>
        <w:pStyle w:val="ListBullet"/>
      </w:pPr>
      <w:r>
        <w:t>Cache misses must fall back to authoritative policy-protected stores.</w:t>
      </w:r>
    </w:p>
    <w:p>
      <w:pPr>
        <w:pStyle w:val="ListBullet"/>
      </w:pPr>
      <w:r>
        <w:t>Cache deletion must not expose stale cross-tenant data after reassignment.</w:t>
      </w:r>
    </w:p>
    <w:p>
      <w:pPr>
        <w:pStyle w:val="Heading1"/>
        <w:keepNext/>
      </w:pPr>
      <w:r>
        <w:t>13. Event / MSK Isolation</w:t>
      </w:r>
    </w:p>
    <w:p>
      <w:r>
        <w:t>Every domain event for tenant-scoped data must carry immutable tenant context. Consumers validate tenant context before processing and persist tenant-specific state under the same boundary.</w:t>
      </w:r>
    </w:p>
    <w:p>
      <w:pPr>
        <w:pStyle w:val="CodeBlock"/>
      </w:pPr>
      <w:r>
        <w:t>{</w:t>
        <w:br/>
        <w:t xml:space="preserve">  "eventId": "uuid",</w:t>
        <w:br/>
        <w:t xml:space="preserve">  "eventType": "ApplicationSubmitted",</w:t>
        <w:br/>
        <w:t xml:space="preserve">  "eventVersion": 1,</w:t>
        <w:br/>
        <w:t xml:space="preserve">  "cellId": "cell-01",</w:t>
        <w:br/>
        <w:t xml:space="preserve">  "tenantId": "uuid",</w:t>
        <w:br/>
        <w:t xml:space="preserve">  "aggregateId": "application-uuid",</w:t>
        <w:br/>
        <w:t xml:space="preserve">  "aggregateVersion": 5,</w:t>
        <w:br/>
        <w:t xml:space="preserve">  "occurredAt": "...",</w:t>
        <w:br/>
        <w:t xml:space="preserve">  "payload": { }</w:t>
        <w:br/>
        <w:t>}</w:t>
      </w:r>
    </w:p>
    <w:p>
      <w:pPr>
        <w:pStyle w:val="ListBullet"/>
      </w:pPr>
      <w:r>
        <w:t>Consumers must be idempotent.</w:t>
      </w:r>
    </w:p>
    <w:p>
      <w:pPr>
        <w:pStyle w:val="ListBullet"/>
      </w:pPr>
      <w:r>
        <w:t>Events must not contain unnecessary PII.</w:t>
      </w:r>
    </w:p>
    <w:p>
      <w:pPr>
        <w:pStyle w:val="ListBullet"/>
      </w:pPr>
      <w:r>
        <w:t>Large documents/payloads are referenced from S3 rather than embedded in events.</w:t>
      </w:r>
    </w:p>
    <w:p>
      <w:pPr>
        <w:pStyle w:val="ListBullet"/>
      </w:pPr>
      <w:r>
        <w:t>Dead-letter processing preserves tenant context.</w:t>
      </w:r>
    </w:p>
    <w:p>
      <w:pPr>
        <w:pStyle w:val="ListBullet"/>
      </w:pPr>
      <w:r>
        <w:t>Cross-tenant event aggregation requires an explicitly approved platform service.</w:t>
      </w:r>
    </w:p>
    <w:p>
      <w:pPr>
        <w:pStyle w:val="Heading1"/>
        <w:keepNext/>
      </w:pPr>
      <w:r>
        <w:t>14. Search / OpenSearch Isolation</w:t>
      </w:r>
    </w:p>
    <w:p>
      <w:r>
        <w:t>Search indexes are derived views, not systems of record. Every tenant-owned indexed document must include tenant_id, visibility and jurisdiction where applicable. Server-side filters must be injected independently of client query parameters.</w:t>
      </w:r>
    </w:p>
    <w:p>
      <w:pPr>
        <w:pStyle w:val="CodeBlock"/>
      </w:pPr>
      <w:r>
        <w:t>indexed_document:</w:t>
        <w:br/>
        <w:t xml:space="preserve">  tenant_id</w:t>
        <w:br/>
        <w:t xml:space="preserve">  jurisdiction_id</w:t>
        <w:br/>
        <w:t xml:space="preserve">  service_id</w:t>
        <w:br/>
        <w:t xml:space="preserve">  visibility</w:t>
        <w:br/>
        <w:t xml:space="preserve">  resource_id</w:t>
        <w:br/>
        <w:t xml:space="preserve">  searchable_fields...</w:t>
      </w:r>
    </w:p>
    <w:p>
      <w:pPr>
        <w:pStyle w:val="Callout"/>
        <w:shd w:fill="EEF4FF"/>
      </w:pPr>
      <w:r>
        <w:t>If the search index is deleted, it must be rebuildable from authoritative data/events. Search authorization must never rely on the client voluntarily passing a tenant filter.</w:t>
      </w:r>
    </w:p>
    <w:p>
      <w:pPr>
        <w:pStyle w:val="Heading1"/>
        <w:keepNext/>
      </w:pPr>
      <w:r>
        <w:t>15. Workflow / Temporal Isolation</w:t>
      </w:r>
    </w:p>
    <w:p>
      <w:r>
        <w:t>Every workflow instance must receive immutable tenant and service context at start. Task routing is based on organisation, office, jurisdiction, role and service configuration—not on hard-coded named officials.</w:t>
      </w:r>
    </w:p>
    <w:p>
      <w:pPr>
        <w:pStyle w:val="CodeBlock"/>
      </w:pPr>
      <w:r>
        <w:t>WorkflowContext {</w:t>
        <w:br/>
        <w:t xml:space="preserve">  workflow_id</w:t>
        <w:br/>
        <w:t xml:space="preserve">  tenant_id</w:t>
        <w:br/>
        <w:t xml:space="preserve">  application_id</w:t>
        <w:br/>
        <w:t xml:space="preserve">  service_offering_id</w:t>
        <w:br/>
        <w:t xml:space="preserve">  jurisdiction_id</w:t>
        <w:br/>
        <w:t xml:space="preserve">  organisation_id</w:t>
        <w:br/>
        <w:t xml:space="preserve">  workflow_version</w:t>
        <w:br/>
        <w:t>}</w:t>
      </w:r>
    </w:p>
    <w:p>
      <w:pPr>
        <w:pStyle w:val="ListBullet"/>
      </w:pPr>
      <w:r>
        <w:t>Workflow IDs and search attributes must include or reference tenant context.</w:t>
      </w:r>
    </w:p>
    <w:p>
      <w:pPr>
        <w:pStyle w:val="ListBullet"/>
      </w:pPr>
      <w:r>
        <w:t>Workers must validate tenant context before calling business APIs.</w:t>
      </w:r>
    </w:p>
    <w:p>
      <w:pPr>
        <w:pStyle w:val="ListBullet"/>
      </w:pPr>
      <w:r>
        <w:t>Task work-queues must be tenant-aware.</w:t>
      </w:r>
    </w:p>
    <w:p>
      <w:pPr>
        <w:pStyle w:val="ListBullet"/>
      </w:pPr>
      <w:r>
        <w:t>Cross-tenant workflow orchestration is prohibited unless implemented by an approved platform orchestration service.</w:t>
      </w:r>
    </w:p>
    <w:p>
      <w:pPr>
        <w:pStyle w:val="ListBullet"/>
      </w:pPr>
      <w:r>
        <w:t>Temporal persistence remains separate from ServiceForm business persistence.</w:t>
      </w:r>
    </w:p>
    <w:p>
      <w:pPr>
        <w:pStyle w:val="Heading1"/>
        <w:keepNext/>
      </w:pPr>
      <w:r>
        <w:t>16. Privileged Administration and Support Access</w:t>
      </w:r>
    </w:p>
    <w:p>
      <w:r>
        <w:t>Platform administrators must not receive unrestricted cross-tenant citizen-data access by default. Operational administration and data access are separate privileges.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120" w:type="dxa"/>
              <w:start w:w="100" w:type="dxa"/>
              <w:bottom w:w="120" w:type="dxa"/>
              <w:end w:w="100" w:type="dxa"/>
            </w:tcMar>
          </w:tcPr>
          <w:p>
            <w:r>
              <w:rPr>
                <w:b/>
                <w:color w:val="17365D"/>
                <w:sz w:val="18"/>
              </w:rPr>
              <w:t>Scenario</w:t>
            </w:r>
          </w:p>
        </w:tc>
        <w:tc>
          <w:tcPr>
            <w:tcW w:type="dxa" w:w="6768"/>
            <w:shd w:fill="D9EAF7"/>
            <w:vAlign w:val="center"/>
            <w:tcMar>
              <w:top w:w="120" w:type="dxa"/>
              <w:start w:w="100" w:type="dxa"/>
              <w:bottom w:w="120" w:type="dxa"/>
              <w:end w:w="100" w:type="dxa"/>
            </w:tcMar>
          </w:tcPr>
          <w:p>
            <w:r>
              <w:rPr>
                <w:b/>
                <w:color w:val="17365D"/>
                <w:sz w:val="18"/>
              </w:rPr>
              <w:t>Required control</w:t>
            </w:r>
          </w:p>
        </w:tc>
      </w:tr>
      <w:tr>
        <w:tc>
          <w:tcPr>
            <w:tcW w:type="dxa" w:w="2880"/>
            <w:vAlign w:val="center"/>
            <w:tcMar>
              <w:top w:w="100" w:type="dxa"/>
              <w:start w:w="100" w:type="dxa"/>
              <w:bottom w:w="100" w:type="dxa"/>
              <w:end w:w="100" w:type="dxa"/>
            </w:tcMar>
          </w:tcPr>
          <w:p>
            <w:r>
              <w:rPr>
                <w:sz w:val="18"/>
              </w:rPr>
              <w:t>Platform health/support</w:t>
            </w:r>
          </w:p>
        </w:tc>
        <w:tc>
          <w:tcPr>
            <w:tcW w:type="dxa" w:w="6768"/>
            <w:vAlign w:val="center"/>
            <w:tcMar>
              <w:top w:w="100" w:type="dxa"/>
              <w:start w:w="100" w:type="dxa"/>
              <w:bottom w:w="100" w:type="dxa"/>
              <w:end w:w="100" w:type="dxa"/>
            </w:tcMar>
          </w:tcPr>
          <w:p>
            <w:r>
              <w:rPr>
                <w:sz w:val="18"/>
              </w:rPr>
              <w:t>Metadata/telemetry access only; no citizen payload by default</w:t>
            </w:r>
          </w:p>
        </w:tc>
      </w:tr>
      <w:tr>
        <w:tc>
          <w:tcPr>
            <w:tcW w:type="dxa" w:w="2880"/>
            <w:vAlign w:val="center"/>
            <w:tcMar>
              <w:top w:w="100" w:type="dxa"/>
              <w:start w:w="100" w:type="dxa"/>
              <w:bottom w:w="100" w:type="dxa"/>
              <w:end w:w="100" w:type="dxa"/>
            </w:tcMar>
          </w:tcPr>
          <w:p>
            <w:r>
              <w:rPr>
                <w:sz w:val="18"/>
              </w:rPr>
              <w:t>Tenant support case</w:t>
            </w:r>
          </w:p>
        </w:tc>
        <w:tc>
          <w:tcPr>
            <w:tcW w:type="dxa" w:w="6768"/>
            <w:vAlign w:val="center"/>
            <w:tcMar>
              <w:top w:w="100" w:type="dxa"/>
              <w:start w:w="100" w:type="dxa"/>
              <w:bottom w:w="100" w:type="dxa"/>
              <w:end w:w="100" w:type="dxa"/>
            </w:tcMar>
          </w:tcPr>
          <w:p>
            <w:r>
              <w:rPr>
                <w:sz w:val="18"/>
              </w:rPr>
              <w:t>Approved support ticket + scoped tenant access + time-bound privilege</w:t>
            </w:r>
          </w:p>
        </w:tc>
      </w:tr>
      <w:tr>
        <w:tc>
          <w:tcPr>
            <w:tcW w:type="dxa" w:w="2880"/>
            <w:vAlign w:val="center"/>
            <w:tcMar>
              <w:top w:w="100" w:type="dxa"/>
              <w:start w:w="100" w:type="dxa"/>
              <w:bottom w:w="100" w:type="dxa"/>
              <w:end w:w="100" w:type="dxa"/>
            </w:tcMar>
          </w:tcPr>
          <w:p>
            <w:r>
              <w:rPr>
                <w:sz w:val="18"/>
              </w:rPr>
              <w:t>Emergency break-glass</w:t>
            </w:r>
          </w:p>
        </w:tc>
        <w:tc>
          <w:tcPr>
            <w:tcW w:type="dxa" w:w="6768"/>
            <w:vAlign w:val="center"/>
            <w:tcMar>
              <w:top w:w="100" w:type="dxa"/>
              <w:start w:w="100" w:type="dxa"/>
              <w:bottom w:w="100" w:type="dxa"/>
              <w:end w:w="100" w:type="dxa"/>
            </w:tcMar>
          </w:tcPr>
          <w:p>
            <w:r>
              <w:rPr>
                <w:sz w:val="18"/>
              </w:rPr>
              <w:t>Strong MFA + explicit justification + approval where feasible + full audit + auto-expiry</w:t>
            </w:r>
          </w:p>
        </w:tc>
      </w:tr>
      <w:tr>
        <w:tc>
          <w:tcPr>
            <w:tcW w:type="dxa" w:w="2880"/>
            <w:vAlign w:val="center"/>
            <w:tcMar>
              <w:top w:w="100" w:type="dxa"/>
              <w:start w:w="100" w:type="dxa"/>
              <w:bottom w:w="100" w:type="dxa"/>
              <w:end w:w="100" w:type="dxa"/>
            </w:tcMar>
          </w:tcPr>
          <w:p>
            <w:r>
              <w:rPr>
                <w:sz w:val="18"/>
              </w:rPr>
              <w:t>Data correction</w:t>
            </w:r>
          </w:p>
        </w:tc>
        <w:tc>
          <w:tcPr>
            <w:tcW w:type="dxa" w:w="6768"/>
            <w:vAlign w:val="center"/>
            <w:tcMar>
              <w:top w:w="100" w:type="dxa"/>
              <w:start w:w="100" w:type="dxa"/>
              <w:bottom w:w="100" w:type="dxa"/>
              <w:end w:w="100" w:type="dxa"/>
            </w:tcMar>
          </w:tcPr>
          <w:p>
            <w:r>
              <w:rPr>
                <w:sz w:val="18"/>
              </w:rPr>
              <w:t>Maker-checker workflow; reason code; before/after audit</w:t>
            </w:r>
          </w:p>
        </w:tc>
      </w:tr>
      <w:tr>
        <w:tc>
          <w:tcPr>
            <w:tcW w:type="dxa" w:w="2880"/>
            <w:vAlign w:val="center"/>
            <w:tcMar>
              <w:top w:w="100" w:type="dxa"/>
              <w:start w:w="100" w:type="dxa"/>
              <w:bottom w:w="100" w:type="dxa"/>
              <w:end w:w="100" w:type="dxa"/>
            </w:tcMar>
          </w:tcPr>
          <w:p>
            <w:r>
              <w:rPr>
                <w:sz w:val="18"/>
              </w:rPr>
              <w:t>Cross-tenant report</w:t>
            </w:r>
          </w:p>
        </w:tc>
        <w:tc>
          <w:tcPr>
            <w:tcW w:type="dxa" w:w="6768"/>
            <w:vAlign w:val="center"/>
            <w:tcMar>
              <w:top w:w="100" w:type="dxa"/>
              <w:start w:w="100" w:type="dxa"/>
              <w:bottom w:w="100" w:type="dxa"/>
              <w:end w:w="100" w:type="dxa"/>
            </w:tcMar>
          </w:tcPr>
          <w:p>
            <w:r>
              <w:rPr>
                <w:sz w:val="18"/>
              </w:rPr>
              <w:t>Dedicated authorized analytics service using minimum required fields; never ad-hoc production queries</w:t>
            </w:r>
          </w:p>
        </w:tc>
      </w:tr>
    </w:tbl>
    <w:p>
      <w:pPr>
        <w:spacing w:after="40"/>
      </w:pPr>
    </w:p>
    <w:p>
      <w:pPr>
        <w:pStyle w:val="Heading1"/>
        <w:keepNext/>
      </w:pPr>
      <w:r>
        <w:t>17. Cross-Tenant Data Sharing</w:t>
      </w:r>
    </w:p>
    <w:p>
      <w:r>
        <w:t>Cross-tenant sharing is not implemented by bypassing RLS. It is an explicit business capability with purpose, authority, data minimisation, consent/legal basis, expiry and audit.</w:t>
      </w:r>
    </w:p>
    <w:p>
      <w:pPr>
        <w:pStyle w:val="ListNumber"/>
      </w:pPr>
      <w:r>
        <w:t>Source tenant/resource owner authorizes a defined sharing purpose or an applicable legal rule provides the authority.</w:t>
      </w:r>
    </w:p>
    <w:p>
      <w:pPr>
        <w:pStyle w:val="ListNumber"/>
      </w:pPr>
      <w:r>
        <w:t>The sharing service creates a scoped grant referencing source tenant, recipient tenant, resource type, fields/purpose and expiry.</w:t>
      </w:r>
    </w:p>
    <w:p>
      <w:pPr>
        <w:pStyle w:val="ListNumber"/>
      </w:pPr>
      <w:r>
        <w:t>Recipient access is evaluated against the grant; source records remain source-tenant owned.</w:t>
      </w:r>
    </w:p>
    <w:p>
      <w:pPr>
        <w:pStyle w:val="ListNumber"/>
      </w:pPr>
      <w:r>
        <w:t>Every access is audited and grant revocation takes effect promptly.</w:t>
      </w:r>
    </w:p>
    <w:p>
      <w:pPr>
        <w:pStyle w:val="Heading1"/>
        <w:keepNext/>
      </w:pPr>
      <w:r>
        <w:t>18. Promotion from Pooled to Dedicated Isolation</w:t>
      </w:r>
    </w:p>
    <w:p>
      <w:r>
        <w:t>ServiceForm AI must support moving a tenant from pooled infrastructure to bridge/dedicated infrastructure without introducing tenant-specific application code.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Mar>
              <w:top w:w="120" w:type="dxa"/>
              <w:start w:w="100" w:type="dxa"/>
              <w:bottom w:w="120" w:type="dxa"/>
              <w:end w:w="100" w:type="dxa"/>
            </w:tcMar>
          </w:tcPr>
          <w:p>
            <w:r>
              <w:rPr>
                <w:b/>
                <w:color w:val="17365D"/>
                <w:sz w:val="18"/>
              </w:rPr>
              <w:t>Trigger</w:t>
            </w:r>
          </w:p>
        </w:tc>
        <w:tc>
          <w:tcPr>
            <w:tcW w:type="dxa" w:w="6480"/>
            <w:shd w:fill="D9EAF7"/>
            <w:vAlign w:val="center"/>
            <w:tcMar>
              <w:top w:w="120" w:type="dxa"/>
              <w:start w:w="100" w:type="dxa"/>
              <w:bottom w:w="120" w:type="dxa"/>
              <w:end w:w="100" w:type="dxa"/>
            </w:tcMar>
          </w:tcPr>
          <w:p>
            <w:r>
              <w:rPr>
                <w:b/>
                <w:color w:val="17365D"/>
                <w:sz w:val="18"/>
              </w:rPr>
              <w:t>Possible action</w:t>
            </w:r>
          </w:p>
        </w:tc>
      </w:tr>
      <w:tr>
        <w:tc>
          <w:tcPr>
            <w:tcW w:type="dxa" w:w="3168"/>
            <w:vAlign w:val="center"/>
            <w:tcMar>
              <w:top w:w="100" w:type="dxa"/>
              <w:start w:w="100" w:type="dxa"/>
              <w:bottom w:w="100" w:type="dxa"/>
              <w:end w:w="100" w:type="dxa"/>
            </w:tcMar>
          </w:tcPr>
          <w:p>
            <w:r>
              <w:rPr>
                <w:sz w:val="18"/>
              </w:rPr>
              <w:t>Large sustained load</w:t>
            </w:r>
          </w:p>
        </w:tc>
        <w:tc>
          <w:tcPr>
            <w:tcW w:type="dxa" w:w="6480"/>
            <w:vAlign w:val="center"/>
            <w:tcMar>
              <w:top w:w="100" w:type="dxa"/>
              <w:start w:w="100" w:type="dxa"/>
              <w:bottom w:w="100" w:type="dxa"/>
              <w:end w:w="100" w:type="dxa"/>
            </w:tcMar>
          </w:tcPr>
          <w:p>
            <w:r>
              <w:rPr>
                <w:sz w:val="18"/>
              </w:rPr>
              <w:t>Move tenant to dedicated application/database cell</w:t>
            </w:r>
          </w:p>
        </w:tc>
      </w:tr>
      <w:tr>
        <w:tc>
          <w:tcPr>
            <w:tcW w:type="dxa" w:w="3168"/>
            <w:vAlign w:val="center"/>
            <w:tcMar>
              <w:top w:w="100" w:type="dxa"/>
              <w:start w:w="100" w:type="dxa"/>
              <w:bottom w:w="100" w:type="dxa"/>
              <w:end w:w="100" w:type="dxa"/>
            </w:tcMar>
          </w:tcPr>
          <w:p>
            <w:r>
              <w:rPr>
                <w:sz w:val="18"/>
              </w:rPr>
              <w:t>Sensitive programme</w:t>
            </w:r>
          </w:p>
        </w:tc>
        <w:tc>
          <w:tcPr>
            <w:tcW w:type="dxa" w:w="6480"/>
            <w:vAlign w:val="center"/>
            <w:tcMar>
              <w:top w:w="100" w:type="dxa"/>
              <w:start w:w="100" w:type="dxa"/>
              <w:bottom w:w="100" w:type="dxa"/>
              <w:end w:w="100" w:type="dxa"/>
            </w:tcMar>
          </w:tcPr>
          <w:p>
            <w:r>
              <w:rPr>
                <w:sz w:val="18"/>
              </w:rPr>
              <w:t>Dedicated database, bucket/KMS key, search index or account</w:t>
            </w:r>
          </w:p>
        </w:tc>
      </w:tr>
      <w:tr>
        <w:tc>
          <w:tcPr>
            <w:tcW w:type="dxa" w:w="3168"/>
            <w:vAlign w:val="center"/>
            <w:tcMar>
              <w:top w:w="100" w:type="dxa"/>
              <w:start w:w="100" w:type="dxa"/>
              <w:bottom w:w="100" w:type="dxa"/>
              <w:end w:w="100" w:type="dxa"/>
            </w:tcMar>
          </w:tcPr>
          <w:p>
            <w:r>
              <w:rPr>
                <w:sz w:val="18"/>
              </w:rPr>
              <w:t>Regulatory/security requirement</w:t>
            </w:r>
          </w:p>
        </w:tc>
        <w:tc>
          <w:tcPr>
            <w:tcW w:type="dxa" w:w="6480"/>
            <w:vAlign w:val="center"/>
            <w:tcMar>
              <w:top w:w="100" w:type="dxa"/>
              <w:start w:w="100" w:type="dxa"/>
              <w:bottom w:w="100" w:type="dxa"/>
              <w:end w:w="100" w:type="dxa"/>
            </w:tcMar>
          </w:tcPr>
          <w:p>
            <w:r>
              <w:rPr>
                <w:sz w:val="18"/>
              </w:rPr>
              <w:t>Dedicated cell or AWS account boundary</w:t>
            </w:r>
          </w:p>
        </w:tc>
      </w:tr>
      <w:tr>
        <w:tc>
          <w:tcPr>
            <w:tcW w:type="dxa" w:w="3168"/>
            <w:vAlign w:val="center"/>
            <w:tcMar>
              <w:top w:w="100" w:type="dxa"/>
              <w:start w:w="100" w:type="dxa"/>
              <w:bottom w:w="100" w:type="dxa"/>
              <w:end w:w="100" w:type="dxa"/>
            </w:tcMar>
          </w:tcPr>
          <w:p>
            <w:r>
              <w:rPr>
                <w:sz w:val="18"/>
              </w:rPr>
              <w:t>Noisy-neighbour risk</w:t>
            </w:r>
          </w:p>
        </w:tc>
        <w:tc>
          <w:tcPr>
            <w:tcW w:type="dxa" w:w="6480"/>
            <w:vAlign w:val="center"/>
            <w:tcMar>
              <w:top w:w="100" w:type="dxa"/>
              <w:start w:w="100" w:type="dxa"/>
              <w:bottom w:w="100" w:type="dxa"/>
              <w:end w:w="100" w:type="dxa"/>
            </w:tcMar>
          </w:tcPr>
          <w:p>
            <w:r>
              <w:rPr>
                <w:sz w:val="18"/>
              </w:rPr>
              <w:t>Rebalance tenant to another pooled cell or dedicated cell</w:t>
            </w:r>
          </w:p>
        </w:tc>
      </w:tr>
      <w:tr>
        <w:tc>
          <w:tcPr>
            <w:tcW w:type="dxa" w:w="3168"/>
            <w:vAlign w:val="center"/>
            <w:tcMar>
              <w:top w:w="100" w:type="dxa"/>
              <w:start w:w="100" w:type="dxa"/>
              <w:bottom w:w="100" w:type="dxa"/>
              <w:end w:w="100" w:type="dxa"/>
            </w:tcMar>
          </w:tcPr>
          <w:p>
            <w:r>
              <w:rPr>
                <w:sz w:val="18"/>
              </w:rPr>
              <w:t>Disaster/blast-radius requirement</w:t>
            </w:r>
          </w:p>
        </w:tc>
        <w:tc>
          <w:tcPr>
            <w:tcW w:type="dxa" w:w="6480"/>
            <w:vAlign w:val="center"/>
            <w:tcMar>
              <w:top w:w="100" w:type="dxa"/>
              <w:start w:w="100" w:type="dxa"/>
              <w:bottom w:w="100" w:type="dxa"/>
              <w:end w:w="100" w:type="dxa"/>
            </w:tcMar>
          </w:tcPr>
          <w:p>
            <w:r>
              <w:rPr>
                <w:sz w:val="18"/>
              </w:rPr>
              <w:t>Separate operational dependency boundary</w:t>
            </w:r>
          </w:p>
        </w:tc>
      </w:tr>
    </w:tbl>
    <w:p>
      <w:pPr>
        <w:spacing w:after="40"/>
      </w:pPr>
    </w:p>
    <w:p>
      <w:r>
        <w:t>Tenant placement must be configuration-driven. A routing/control-plane service resolves tenant → cell. Domain services operate using tenant context and do not need to know whether the tenant is pooled or dedicated.</w:t>
      </w:r>
    </w:p>
    <w:p>
      <w:pPr>
        <w:pStyle w:val="Heading1"/>
        <w:keepNext/>
      </w:pPr>
      <w:r>
        <w:t>19. Logging, Audit and Observability Isolation</w:t>
      </w:r>
    </w:p>
    <w:p>
      <w:pPr>
        <w:pStyle w:val="ListBullet"/>
      </w:pPr>
      <w:r>
        <w:t>Every structured application log carries cell_id, tenant_id (where applicable), service/component and trace_id.</w:t>
      </w:r>
    </w:p>
    <w:p>
      <w:pPr>
        <w:pStyle w:val="ListBullet"/>
      </w:pPr>
      <w:r>
        <w:t>PII and document content must not be written to operational logs.</w:t>
      </w:r>
    </w:p>
    <w:p>
      <w:pPr>
        <w:pStyle w:val="ListBullet"/>
      </w:pPr>
      <w:r>
        <w:t>Platform operations teams may view aggregate metrics across tenants without automatically gaining row/document access.</w:t>
      </w:r>
    </w:p>
    <w:p>
      <w:pPr>
        <w:pStyle w:val="ListBullet"/>
      </w:pPr>
      <w:r>
        <w:t>Tenant administrators see only their tenant’s operational/business dashboards unless an explicit global role exists.</w:t>
      </w:r>
    </w:p>
    <w:p>
      <w:pPr>
        <w:pStyle w:val="ListBullet"/>
      </w:pPr>
      <w:r>
        <w:t>Audit trails record actor, tenant, action, resource, purpose, decision, timestamp and trace correlation.</w:t>
      </w:r>
    </w:p>
    <w:p>
      <w:pPr>
        <w:pStyle w:val="ListBullet"/>
      </w:pPr>
      <w:r>
        <w:t>Security alerts for suspected cross-tenant access are high severity and trigger incident response.</w:t>
      </w:r>
    </w:p>
    <w:p>
      <w:pPr>
        <w:pStyle w:val="Heading1"/>
        <w:keepNext/>
      </w:pPr>
      <w:r>
        <w:t>20. Mandatory Tenant-Isolation Test Strategy</w:t>
      </w:r>
    </w:p>
    <w:p>
      <w:r>
        <w:t>Tenant isolation is a release gate. Positive tests are insufficient; every critical API/repository/workflow/search path requires negative cross-tenant tests.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D9EAF7"/>
            <w:vAlign w:val="center"/>
            <w:tcMar>
              <w:top w:w="120" w:type="dxa"/>
              <w:start w:w="100" w:type="dxa"/>
              <w:bottom w:w="120" w:type="dxa"/>
              <w:end w:w="100" w:type="dxa"/>
            </w:tcMar>
          </w:tcPr>
          <w:p>
            <w:r>
              <w:rPr>
                <w:b/>
                <w:color w:val="17365D"/>
                <w:sz w:val="18"/>
              </w:rPr>
              <w:t>Test ID</w:t>
            </w:r>
          </w:p>
        </w:tc>
        <w:tc>
          <w:tcPr>
            <w:tcW w:type="dxa" w:w="6912"/>
            <w:shd w:fill="D9EAF7"/>
            <w:vAlign w:val="center"/>
            <w:tcMar>
              <w:top w:w="120" w:type="dxa"/>
              <w:start w:w="100" w:type="dxa"/>
              <w:bottom w:w="120" w:type="dxa"/>
              <w:end w:w="100" w:type="dxa"/>
            </w:tcMar>
          </w:tcPr>
          <w:p>
            <w:r>
              <w:rPr>
                <w:b/>
                <w:color w:val="17365D"/>
                <w:sz w:val="18"/>
              </w:rPr>
              <w:t>Scenario</w:t>
            </w:r>
          </w:p>
        </w:tc>
        <w:tc>
          <w:tcPr>
            <w:tcW w:type="dxa" w:w="1584"/>
            <w:shd w:fill="D9EAF7"/>
            <w:vAlign w:val="center"/>
            <w:tcMar>
              <w:top w:w="120" w:type="dxa"/>
              <w:start w:w="100" w:type="dxa"/>
              <w:bottom w:w="120" w:type="dxa"/>
              <w:end w:w="100" w:type="dxa"/>
            </w:tcMar>
          </w:tcPr>
          <w:p>
            <w:r>
              <w:rPr>
                <w:b/>
                <w:color w:val="17365D"/>
                <w:sz w:val="18"/>
              </w:rPr>
              <w:t>Expected</w:t>
            </w:r>
          </w:p>
        </w:tc>
      </w:tr>
      <w:tr>
        <w:tc>
          <w:tcPr>
            <w:tcW w:type="dxa" w:w="1440"/>
            <w:vAlign w:val="center"/>
            <w:tcMar>
              <w:top w:w="100" w:type="dxa"/>
              <w:start w:w="100" w:type="dxa"/>
              <w:bottom w:w="100" w:type="dxa"/>
              <w:end w:w="100" w:type="dxa"/>
            </w:tcMar>
          </w:tcPr>
          <w:p>
            <w:r>
              <w:rPr>
                <w:sz w:val="18"/>
              </w:rPr>
              <w:t>TI-001</w:t>
            </w:r>
          </w:p>
        </w:tc>
        <w:tc>
          <w:tcPr>
            <w:tcW w:type="dxa" w:w="6912"/>
            <w:vAlign w:val="center"/>
            <w:tcMar>
              <w:top w:w="100" w:type="dxa"/>
              <w:start w:w="100" w:type="dxa"/>
              <w:bottom w:w="100" w:type="dxa"/>
              <w:end w:w="100" w:type="dxa"/>
            </w:tcMar>
          </w:tcPr>
          <w:p>
            <w:r>
              <w:rPr>
                <w:sz w:val="18"/>
              </w:rPr>
              <w:t>Tenant A reads own application</w:t>
            </w:r>
          </w:p>
        </w:tc>
        <w:tc>
          <w:tcPr>
            <w:tcW w:type="dxa" w:w="1584"/>
            <w:vAlign w:val="center"/>
            <w:tcMar>
              <w:top w:w="100" w:type="dxa"/>
              <w:start w:w="100" w:type="dxa"/>
              <w:bottom w:w="100" w:type="dxa"/>
              <w:end w:w="100" w:type="dxa"/>
            </w:tcMar>
          </w:tcPr>
          <w:p>
            <w:r>
              <w:rPr>
                <w:sz w:val="18"/>
              </w:rPr>
              <w:t>ALLOW</w:t>
            </w:r>
          </w:p>
        </w:tc>
      </w:tr>
      <w:tr>
        <w:tc>
          <w:tcPr>
            <w:tcW w:type="dxa" w:w="1440"/>
            <w:vAlign w:val="center"/>
            <w:tcMar>
              <w:top w:w="100" w:type="dxa"/>
              <w:start w:w="100" w:type="dxa"/>
              <w:bottom w:w="100" w:type="dxa"/>
              <w:end w:w="100" w:type="dxa"/>
            </w:tcMar>
          </w:tcPr>
          <w:p>
            <w:r>
              <w:rPr>
                <w:sz w:val="18"/>
              </w:rPr>
              <w:t>TI-002</w:t>
            </w:r>
          </w:p>
        </w:tc>
        <w:tc>
          <w:tcPr>
            <w:tcW w:type="dxa" w:w="6912"/>
            <w:vAlign w:val="center"/>
            <w:tcMar>
              <w:top w:w="100" w:type="dxa"/>
              <w:start w:w="100" w:type="dxa"/>
              <w:bottom w:w="100" w:type="dxa"/>
              <w:end w:w="100" w:type="dxa"/>
            </w:tcMar>
          </w:tcPr>
          <w:p>
            <w:r>
              <w:rPr>
                <w:sz w:val="18"/>
              </w:rPr>
              <w:t>Tenant A reads Tenant B application by guessed ID</w:t>
            </w:r>
          </w:p>
        </w:tc>
        <w:tc>
          <w:tcPr>
            <w:tcW w:type="dxa" w:w="1584"/>
            <w:vAlign w:val="center"/>
            <w:tcMar>
              <w:top w:w="100" w:type="dxa"/>
              <w:start w:w="100" w:type="dxa"/>
              <w:bottom w:w="100" w:type="dxa"/>
              <w:end w:w="100" w:type="dxa"/>
            </w:tcMar>
          </w:tcPr>
          <w:p>
            <w:r>
              <w:rPr>
                <w:sz w:val="18"/>
              </w:rPr>
              <w:t>DENY / not found</w:t>
            </w:r>
          </w:p>
        </w:tc>
      </w:tr>
      <w:tr>
        <w:tc>
          <w:tcPr>
            <w:tcW w:type="dxa" w:w="1440"/>
            <w:vAlign w:val="center"/>
            <w:tcMar>
              <w:top w:w="100" w:type="dxa"/>
              <w:start w:w="100" w:type="dxa"/>
              <w:bottom w:w="100" w:type="dxa"/>
              <w:end w:w="100" w:type="dxa"/>
            </w:tcMar>
          </w:tcPr>
          <w:p>
            <w:r>
              <w:rPr>
                <w:sz w:val="18"/>
              </w:rPr>
              <w:t>TI-003</w:t>
            </w:r>
          </w:p>
        </w:tc>
        <w:tc>
          <w:tcPr>
            <w:tcW w:type="dxa" w:w="6912"/>
            <w:vAlign w:val="center"/>
            <w:tcMar>
              <w:top w:w="100" w:type="dxa"/>
              <w:start w:w="100" w:type="dxa"/>
              <w:bottom w:w="100" w:type="dxa"/>
              <w:end w:w="100" w:type="dxa"/>
            </w:tcMar>
          </w:tcPr>
          <w:p>
            <w:r>
              <w:rPr>
                <w:sz w:val="18"/>
              </w:rPr>
              <w:t>Tenant A officer changes client-supplied tenant header to B</w:t>
            </w:r>
          </w:p>
        </w:tc>
        <w:tc>
          <w:tcPr>
            <w:tcW w:type="dxa" w:w="1584"/>
            <w:vAlign w:val="center"/>
            <w:tcMar>
              <w:top w:w="100" w:type="dxa"/>
              <w:start w:w="100" w:type="dxa"/>
              <w:bottom w:w="100" w:type="dxa"/>
              <w:end w:w="100" w:type="dxa"/>
            </w:tcMar>
          </w:tcPr>
          <w:p>
            <w:r>
              <w:rPr>
                <w:sz w:val="18"/>
              </w:rPr>
              <w:t>DENY</w:t>
            </w:r>
          </w:p>
        </w:tc>
      </w:tr>
      <w:tr>
        <w:tc>
          <w:tcPr>
            <w:tcW w:type="dxa" w:w="1440"/>
            <w:vAlign w:val="center"/>
            <w:tcMar>
              <w:top w:w="100" w:type="dxa"/>
              <w:start w:w="100" w:type="dxa"/>
              <w:bottom w:w="100" w:type="dxa"/>
              <w:end w:w="100" w:type="dxa"/>
            </w:tcMar>
          </w:tcPr>
          <w:p>
            <w:r>
              <w:rPr>
                <w:sz w:val="18"/>
              </w:rPr>
              <w:t>TI-004</w:t>
            </w:r>
          </w:p>
        </w:tc>
        <w:tc>
          <w:tcPr>
            <w:tcW w:type="dxa" w:w="6912"/>
            <w:vAlign w:val="center"/>
            <w:tcMar>
              <w:top w:w="100" w:type="dxa"/>
              <w:start w:w="100" w:type="dxa"/>
              <w:bottom w:w="100" w:type="dxa"/>
              <w:end w:w="100" w:type="dxa"/>
            </w:tcMar>
          </w:tcPr>
          <w:p>
            <w:r>
              <w:rPr>
                <w:sz w:val="18"/>
              </w:rPr>
              <w:t>Repository query omits tenant predicate while RLS active</w:t>
            </w:r>
          </w:p>
        </w:tc>
        <w:tc>
          <w:tcPr>
            <w:tcW w:type="dxa" w:w="1584"/>
            <w:vAlign w:val="center"/>
            <w:tcMar>
              <w:top w:w="100" w:type="dxa"/>
              <w:start w:w="100" w:type="dxa"/>
              <w:bottom w:w="100" w:type="dxa"/>
              <w:end w:w="100" w:type="dxa"/>
            </w:tcMar>
          </w:tcPr>
          <w:p>
            <w:r>
              <w:rPr>
                <w:sz w:val="18"/>
              </w:rPr>
              <w:t>Only active tenant rows visible</w:t>
            </w:r>
          </w:p>
        </w:tc>
      </w:tr>
      <w:tr>
        <w:tc>
          <w:tcPr>
            <w:tcW w:type="dxa" w:w="1440"/>
            <w:vAlign w:val="center"/>
            <w:tcMar>
              <w:top w:w="100" w:type="dxa"/>
              <w:start w:w="100" w:type="dxa"/>
              <w:bottom w:w="100" w:type="dxa"/>
              <w:end w:w="100" w:type="dxa"/>
            </w:tcMar>
          </w:tcPr>
          <w:p>
            <w:r>
              <w:rPr>
                <w:sz w:val="18"/>
              </w:rPr>
              <w:t>TI-005</w:t>
            </w:r>
          </w:p>
        </w:tc>
        <w:tc>
          <w:tcPr>
            <w:tcW w:type="dxa" w:w="6912"/>
            <w:vAlign w:val="center"/>
            <w:tcMar>
              <w:top w:w="100" w:type="dxa"/>
              <w:start w:w="100" w:type="dxa"/>
              <w:bottom w:w="100" w:type="dxa"/>
              <w:end w:w="100" w:type="dxa"/>
            </w:tcMar>
          </w:tcPr>
          <w:p>
            <w:r>
              <w:rPr>
                <w:sz w:val="18"/>
              </w:rPr>
              <w:t>Background job attempts wrong tenant context</w:t>
            </w:r>
          </w:p>
        </w:tc>
        <w:tc>
          <w:tcPr>
            <w:tcW w:type="dxa" w:w="1584"/>
            <w:vAlign w:val="center"/>
            <w:tcMar>
              <w:top w:w="100" w:type="dxa"/>
              <w:start w:w="100" w:type="dxa"/>
              <w:bottom w:w="100" w:type="dxa"/>
              <w:end w:w="100" w:type="dxa"/>
            </w:tcMar>
          </w:tcPr>
          <w:p>
            <w:r>
              <w:rPr>
                <w:sz w:val="18"/>
              </w:rPr>
              <w:t>DENY + alert</w:t>
            </w:r>
          </w:p>
        </w:tc>
      </w:tr>
      <w:tr>
        <w:tc>
          <w:tcPr>
            <w:tcW w:type="dxa" w:w="1440"/>
            <w:vAlign w:val="center"/>
            <w:tcMar>
              <w:top w:w="100" w:type="dxa"/>
              <w:start w:w="100" w:type="dxa"/>
              <w:bottom w:w="100" w:type="dxa"/>
              <w:end w:w="100" w:type="dxa"/>
            </w:tcMar>
          </w:tcPr>
          <w:p>
            <w:r>
              <w:rPr>
                <w:sz w:val="18"/>
              </w:rPr>
              <w:t>TI-006</w:t>
            </w:r>
          </w:p>
        </w:tc>
        <w:tc>
          <w:tcPr>
            <w:tcW w:type="dxa" w:w="6912"/>
            <w:vAlign w:val="center"/>
            <w:tcMar>
              <w:top w:w="100" w:type="dxa"/>
              <w:start w:w="100" w:type="dxa"/>
              <w:bottom w:w="100" w:type="dxa"/>
              <w:end w:w="100" w:type="dxa"/>
            </w:tcMar>
          </w:tcPr>
          <w:p>
            <w:r>
              <w:rPr>
                <w:sz w:val="18"/>
              </w:rPr>
              <w:t>Search query requests another tenant filter</w:t>
            </w:r>
          </w:p>
        </w:tc>
        <w:tc>
          <w:tcPr>
            <w:tcW w:type="dxa" w:w="1584"/>
            <w:vAlign w:val="center"/>
            <w:tcMar>
              <w:top w:w="100" w:type="dxa"/>
              <w:start w:w="100" w:type="dxa"/>
              <w:bottom w:w="100" w:type="dxa"/>
              <w:end w:w="100" w:type="dxa"/>
            </w:tcMar>
          </w:tcPr>
          <w:p>
            <w:r>
              <w:rPr>
                <w:sz w:val="18"/>
              </w:rPr>
              <w:t>Server overrides/denies</w:t>
            </w:r>
          </w:p>
        </w:tc>
      </w:tr>
      <w:tr>
        <w:tc>
          <w:tcPr>
            <w:tcW w:type="dxa" w:w="1440"/>
            <w:vAlign w:val="center"/>
            <w:tcMar>
              <w:top w:w="100" w:type="dxa"/>
              <w:start w:w="100" w:type="dxa"/>
              <w:bottom w:w="100" w:type="dxa"/>
              <w:end w:w="100" w:type="dxa"/>
            </w:tcMar>
          </w:tcPr>
          <w:p>
            <w:r>
              <w:rPr>
                <w:sz w:val="18"/>
              </w:rPr>
              <w:t>TI-007</w:t>
            </w:r>
          </w:p>
        </w:tc>
        <w:tc>
          <w:tcPr>
            <w:tcW w:type="dxa" w:w="6912"/>
            <w:vAlign w:val="center"/>
            <w:tcMar>
              <w:top w:w="100" w:type="dxa"/>
              <w:start w:w="100" w:type="dxa"/>
              <w:bottom w:w="100" w:type="dxa"/>
              <w:end w:w="100" w:type="dxa"/>
            </w:tcMar>
          </w:tcPr>
          <w:p>
            <w:r>
              <w:rPr>
                <w:sz w:val="18"/>
              </w:rPr>
              <w:t>Signed S3 URL for wrong tenant document</w:t>
            </w:r>
          </w:p>
        </w:tc>
        <w:tc>
          <w:tcPr>
            <w:tcW w:type="dxa" w:w="1584"/>
            <w:vAlign w:val="center"/>
            <w:tcMar>
              <w:top w:w="100" w:type="dxa"/>
              <w:start w:w="100" w:type="dxa"/>
              <w:bottom w:w="100" w:type="dxa"/>
              <w:end w:w="100" w:type="dxa"/>
            </w:tcMar>
          </w:tcPr>
          <w:p>
            <w:r>
              <w:rPr>
                <w:sz w:val="18"/>
              </w:rPr>
              <w:t>DENY</w:t>
            </w:r>
          </w:p>
        </w:tc>
      </w:tr>
      <w:tr>
        <w:tc>
          <w:tcPr>
            <w:tcW w:type="dxa" w:w="1440"/>
            <w:vAlign w:val="center"/>
            <w:tcMar>
              <w:top w:w="100" w:type="dxa"/>
              <w:start w:w="100" w:type="dxa"/>
              <w:bottom w:w="100" w:type="dxa"/>
              <w:end w:w="100" w:type="dxa"/>
            </w:tcMar>
          </w:tcPr>
          <w:p>
            <w:r>
              <w:rPr>
                <w:sz w:val="18"/>
              </w:rPr>
              <w:t>TI-008</w:t>
            </w:r>
          </w:p>
        </w:tc>
        <w:tc>
          <w:tcPr>
            <w:tcW w:type="dxa" w:w="6912"/>
            <w:vAlign w:val="center"/>
            <w:tcMar>
              <w:top w:w="100" w:type="dxa"/>
              <w:start w:w="100" w:type="dxa"/>
              <w:bottom w:w="100" w:type="dxa"/>
              <w:end w:w="100" w:type="dxa"/>
            </w:tcMar>
          </w:tcPr>
          <w:p>
            <w:r>
              <w:rPr>
                <w:sz w:val="18"/>
              </w:rPr>
              <w:t>Workflow task from another tenant is claimed</w:t>
            </w:r>
          </w:p>
        </w:tc>
        <w:tc>
          <w:tcPr>
            <w:tcW w:type="dxa" w:w="1584"/>
            <w:vAlign w:val="center"/>
            <w:tcMar>
              <w:top w:w="100" w:type="dxa"/>
              <w:start w:w="100" w:type="dxa"/>
              <w:bottom w:w="100" w:type="dxa"/>
              <w:end w:w="100" w:type="dxa"/>
            </w:tcMar>
          </w:tcPr>
          <w:p>
            <w:r>
              <w:rPr>
                <w:sz w:val="18"/>
              </w:rPr>
              <w:t>DENY</w:t>
            </w:r>
          </w:p>
        </w:tc>
      </w:tr>
      <w:tr>
        <w:tc>
          <w:tcPr>
            <w:tcW w:type="dxa" w:w="1440"/>
            <w:vAlign w:val="center"/>
            <w:tcMar>
              <w:top w:w="100" w:type="dxa"/>
              <w:start w:w="100" w:type="dxa"/>
              <w:bottom w:w="100" w:type="dxa"/>
              <w:end w:w="100" w:type="dxa"/>
            </w:tcMar>
          </w:tcPr>
          <w:p>
            <w:r>
              <w:rPr>
                <w:sz w:val="18"/>
              </w:rPr>
              <w:t>TI-009</w:t>
            </w:r>
          </w:p>
        </w:tc>
        <w:tc>
          <w:tcPr>
            <w:tcW w:type="dxa" w:w="6912"/>
            <w:vAlign w:val="center"/>
            <w:tcMar>
              <w:top w:w="100" w:type="dxa"/>
              <w:start w:w="100" w:type="dxa"/>
              <w:bottom w:w="100" w:type="dxa"/>
              <w:end w:w="100" w:type="dxa"/>
            </w:tcMar>
          </w:tcPr>
          <w:p>
            <w:r>
              <w:rPr>
                <w:sz w:val="18"/>
              </w:rPr>
              <w:t>Cache key collision across tenants</w:t>
            </w:r>
          </w:p>
        </w:tc>
        <w:tc>
          <w:tcPr>
            <w:tcW w:type="dxa" w:w="1584"/>
            <w:vAlign w:val="center"/>
            <w:tcMar>
              <w:top w:w="100" w:type="dxa"/>
              <w:start w:w="100" w:type="dxa"/>
              <w:bottom w:w="100" w:type="dxa"/>
              <w:end w:w="100" w:type="dxa"/>
            </w:tcMar>
          </w:tcPr>
          <w:p>
            <w:r>
              <w:rPr>
                <w:sz w:val="18"/>
              </w:rPr>
              <w:t>No collision / wrong data never returned</w:t>
            </w:r>
          </w:p>
        </w:tc>
      </w:tr>
      <w:tr>
        <w:tc>
          <w:tcPr>
            <w:tcW w:type="dxa" w:w="1440"/>
            <w:vAlign w:val="center"/>
            <w:tcMar>
              <w:top w:w="100" w:type="dxa"/>
              <w:start w:w="100" w:type="dxa"/>
              <w:bottom w:w="100" w:type="dxa"/>
              <w:end w:w="100" w:type="dxa"/>
            </w:tcMar>
          </w:tcPr>
          <w:p>
            <w:r>
              <w:rPr>
                <w:sz w:val="18"/>
              </w:rPr>
              <w:t>TI-010</w:t>
            </w:r>
          </w:p>
        </w:tc>
        <w:tc>
          <w:tcPr>
            <w:tcW w:type="dxa" w:w="6912"/>
            <w:vAlign w:val="center"/>
            <w:tcMar>
              <w:top w:w="100" w:type="dxa"/>
              <w:start w:w="100" w:type="dxa"/>
              <w:bottom w:w="100" w:type="dxa"/>
              <w:end w:w="100" w:type="dxa"/>
            </w:tcMar>
          </w:tcPr>
          <w:p>
            <w:r>
              <w:rPr>
                <w:sz w:val="18"/>
              </w:rPr>
              <w:t>Privileged support access expires</w:t>
            </w:r>
          </w:p>
        </w:tc>
        <w:tc>
          <w:tcPr>
            <w:tcW w:type="dxa" w:w="1584"/>
            <w:vAlign w:val="center"/>
            <w:tcMar>
              <w:top w:w="100" w:type="dxa"/>
              <w:start w:w="100" w:type="dxa"/>
              <w:bottom w:w="100" w:type="dxa"/>
              <w:end w:w="100" w:type="dxa"/>
            </w:tcMar>
          </w:tcPr>
          <w:p>
            <w:r>
              <w:rPr>
                <w:sz w:val="18"/>
              </w:rPr>
              <w:t>Access revoked automatically</w:t>
            </w:r>
          </w:p>
        </w:tc>
      </w:tr>
      <w:tr>
        <w:tc>
          <w:tcPr>
            <w:tcW w:type="dxa" w:w="1440"/>
            <w:vAlign w:val="center"/>
            <w:tcMar>
              <w:top w:w="100" w:type="dxa"/>
              <w:start w:w="100" w:type="dxa"/>
              <w:bottom w:w="100" w:type="dxa"/>
              <w:end w:w="100" w:type="dxa"/>
            </w:tcMar>
          </w:tcPr>
          <w:p>
            <w:r>
              <w:rPr>
                <w:sz w:val="18"/>
              </w:rPr>
              <w:t>TI-011</w:t>
            </w:r>
          </w:p>
        </w:tc>
        <w:tc>
          <w:tcPr>
            <w:tcW w:type="dxa" w:w="6912"/>
            <w:vAlign w:val="center"/>
            <w:tcMar>
              <w:top w:w="100" w:type="dxa"/>
              <w:start w:w="100" w:type="dxa"/>
              <w:bottom w:w="100" w:type="dxa"/>
              <w:end w:w="100" w:type="dxa"/>
            </w:tcMar>
          </w:tcPr>
          <w:p>
            <w:r>
              <w:rPr>
                <w:sz w:val="18"/>
              </w:rPr>
              <w:t>Tenant moved pooled → dedicated</w:t>
            </w:r>
          </w:p>
        </w:tc>
        <w:tc>
          <w:tcPr>
            <w:tcW w:type="dxa" w:w="1584"/>
            <w:vAlign w:val="center"/>
            <w:tcMar>
              <w:top w:w="100" w:type="dxa"/>
              <w:start w:w="100" w:type="dxa"/>
              <w:bottom w:w="100" w:type="dxa"/>
              <w:end w:w="100" w:type="dxa"/>
            </w:tcMar>
          </w:tcPr>
          <w:p>
            <w:r>
              <w:rPr>
                <w:sz w:val="18"/>
              </w:rPr>
              <w:t>No functional change; isolation tests remain green</w:t>
            </w:r>
          </w:p>
        </w:tc>
      </w:tr>
      <w:tr>
        <w:tc>
          <w:tcPr>
            <w:tcW w:type="dxa" w:w="1440"/>
            <w:vAlign w:val="center"/>
            <w:tcMar>
              <w:top w:w="100" w:type="dxa"/>
              <w:start w:w="100" w:type="dxa"/>
              <w:bottom w:w="100" w:type="dxa"/>
              <w:end w:w="100" w:type="dxa"/>
            </w:tcMar>
          </w:tcPr>
          <w:p>
            <w:r>
              <w:rPr>
                <w:sz w:val="18"/>
              </w:rPr>
              <w:t>TI-012</w:t>
            </w:r>
          </w:p>
        </w:tc>
        <w:tc>
          <w:tcPr>
            <w:tcW w:type="dxa" w:w="6912"/>
            <w:vAlign w:val="center"/>
            <w:tcMar>
              <w:top w:w="100" w:type="dxa"/>
              <w:start w:w="100" w:type="dxa"/>
              <w:bottom w:w="100" w:type="dxa"/>
              <w:end w:w="100" w:type="dxa"/>
            </w:tcMar>
          </w:tcPr>
          <w:p>
            <w:r>
              <w:rPr>
                <w:sz w:val="18"/>
              </w:rPr>
              <w:t>Citizen uses services from two tenants</w:t>
            </w:r>
          </w:p>
        </w:tc>
        <w:tc>
          <w:tcPr>
            <w:tcW w:type="dxa" w:w="1584"/>
            <w:vAlign w:val="center"/>
            <w:tcMar>
              <w:top w:w="100" w:type="dxa"/>
              <w:start w:w="100" w:type="dxa"/>
              <w:bottom w:w="100" w:type="dxa"/>
              <w:end w:w="100" w:type="dxa"/>
            </w:tcMar>
          </w:tcPr>
          <w:p>
            <w:r>
              <w:rPr>
                <w:sz w:val="18"/>
              </w:rPr>
              <w:t>Citizen can see own resources; tenants cannot see each other’s resources</w:t>
            </w:r>
          </w:p>
        </w:tc>
      </w:tr>
    </w:tbl>
    <w:p>
      <w:pPr>
        <w:spacing w:after="40"/>
      </w:pPr>
    </w:p>
    <w:p>
      <w:pPr>
        <w:pStyle w:val="Heading2"/>
        <w:keepNext/>
      </w:pPr>
      <w:r>
        <w:t>20.1 CI/CD release gates</w:t>
      </w:r>
    </w:p>
    <w:p>
      <w:pPr>
        <w:pStyle w:val="ListBullet"/>
      </w:pPr>
      <w:r>
        <w:t>RLS migration lint: tenant-scoped table without RLS fails build.</w:t>
      </w:r>
    </w:p>
    <w:p>
      <w:pPr>
        <w:pStyle w:val="ListBullet"/>
      </w:pPr>
      <w:r>
        <w:t>Isolation classification check: new persistent entity without classification fails architecture validation.</w:t>
      </w:r>
    </w:p>
    <w:p>
      <w:pPr>
        <w:pStyle w:val="ListBullet"/>
      </w:pPr>
      <w:r>
        <w:t>API negative test suite across at least Tenant A and Tenant B.</w:t>
      </w:r>
    </w:p>
    <w:p>
      <w:pPr>
        <w:pStyle w:val="ListBullet"/>
      </w:pPr>
      <w:r>
        <w:t>OPA policy unit tests including jurisdiction and delegation boundaries.</w:t>
      </w:r>
    </w:p>
    <w:p>
      <w:pPr>
        <w:pStyle w:val="ListBullet"/>
      </w:pPr>
      <w:r>
        <w:t>Object-storage access tests.</w:t>
      </w:r>
    </w:p>
    <w:p>
      <w:pPr>
        <w:pStyle w:val="ListBullet"/>
      </w:pPr>
      <w:r>
        <w:t>Background worker tenant-context tests.</w:t>
      </w:r>
    </w:p>
    <w:p>
      <w:pPr>
        <w:pStyle w:val="ListBullet"/>
      </w:pPr>
      <w:r>
        <w:t>Search filter injection tests.</w:t>
      </w:r>
    </w:p>
    <w:p>
      <w:pPr>
        <w:pStyle w:val="ListBullet"/>
      </w:pPr>
      <w:r>
        <w:t>Penetration tests for IDOR/BOLA/cross-tenant object enumeration.</w:t>
      </w:r>
    </w:p>
    <w:p>
      <w:pPr>
        <w:pStyle w:val="ListBullet"/>
      </w:pPr>
      <w:r>
        <w:t>Chaos/restart tests must preserve tenant context and not mix queued work.</w:t>
      </w:r>
    </w:p>
    <w:p>
      <w:pPr>
        <w:pStyle w:val="Heading1"/>
        <w:keepNext/>
      </w:pPr>
      <w:r>
        <w:t>21. Key Threat Scenarios and Required Mitigations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D9EAF7"/>
            <w:vAlign w:val="center"/>
            <w:tcMar>
              <w:top w:w="120" w:type="dxa"/>
              <w:start w:w="100" w:type="dxa"/>
              <w:bottom w:w="120" w:type="dxa"/>
              <w:end w:w="100" w:type="dxa"/>
            </w:tcMar>
          </w:tcPr>
          <w:p>
            <w:r>
              <w:rPr>
                <w:b/>
                <w:color w:val="17365D"/>
                <w:sz w:val="18"/>
              </w:rPr>
              <w:t>Threat</w:t>
            </w:r>
          </w:p>
        </w:tc>
        <w:tc>
          <w:tcPr>
            <w:tcW w:type="dxa" w:w="6336"/>
            <w:shd w:fill="D9EAF7"/>
            <w:vAlign w:val="center"/>
            <w:tcMar>
              <w:top w:w="120" w:type="dxa"/>
              <w:start w:w="100" w:type="dxa"/>
              <w:bottom w:w="120" w:type="dxa"/>
              <w:end w:w="100" w:type="dxa"/>
            </w:tcMar>
          </w:tcPr>
          <w:p>
            <w:r>
              <w:rPr>
                <w:b/>
                <w:color w:val="17365D"/>
                <w:sz w:val="18"/>
              </w:rPr>
              <w:t>Mitigation</w:t>
            </w:r>
          </w:p>
        </w:tc>
      </w:tr>
      <w:tr>
        <w:tc>
          <w:tcPr>
            <w:tcW w:type="dxa" w:w="3312"/>
            <w:vAlign w:val="center"/>
            <w:tcMar>
              <w:top w:w="100" w:type="dxa"/>
              <w:start w:w="100" w:type="dxa"/>
              <w:bottom w:w="100" w:type="dxa"/>
              <w:end w:w="100" w:type="dxa"/>
            </w:tcMar>
          </w:tcPr>
          <w:p>
            <w:r>
              <w:rPr>
                <w:sz w:val="18"/>
              </w:rPr>
              <w:t>IDOR/BOLA on application IDs</w:t>
            </w:r>
          </w:p>
        </w:tc>
        <w:tc>
          <w:tcPr>
            <w:tcW w:type="dxa" w:w="6336"/>
            <w:vAlign w:val="center"/>
            <w:tcMar>
              <w:top w:w="100" w:type="dxa"/>
              <w:start w:w="100" w:type="dxa"/>
              <w:bottom w:w="100" w:type="dxa"/>
              <w:end w:w="100" w:type="dxa"/>
            </w:tcMar>
          </w:tcPr>
          <w:p>
            <w:r>
              <w:rPr>
                <w:sz w:val="18"/>
              </w:rPr>
              <w:t>OPA/resource ownership + tenant-aware repositories + RLS</w:t>
            </w:r>
          </w:p>
        </w:tc>
      </w:tr>
      <w:tr>
        <w:tc>
          <w:tcPr>
            <w:tcW w:type="dxa" w:w="3312"/>
            <w:vAlign w:val="center"/>
            <w:tcMar>
              <w:top w:w="100" w:type="dxa"/>
              <w:start w:w="100" w:type="dxa"/>
              <w:bottom w:w="100" w:type="dxa"/>
              <w:end w:w="100" w:type="dxa"/>
            </w:tcMar>
          </w:tcPr>
          <w:p>
            <w:r>
              <w:rPr>
                <w:sz w:val="18"/>
              </w:rPr>
              <w:t>Developer forgets tenant WHERE clause</w:t>
            </w:r>
          </w:p>
        </w:tc>
        <w:tc>
          <w:tcPr>
            <w:tcW w:type="dxa" w:w="6336"/>
            <w:vAlign w:val="center"/>
            <w:tcMar>
              <w:top w:w="100" w:type="dxa"/>
              <w:start w:w="100" w:type="dxa"/>
              <w:bottom w:w="100" w:type="dxa"/>
              <w:end w:w="100" w:type="dxa"/>
            </w:tcMar>
          </w:tcPr>
          <w:p>
            <w:r>
              <w:rPr>
                <w:sz w:val="18"/>
              </w:rPr>
              <w:t>RLS + FORCE RLS + non-bypass application role</w:t>
            </w:r>
          </w:p>
        </w:tc>
      </w:tr>
      <w:tr>
        <w:tc>
          <w:tcPr>
            <w:tcW w:type="dxa" w:w="3312"/>
            <w:vAlign w:val="center"/>
            <w:tcMar>
              <w:top w:w="100" w:type="dxa"/>
              <w:start w:w="100" w:type="dxa"/>
              <w:bottom w:w="100" w:type="dxa"/>
              <w:end w:w="100" w:type="dxa"/>
            </w:tcMar>
          </w:tcPr>
          <w:p>
            <w:r>
              <w:rPr>
                <w:sz w:val="18"/>
              </w:rPr>
              <w:t>Forged X-Tenant-ID</w:t>
            </w:r>
          </w:p>
        </w:tc>
        <w:tc>
          <w:tcPr>
            <w:tcW w:type="dxa" w:w="6336"/>
            <w:vAlign w:val="center"/>
            <w:tcMar>
              <w:top w:w="100" w:type="dxa"/>
              <w:start w:w="100" w:type="dxa"/>
              <w:bottom w:w="100" w:type="dxa"/>
              <w:end w:w="100" w:type="dxa"/>
            </w:tcMar>
          </w:tcPr>
          <w:p>
            <w:r>
              <w:rPr>
                <w:sz w:val="18"/>
              </w:rPr>
              <w:t>Ignore untrusted authority; derive tenant server-side</w:t>
            </w:r>
          </w:p>
        </w:tc>
      </w:tr>
      <w:tr>
        <w:tc>
          <w:tcPr>
            <w:tcW w:type="dxa" w:w="3312"/>
            <w:vAlign w:val="center"/>
            <w:tcMar>
              <w:top w:w="100" w:type="dxa"/>
              <w:start w:w="100" w:type="dxa"/>
              <w:bottom w:w="100" w:type="dxa"/>
              <w:end w:w="100" w:type="dxa"/>
            </w:tcMar>
          </w:tcPr>
          <w:p>
            <w:r>
              <w:rPr>
                <w:sz w:val="18"/>
              </w:rPr>
              <w:t>Cross-tenant cache collision</w:t>
            </w:r>
          </w:p>
        </w:tc>
        <w:tc>
          <w:tcPr>
            <w:tcW w:type="dxa" w:w="6336"/>
            <w:vAlign w:val="center"/>
            <w:tcMar>
              <w:top w:w="100" w:type="dxa"/>
              <w:start w:w="100" w:type="dxa"/>
              <w:bottom w:w="100" w:type="dxa"/>
              <w:end w:w="100" w:type="dxa"/>
            </w:tcMar>
          </w:tcPr>
          <w:p>
            <w:r>
              <w:rPr>
                <w:sz w:val="18"/>
              </w:rPr>
              <w:t>Tenant-prefixed keys + tests</w:t>
            </w:r>
          </w:p>
        </w:tc>
      </w:tr>
      <w:tr>
        <w:tc>
          <w:tcPr>
            <w:tcW w:type="dxa" w:w="3312"/>
            <w:vAlign w:val="center"/>
            <w:tcMar>
              <w:top w:w="100" w:type="dxa"/>
              <w:start w:w="100" w:type="dxa"/>
              <w:bottom w:w="100" w:type="dxa"/>
              <w:end w:w="100" w:type="dxa"/>
            </w:tcMar>
          </w:tcPr>
          <w:p>
            <w:r>
              <w:rPr>
                <w:sz w:val="18"/>
              </w:rPr>
              <w:t>Search leakage</w:t>
            </w:r>
          </w:p>
        </w:tc>
        <w:tc>
          <w:tcPr>
            <w:tcW w:type="dxa" w:w="6336"/>
            <w:vAlign w:val="center"/>
            <w:tcMar>
              <w:top w:w="100" w:type="dxa"/>
              <w:start w:w="100" w:type="dxa"/>
              <w:bottom w:w="100" w:type="dxa"/>
              <w:end w:w="100" w:type="dxa"/>
            </w:tcMar>
          </w:tcPr>
          <w:p>
            <w:r>
              <w:rPr>
                <w:sz w:val="18"/>
              </w:rPr>
              <w:t>Mandatory server-side tenant filter + derived index security</w:t>
            </w:r>
          </w:p>
        </w:tc>
      </w:tr>
      <w:tr>
        <w:tc>
          <w:tcPr>
            <w:tcW w:type="dxa" w:w="3312"/>
            <w:vAlign w:val="center"/>
            <w:tcMar>
              <w:top w:w="100" w:type="dxa"/>
              <w:start w:w="100" w:type="dxa"/>
              <w:bottom w:w="100" w:type="dxa"/>
              <w:end w:w="100" w:type="dxa"/>
            </w:tcMar>
          </w:tcPr>
          <w:p>
            <w:r>
              <w:rPr>
                <w:sz w:val="18"/>
              </w:rPr>
              <w:t>Background job loses context</w:t>
            </w:r>
          </w:p>
        </w:tc>
        <w:tc>
          <w:tcPr>
            <w:tcW w:type="dxa" w:w="6336"/>
            <w:vAlign w:val="center"/>
            <w:tcMar>
              <w:top w:w="100" w:type="dxa"/>
              <w:start w:w="100" w:type="dxa"/>
              <w:bottom w:w="100" w:type="dxa"/>
              <w:end w:w="100" w:type="dxa"/>
            </w:tcMar>
          </w:tcPr>
          <w:p>
            <w:r>
              <w:rPr>
                <w:sz w:val="18"/>
              </w:rPr>
              <w:t>Tenant_id in job/event envelope + explicit context setup</w:t>
            </w:r>
          </w:p>
        </w:tc>
      </w:tr>
      <w:tr>
        <w:tc>
          <w:tcPr>
            <w:tcW w:type="dxa" w:w="3312"/>
            <w:vAlign w:val="center"/>
            <w:tcMar>
              <w:top w:w="100" w:type="dxa"/>
              <w:start w:w="100" w:type="dxa"/>
              <w:bottom w:w="100" w:type="dxa"/>
              <w:end w:w="100" w:type="dxa"/>
            </w:tcMar>
          </w:tcPr>
          <w:p>
            <w:r>
              <w:rPr>
                <w:sz w:val="18"/>
              </w:rPr>
              <w:t>Support/admin misuse</w:t>
            </w:r>
          </w:p>
        </w:tc>
        <w:tc>
          <w:tcPr>
            <w:tcW w:type="dxa" w:w="6336"/>
            <w:vAlign w:val="center"/>
            <w:tcMar>
              <w:top w:w="100" w:type="dxa"/>
              <w:start w:w="100" w:type="dxa"/>
              <w:bottom w:w="100" w:type="dxa"/>
              <w:end w:w="100" w:type="dxa"/>
            </w:tcMar>
          </w:tcPr>
          <w:p>
            <w:r>
              <w:rPr>
                <w:sz w:val="18"/>
              </w:rPr>
              <w:t>Least privilege + time-bound scoped access + audit</w:t>
            </w:r>
          </w:p>
        </w:tc>
      </w:tr>
      <w:tr>
        <w:tc>
          <w:tcPr>
            <w:tcW w:type="dxa" w:w="3312"/>
            <w:vAlign w:val="center"/>
            <w:tcMar>
              <w:top w:w="100" w:type="dxa"/>
              <w:start w:w="100" w:type="dxa"/>
              <w:bottom w:w="100" w:type="dxa"/>
              <w:end w:w="100" w:type="dxa"/>
            </w:tcMar>
          </w:tcPr>
          <w:p>
            <w:r>
              <w:rPr>
                <w:sz w:val="18"/>
              </w:rPr>
              <w:t>S3 URL enumeration</w:t>
            </w:r>
          </w:p>
        </w:tc>
        <w:tc>
          <w:tcPr>
            <w:tcW w:type="dxa" w:w="6336"/>
            <w:vAlign w:val="center"/>
            <w:tcMar>
              <w:top w:w="100" w:type="dxa"/>
              <w:start w:w="100" w:type="dxa"/>
              <w:bottom w:w="100" w:type="dxa"/>
              <w:end w:w="100" w:type="dxa"/>
            </w:tcMar>
          </w:tcPr>
          <w:p>
            <w:r>
              <w:rPr>
                <w:sz w:val="18"/>
              </w:rPr>
              <w:t>Opaque IDs + backend authorization + short TTL signed URLs</w:t>
            </w:r>
          </w:p>
        </w:tc>
      </w:tr>
      <w:tr>
        <w:tc>
          <w:tcPr>
            <w:tcW w:type="dxa" w:w="3312"/>
            <w:vAlign w:val="center"/>
            <w:tcMar>
              <w:top w:w="100" w:type="dxa"/>
              <w:start w:w="100" w:type="dxa"/>
              <w:bottom w:w="100" w:type="dxa"/>
              <w:end w:w="100" w:type="dxa"/>
            </w:tcMar>
          </w:tcPr>
          <w:p>
            <w:r>
              <w:rPr>
                <w:sz w:val="18"/>
              </w:rPr>
              <w:t>Misconfigured dedicated tenant routing</w:t>
            </w:r>
          </w:p>
        </w:tc>
        <w:tc>
          <w:tcPr>
            <w:tcW w:type="dxa" w:w="6336"/>
            <w:vAlign w:val="center"/>
            <w:tcMar>
              <w:top w:w="100" w:type="dxa"/>
              <w:start w:w="100" w:type="dxa"/>
              <w:bottom w:w="100" w:type="dxa"/>
              <w:end w:w="100" w:type="dxa"/>
            </w:tcMar>
          </w:tcPr>
          <w:p>
            <w:r>
              <w:rPr>
                <w:sz w:val="18"/>
              </w:rPr>
              <w:t>Placement registry validation + canary + isolation test suite</w:t>
            </w:r>
          </w:p>
        </w:tc>
      </w:tr>
      <w:tr>
        <w:tc>
          <w:tcPr>
            <w:tcW w:type="dxa" w:w="3312"/>
            <w:vAlign w:val="center"/>
            <w:tcMar>
              <w:top w:w="100" w:type="dxa"/>
              <w:start w:w="100" w:type="dxa"/>
              <w:bottom w:w="100" w:type="dxa"/>
              <w:end w:w="100" w:type="dxa"/>
            </w:tcMar>
          </w:tcPr>
          <w:p>
            <w:r>
              <w:rPr>
                <w:sz w:val="18"/>
              </w:rPr>
              <w:t>Cross-tenant analytics leakage</w:t>
            </w:r>
          </w:p>
        </w:tc>
        <w:tc>
          <w:tcPr>
            <w:tcW w:type="dxa" w:w="6336"/>
            <w:vAlign w:val="center"/>
            <w:tcMar>
              <w:top w:w="100" w:type="dxa"/>
              <w:start w:w="100" w:type="dxa"/>
              <w:bottom w:w="100" w:type="dxa"/>
              <w:end w:w="100" w:type="dxa"/>
            </w:tcMar>
          </w:tcPr>
          <w:p>
            <w:r>
              <w:rPr>
                <w:sz w:val="18"/>
              </w:rPr>
              <w:t>Approved analytics boundary + field minimisation + aggregated views</w:t>
            </w:r>
          </w:p>
        </w:tc>
      </w:tr>
    </w:tbl>
    <w:p>
      <w:pPr>
        <w:spacing w:after="40"/>
      </w:pPr>
    </w:p>
    <w:p>
      <w:pPr>
        <w:pStyle w:val="Heading1"/>
        <w:keepNext/>
      </w:pPr>
      <w:r>
        <w:t>22.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D9EAF7"/>
            <w:vAlign w:val="center"/>
            <w:tcMar>
              <w:top w:w="120" w:type="dxa"/>
              <w:start w:w="100" w:type="dxa"/>
              <w:bottom w:w="120" w:type="dxa"/>
              <w:end w:w="100" w:type="dxa"/>
            </w:tcMar>
          </w:tcPr>
          <w:p>
            <w:r>
              <w:rPr>
                <w:b/>
                <w:color w:val="17365D"/>
                <w:sz w:val="18"/>
              </w:rPr>
              <w:t>Requirement</w:t>
            </w:r>
          </w:p>
        </w:tc>
        <w:tc>
          <w:tcPr>
            <w:tcW w:type="dxa" w:w="6336"/>
            <w:shd w:fill="D9EAF7"/>
            <w:vAlign w:val="center"/>
            <w:tcMar>
              <w:top w:w="120" w:type="dxa"/>
              <w:start w:w="100" w:type="dxa"/>
              <w:bottom w:w="120" w:type="dxa"/>
              <w:end w:w="100" w:type="dxa"/>
            </w:tcMar>
          </w:tcPr>
          <w:p>
            <w:r>
              <w:rPr>
                <w:b/>
                <w:color w:val="17365D"/>
                <w:sz w:val="18"/>
              </w:rPr>
              <w:t>Target / rule</w:t>
            </w:r>
          </w:p>
        </w:tc>
      </w:tr>
      <w:tr>
        <w:tc>
          <w:tcPr>
            <w:tcW w:type="dxa" w:w="3312"/>
            <w:vAlign w:val="center"/>
            <w:tcMar>
              <w:top w:w="100" w:type="dxa"/>
              <w:start w:w="100" w:type="dxa"/>
              <w:bottom w:w="100" w:type="dxa"/>
              <w:end w:w="100" w:type="dxa"/>
            </w:tcMar>
          </w:tcPr>
          <w:p>
            <w:r>
              <w:rPr>
                <w:sz w:val="18"/>
              </w:rPr>
              <w:t>Isolation default</w:t>
            </w:r>
          </w:p>
        </w:tc>
        <w:tc>
          <w:tcPr>
            <w:tcW w:type="dxa" w:w="6336"/>
            <w:vAlign w:val="center"/>
            <w:tcMar>
              <w:top w:w="100" w:type="dxa"/>
              <w:start w:w="100" w:type="dxa"/>
              <w:bottom w:w="100" w:type="dxa"/>
              <w:end w:w="100" w:type="dxa"/>
            </w:tcMar>
          </w:tcPr>
          <w:p>
            <w:r>
              <w:rPr>
                <w:sz w:val="18"/>
              </w:rPr>
              <w:t>DENY by default at every service boundary</w:t>
            </w:r>
          </w:p>
        </w:tc>
      </w:tr>
      <w:tr>
        <w:tc>
          <w:tcPr>
            <w:tcW w:type="dxa" w:w="3312"/>
            <w:vAlign w:val="center"/>
            <w:tcMar>
              <w:top w:w="100" w:type="dxa"/>
              <w:start w:w="100" w:type="dxa"/>
              <w:bottom w:w="100" w:type="dxa"/>
              <w:end w:w="100" w:type="dxa"/>
            </w:tcMar>
          </w:tcPr>
          <w:p>
            <w:r>
              <w:rPr>
                <w:sz w:val="18"/>
              </w:rPr>
              <w:t>Cross-tenant leakage</w:t>
            </w:r>
          </w:p>
        </w:tc>
        <w:tc>
          <w:tcPr>
            <w:tcW w:type="dxa" w:w="6336"/>
            <w:vAlign w:val="center"/>
            <w:tcMar>
              <w:top w:w="100" w:type="dxa"/>
              <w:start w:w="100" w:type="dxa"/>
              <w:bottom w:w="100" w:type="dxa"/>
              <w:end w:w="100" w:type="dxa"/>
            </w:tcMar>
          </w:tcPr>
          <w:p>
            <w:r>
              <w:rPr>
                <w:sz w:val="18"/>
              </w:rPr>
              <w:t>Zero tolerated</w:t>
            </w:r>
          </w:p>
        </w:tc>
      </w:tr>
      <w:tr>
        <w:tc>
          <w:tcPr>
            <w:tcW w:type="dxa" w:w="3312"/>
            <w:vAlign w:val="center"/>
            <w:tcMar>
              <w:top w:w="100" w:type="dxa"/>
              <w:start w:w="100" w:type="dxa"/>
              <w:bottom w:w="100" w:type="dxa"/>
              <w:end w:w="100" w:type="dxa"/>
            </w:tcMar>
          </w:tcPr>
          <w:p>
            <w:r>
              <w:rPr>
                <w:sz w:val="18"/>
              </w:rPr>
              <w:t>RLS coverage</w:t>
            </w:r>
          </w:p>
        </w:tc>
        <w:tc>
          <w:tcPr>
            <w:tcW w:type="dxa" w:w="6336"/>
            <w:vAlign w:val="center"/>
            <w:tcMar>
              <w:top w:w="100" w:type="dxa"/>
              <w:start w:w="100" w:type="dxa"/>
              <w:bottom w:w="100" w:type="dxa"/>
              <w:end w:w="100" w:type="dxa"/>
            </w:tcMar>
          </w:tcPr>
          <w:p>
            <w:r>
              <w:rPr>
                <w:sz w:val="18"/>
              </w:rPr>
              <w:t>100% of pooled tenant-owned relational tables</w:t>
            </w:r>
          </w:p>
        </w:tc>
      </w:tr>
      <w:tr>
        <w:tc>
          <w:tcPr>
            <w:tcW w:type="dxa" w:w="3312"/>
            <w:vAlign w:val="center"/>
            <w:tcMar>
              <w:top w:w="100" w:type="dxa"/>
              <w:start w:w="100" w:type="dxa"/>
              <w:bottom w:w="100" w:type="dxa"/>
              <w:end w:w="100" w:type="dxa"/>
            </w:tcMar>
          </w:tcPr>
          <w:p>
            <w:r>
              <w:rPr>
                <w:sz w:val="18"/>
              </w:rPr>
              <w:t>Tenant context propagation</w:t>
            </w:r>
          </w:p>
        </w:tc>
        <w:tc>
          <w:tcPr>
            <w:tcW w:type="dxa" w:w="6336"/>
            <w:vAlign w:val="center"/>
            <w:tcMar>
              <w:top w:w="100" w:type="dxa"/>
              <w:start w:w="100" w:type="dxa"/>
              <w:bottom w:w="100" w:type="dxa"/>
              <w:end w:w="100" w:type="dxa"/>
            </w:tcMar>
          </w:tcPr>
          <w:p>
            <w:r>
              <w:rPr>
                <w:sz w:val="18"/>
              </w:rPr>
              <w:t>100% of tenant-scoped API/background/event operations</w:t>
            </w:r>
          </w:p>
        </w:tc>
      </w:tr>
      <w:tr>
        <w:tc>
          <w:tcPr>
            <w:tcW w:type="dxa" w:w="3312"/>
            <w:vAlign w:val="center"/>
            <w:tcMar>
              <w:top w:w="100" w:type="dxa"/>
              <w:start w:w="100" w:type="dxa"/>
              <w:bottom w:w="100" w:type="dxa"/>
              <w:end w:w="100" w:type="dxa"/>
            </w:tcMar>
          </w:tcPr>
          <w:p>
            <w:r>
              <w:rPr>
                <w:sz w:val="18"/>
              </w:rPr>
              <w:t>Support privilege</w:t>
            </w:r>
          </w:p>
        </w:tc>
        <w:tc>
          <w:tcPr>
            <w:tcW w:type="dxa" w:w="6336"/>
            <w:vAlign w:val="center"/>
            <w:tcMar>
              <w:top w:w="100" w:type="dxa"/>
              <w:start w:w="100" w:type="dxa"/>
              <w:bottom w:w="100" w:type="dxa"/>
              <w:end w:w="100" w:type="dxa"/>
            </w:tcMar>
          </w:tcPr>
          <w:p>
            <w:r>
              <w:rPr>
                <w:sz w:val="18"/>
              </w:rPr>
              <w:t>Time-bound and auditable</w:t>
            </w:r>
          </w:p>
        </w:tc>
      </w:tr>
      <w:tr>
        <w:tc>
          <w:tcPr>
            <w:tcW w:type="dxa" w:w="3312"/>
            <w:vAlign w:val="center"/>
            <w:tcMar>
              <w:top w:w="100" w:type="dxa"/>
              <w:start w:w="100" w:type="dxa"/>
              <w:bottom w:w="100" w:type="dxa"/>
              <w:end w:w="100" w:type="dxa"/>
            </w:tcMar>
          </w:tcPr>
          <w:p>
            <w:r>
              <w:rPr>
                <w:sz w:val="18"/>
              </w:rPr>
              <w:t>Auditability</w:t>
            </w:r>
          </w:p>
        </w:tc>
        <w:tc>
          <w:tcPr>
            <w:tcW w:type="dxa" w:w="6336"/>
            <w:vAlign w:val="center"/>
            <w:tcMar>
              <w:top w:w="100" w:type="dxa"/>
              <w:start w:w="100" w:type="dxa"/>
              <w:bottom w:w="100" w:type="dxa"/>
              <w:end w:w="100" w:type="dxa"/>
            </w:tcMar>
          </w:tcPr>
          <w:p>
            <w:r>
              <w:rPr>
                <w:sz w:val="18"/>
              </w:rPr>
              <w:t>All material cross-boundary/privileged actions correlated by trace/event IDs</w:t>
            </w:r>
          </w:p>
        </w:tc>
      </w:tr>
      <w:tr>
        <w:tc>
          <w:tcPr>
            <w:tcW w:type="dxa" w:w="3312"/>
            <w:vAlign w:val="center"/>
            <w:tcMar>
              <w:top w:w="100" w:type="dxa"/>
              <w:start w:w="100" w:type="dxa"/>
              <w:bottom w:w="100" w:type="dxa"/>
              <w:end w:w="100" w:type="dxa"/>
            </w:tcMar>
          </w:tcPr>
          <w:p>
            <w:r>
              <w:rPr>
                <w:sz w:val="18"/>
              </w:rPr>
              <w:t>Cell migration</w:t>
            </w:r>
          </w:p>
        </w:tc>
        <w:tc>
          <w:tcPr>
            <w:tcW w:type="dxa" w:w="6336"/>
            <w:vAlign w:val="center"/>
            <w:tcMar>
              <w:top w:w="100" w:type="dxa"/>
              <w:start w:w="100" w:type="dxa"/>
              <w:bottom w:w="100" w:type="dxa"/>
              <w:end w:w="100" w:type="dxa"/>
            </w:tcMar>
          </w:tcPr>
          <w:p>
            <w:r>
              <w:rPr>
                <w:sz w:val="18"/>
              </w:rPr>
              <w:t>Tenant can move pool→dedicated without domain-code fork</w:t>
            </w:r>
          </w:p>
        </w:tc>
      </w:tr>
      <w:tr>
        <w:tc>
          <w:tcPr>
            <w:tcW w:type="dxa" w:w="3312"/>
            <w:vAlign w:val="center"/>
            <w:tcMar>
              <w:top w:w="100" w:type="dxa"/>
              <w:start w:w="100" w:type="dxa"/>
              <w:bottom w:w="100" w:type="dxa"/>
              <w:end w:w="100" w:type="dxa"/>
            </w:tcMar>
          </w:tcPr>
          <w:p>
            <w:r>
              <w:rPr>
                <w:sz w:val="18"/>
              </w:rPr>
              <w:t>Performance</w:t>
            </w:r>
          </w:p>
        </w:tc>
        <w:tc>
          <w:tcPr>
            <w:tcW w:type="dxa" w:w="6336"/>
            <w:vAlign w:val="center"/>
            <w:tcMar>
              <w:top w:w="100" w:type="dxa"/>
              <w:start w:w="100" w:type="dxa"/>
              <w:bottom w:w="100" w:type="dxa"/>
              <w:end w:w="100" w:type="dxa"/>
            </w:tcMar>
          </w:tcPr>
          <w:p>
            <w:r>
              <w:rPr>
                <w:sz w:val="18"/>
              </w:rPr>
              <w:t>RLS/OPA overhead benchmarked under 10K RPS reference load; no bypass for performance</w:t>
            </w:r>
          </w:p>
        </w:tc>
      </w:tr>
      <w:tr>
        <w:tc>
          <w:tcPr>
            <w:tcW w:type="dxa" w:w="3312"/>
            <w:vAlign w:val="center"/>
            <w:tcMar>
              <w:top w:w="100" w:type="dxa"/>
              <w:start w:w="100" w:type="dxa"/>
              <w:bottom w:w="100" w:type="dxa"/>
              <w:end w:w="100" w:type="dxa"/>
            </w:tcMar>
          </w:tcPr>
          <w:p>
            <w:r>
              <w:rPr>
                <w:sz w:val="18"/>
              </w:rPr>
              <w:t>Availability</w:t>
            </w:r>
          </w:p>
        </w:tc>
        <w:tc>
          <w:tcPr>
            <w:tcW w:type="dxa" w:w="6336"/>
            <w:vAlign w:val="center"/>
            <w:tcMar>
              <w:top w:w="100" w:type="dxa"/>
              <w:start w:w="100" w:type="dxa"/>
              <w:bottom w:w="100" w:type="dxa"/>
              <w:end w:w="100" w:type="dxa"/>
            </w:tcMar>
          </w:tcPr>
          <w:p>
            <w:r>
              <w:rPr>
                <w:sz w:val="18"/>
              </w:rPr>
              <w:t>Tenant-isolation controls fail closed during dependency failure</w:t>
            </w:r>
          </w:p>
        </w:tc>
      </w:tr>
      <w:tr>
        <w:tc>
          <w:tcPr>
            <w:tcW w:type="dxa" w:w="3312"/>
            <w:vAlign w:val="center"/>
            <w:tcMar>
              <w:top w:w="100" w:type="dxa"/>
              <w:start w:w="100" w:type="dxa"/>
              <w:bottom w:w="100" w:type="dxa"/>
              <w:end w:w="100" w:type="dxa"/>
            </w:tcMar>
          </w:tcPr>
          <w:p>
            <w:r>
              <w:rPr>
                <w:sz w:val="18"/>
              </w:rPr>
              <w:t>Key management</w:t>
            </w:r>
          </w:p>
        </w:tc>
        <w:tc>
          <w:tcPr>
            <w:tcW w:type="dxa" w:w="6336"/>
            <w:vAlign w:val="center"/>
            <w:tcMar>
              <w:top w:w="100" w:type="dxa"/>
              <w:start w:w="100" w:type="dxa"/>
              <w:bottom w:w="100" w:type="dxa"/>
              <w:end w:w="100" w:type="dxa"/>
            </w:tcMar>
          </w:tcPr>
          <w:p>
            <w:r>
              <w:rPr>
                <w:sz w:val="18"/>
              </w:rPr>
              <w:t>KMS boundary determined by isolation tier; dedicated key optional/mandatory by policy</w:t>
            </w:r>
          </w:p>
        </w:tc>
      </w:tr>
    </w:tbl>
    <w:p>
      <w:pPr>
        <w:spacing w:after="40"/>
      </w:pPr>
    </w:p>
    <w:p>
      <w:pPr>
        <w:pStyle w:val="Heading1"/>
        <w:keepNext/>
      </w:pPr>
      <w:r>
        <w:t>23. Mandatory Cursor / Copilot / AI-Agent Rules</w:t>
      </w:r>
    </w:p>
    <w:p>
      <w:pPr>
        <w:pStyle w:val="CodeBlock"/>
      </w:pPr>
      <w:r>
        <w:t>TENANT ISOLATION CONSTITUTION</w:t>
        <w:br/>
        <w:br/>
        <w:t>1. Every tenant-scoped record MUST contain tenant_id.</w:t>
        <w:br/>
        <w:t>2. tenant_id MUST NOT be accepted from untrusted client input as authoritative context.</w:t>
        <w:br/>
        <w:t>3. Tenant context MUST be derived server-side from authenticated identity and approved membership/placement data.</w:t>
        <w:br/>
        <w:t>4. All pooled PostgreSQL tenant tables MUST use FORCE ROW LEVEL SECURITY.</w:t>
        <w:br/>
        <w:t>5. Application DB roles MUST NOT have BYPASSRLS.</w:t>
        <w:br/>
        <w:t>6. Every repository operation MUST execute in explicit tenant context.</w:t>
        <w:br/>
        <w:t>7. Cross-tenant access is DENY by default.</w:t>
        <w:br/>
        <w:t>8. GLOBAL data must be explicitly classified; do not use NULL tenant_id as an informal global marker.</w:t>
        <w:br/>
        <w:t>9. Every S3 object containing tenant-owned data MUST carry tenant ownership metadata and be served only after authorization.</w:t>
        <w:br/>
        <w:t>10. Every tenant-scoped event MUST carry tenant_id and cell_id.</w:t>
        <w:br/>
        <w:t>11. Every tenant-owned cache key MUST contain tenant identity.</w:t>
        <w:br/>
        <w:t>12. Every indexed tenant record MUST carry tenant_id; filters are server-injected.</w:t>
        <w:br/>
        <w:t>13. Every background job MUST execute with explicit tenant context.</w:t>
        <w:br/>
        <w:t>14. Every workflow instance MUST carry immutable tenant context.</w:t>
        <w:br/>
        <w:t>15. Privileged/support users do not receive unrestricted cross-tenant data read by default.</w:t>
        <w:br/>
        <w:t>16. Cross-tenant access requires an explicit business capability/grant, never an RLS bypass.</w:t>
        <w:br/>
        <w:t>17. Every API/repository/search/object-storage workflow MUST have negative cross-tenant tests.</w:t>
        <w:br/>
        <w:t>18. Every release MUST run the tenant-isolation regression suite.</w:t>
        <w:br/>
        <w:t>19. Large/sensitive tenants may move to dedicated cells without domain-code changes.</w:t>
        <w:br/>
        <w:t>20. If an implementation cannot preserve these rules, STOP and raise an ADR/security blocker instead of weakening isolation.</w:t>
      </w:r>
    </w:p>
    <w:p>
      <w:pPr>
        <w:pStyle w:val="Heading1"/>
        <w:keepNext/>
      </w:pPr>
      <w:r>
        <w:t>24. Engineering Definition of Done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Mar>
              <w:top w:w="120" w:type="dxa"/>
              <w:start w:w="100" w:type="dxa"/>
              <w:bottom w:w="120" w:type="dxa"/>
              <w:end w:w="100" w:type="dxa"/>
            </w:tcMar>
          </w:tcPr>
          <w:p>
            <w:r>
              <w:rPr>
                <w:b/>
                <w:color w:val="17365D"/>
                <w:sz w:val="18"/>
              </w:rPr>
              <w:t>Check</w:t>
            </w:r>
          </w:p>
        </w:tc>
        <w:tc>
          <w:tcPr>
            <w:tcW w:type="dxa" w:w="6480"/>
            <w:shd w:fill="D9EAF7"/>
            <w:vAlign w:val="center"/>
            <w:tcMar>
              <w:top w:w="120" w:type="dxa"/>
              <w:start w:w="100" w:type="dxa"/>
              <w:bottom w:w="120" w:type="dxa"/>
              <w:end w:w="100" w:type="dxa"/>
            </w:tcMar>
          </w:tcPr>
          <w:p>
            <w:r>
              <w:rPr>
                <w:b/>
                <w:color w:val="17365D"/>
                <w:sz w:val="18"/>
              </w:rPr>
              <w:t>Required evidence</w:t>
            </w:r>
          </w:p>
        </w:tc>
      </w:tr>
      <w:tr>
        <w:tc>
          <w:tcPr>
            <w:tcW w:type="dxa" w:w="3168"/>
            <w:vAlign w:val="center"/>
            <w:tcMar>
              <w:top w:w="100" w:type="dxa"/>
              <w:start w:w="100" w:type="dxa"/>
              <w:bottom w:w="100" w:type="dxa"/>
              <w:end w:w="100" w:type="dxa"/>
            </w:tcMar>
          </w:tcPr>
          <w:p>
            <w:r>
              <w:rPr>
                <w:sz w:val="18"/>
              </w:rPr>
              <w:t>Isolation classification defined</w:t>
            </w:r>
          </w:p>
        </w:tc>
        <w:tc>
          <w:tcPr>
            <w:tcW w:type="dxa" w:w="6480"/>
            <w:vAlign w:val="center"/>
            <w:tcMar>
              <w:top w:w="100" w:type="dxa"/>
              <w:start w:w="100" w:type="dxa"/>
              <w:bottom w:w="100" w:type="dxa"/>
              <w:end w:w="100" w:type="dxa"/>
            </w:tcMar>
          </w:tcPr>
          <w:p>
            <w:r>
              <w:rPr>
                <w:sz w:val="18"/>
              </w:rPr>
              <w:t>GLOBAL / TENANT_SCOPED / JURISDICTION_SCOPED / CITIZEN_PRIVATE / PLATFORM_OPERATIONAL</w:t>
            </w:r>
          </w:p>
        </w:tc>
      </w:tr>
      <w:tr>
        <w:tc>
          <w:tcPr>
            <w:tcW w:type="dxa" w:w="3168"/>
            <w:vAlign w:val="center"/>
            <w:tcMar>
              <w:top w:w="100" w:type="dxa"/>
              <w:start w:w="100" w:type="dxa"/>
              <w:bottom w:w="100" w:type="dxa"/>
              <w:end w:w="100" w:type="dxa"/>
            </w:tcMar>
          </w:tcPr>
          <w:p>
            <w:r>
              <w:rPr>
                <w:sz w:val="18"/>
              </w:rPr>
              <w:t>Schema tenant-safe</w:t>
            </w:r>
          </w:p>
        </w:tc>
        <w:tc>
          <w:tcPr>
            <w:tcW w:type="dxa" w:w="6480"/>
            <w:vAlign w:val="center"/>
            <w:tcMar>
              <w:top w:w="100" w:type="dxa"/>
              <w:start w:w="100" w:type="dxa"/>
              <w:bottom w:w="100" w:type="dxa"/>
              <w:end w:w="100" w:type="dxa"/>
            </w:tcMar>
          </w:tcPr>
          <w:p>
            <w:r>
              <w:rPr>
                <w:sz w:val="18"/>
              </w:rPr>
              <w:t>tenant_id, indexes, constraints, RLS policy and FORCE RLS</w:t>
            </w:r>
          </w:p>
        </w:tc>
      </w:tr>
      <w:tr>
        <w:tc>
          <w:tcPr>
            <w:tcW w:type="dxa" w:w="3168"/>
            <w:vAlign w:val="center"/>
            <w:tcMar>
              <w:top w:w="100" w:type="dxa"/>
              <w:start w:w="100" w:type="dxa"/>
              <w:bottom w:w="100" w:type="dxa"/>
              <w:end w:w="100" w:type="dxa"/>
            </w:tcMar>
          </w:tcPr>
          <w:p>
            <w:r>
              <w:rPr>
                <w:sz w:val="18"/>
              </w:rPr>
              <w:t>Authorization defined</w:t>
            </w:r>
          </w:p>
        </w:tc>
        <w:tc>
          <w:tcPr>
            <w:tcW w:type="dxa" w:w="6480"/>
            <w:vAlign w:val="center"/>
            <w:tcMar>
              <w:top w:w="100" w:type="dxa"/>
              <w:start w:w="100" w:type="dxa"/>
              <w:bottom w:w="100" w:type="dxa"/>
              <w:end w:w="100" w:type="dxa"/>
            </w:tcMar>
          </w:tcPr>
          <w:p>
            <w:r>
              <w:rPr>
                <w:sz w:val="18"/>
              </w:rPr>
              <w:t>OPA policy/action/resource model</w:t>
            </w:r>
          </w:p>
        </w:tc>
      </w:tr>
      <w:tr>
        <w:tc>
          <w:tcPr>
            <w:tcW w:type="dxa" w:w="3168"/>
            <w:vAlign w:val="center"/>
            <w:tcMar>
              <w:top w:w="100" w:type="dxa"/>
              <w:start w:w="100" w:type="dxa"/>
              <w:bottom w:w="100" w:type="dxa"/>
              <w:end w:w="100" w:type="dxa"/>
            </w:tcMar>
          </w:tcPr>
          <w:p>
            <w:r>
              <w:rPr>
                <w:sz w:val="18"/>
              </w:rPr>
              <w:t>API context safe</w:t>
            </w:r>
          </w:p>
        </w:tc>
        <w:tc>
          <w:tcPr>
            <w:tcW w:type="dxa" w:w="6480"/>
            <w:vAlign w:val="center"/>
            <w:tcMar>
              <w:top w:w="100" w:type="dxa"/>
              <w:start w:w="100" w:type="dxa"/>
              <w:bottom w:w="100" w:type="dxa"/>
              <w:end w:w="100" w:type="dxa"/>
            </w:tcMar>
          </w:tcPr>
          <w:p>
            <w:r>
              <w:rPr>
                <w:sz w:val="18"/>
              </w:rPr>
              <w:t>No authoritative client tenant input</w:t>
            </w:r>
          </w:p>
        </w:tc>
      </w:tr>
      <w:tr>
        <w:tc>
          <w:tcPr>
            <w:tcW w:type="dxa" w:w="3168"/>
            <w:vAlign w:val="center"/>
            <w:tcMar>
              <w:top w:w="100" w:type="dxa"/>
              <w:start w:w="100" w:type="dxa"/>
              <w:bottom w:w="100" w:type="dxa"/>
              <w:end w:w="100" w:type="dxa"/>
            </w:tcMar>
          </w:tcPr>
          <w:p>
            <w:r>
              <w:rPr>
                <w:sz w:val="18"/>
              </w:rPr>
              <w:t>Repository safe</w:t>
            </w:r>
          </w:p>
        </w:tc>
        <w:tc>
          <w:tcPr>
            <w:tcW w:type="dxa" w:w="6480"/>
            <w:vAlign w:val="center"/>
            <w:tcMar>
              <w:top w:w="100" w:type="dxa"/>
              <w:start w:w="100" w:type="dxa"/>
              <w:bottom w:w="100" w:type="dxa"/>
              <w:end w:w="100" w:type="dxa"/>
            </w:tcMar>
          </w:tcPr>
          <w:p>
            <w:r>
              <w:rPr>
                <w:sz w:val="18"/>
              </w:rPr>
              <w:t>Explicit tenant transaction context</w:t>
            </w:r>
          </w:p>
        </w:tc>
      </w:tr>
      <w:tr>
        <w:tc>
          <w:tcPr>
            <w:tcW w:type="dxa" w:w="3168"/>
            <w:vAlign w:val="center"/>
            <w:tcMar>
              <w:top w:w="100" w:type="dxa"/>
              <w:start w:w="100" w:type="dxa"/>
              <w:bottom w:w="100" w:type="dxa"/>
              <w:end w:w="100" w:type="dxa"/>
            </w:tcMar>
          </w:tcPr>
          <w:p>
            <w:r>
              <w:rPr>
                <w:sz w:val="18"/>
              </w:rPr>
              <w:t>Events safe</w:t>
            </w:r>
          </w:p>
        </w:tc>
        <w:tc>
          <w:tcPr>
            <w:tcW w:type="dxa" w:w="6480"/>
            <w:vAlign w:val="center"/>
            <w:tcMar>
              <w:top w:w="100" w:type="dxa"/>
              <w:start w:w="100" w:type="dxa"/>
              <w:bottom w:w="100" w:type="dxa"/>
              <w:end w:w="100" w:type="dxa"/>
            </w:tcMar>
          </w:tcPr>
          <w:p>
            <w:r>
              <w:rPr>
                <w:sz w:val="18"/>
              </w:rPr>
              <w:t>tenant_id/cell_id in envelope, minimal PII</w:t>
            </w:r>
          </w:p>
        </w:tc>
      </w:tr>
      <w:tr>
        <w:tc>
          <w:tcPr>
            <w:tcW w:type="dxa" w:w="3168"/>
            <w:vAlign w:val="center"/>
            <w:tcMar>
              <w:top w:w="100" w:type="dxa"/>
              <w:start w:w="100" w:type="dxa"/>
              <w:bottom w:w="100" w:type="dxa"/>
              <w:end w:w="100" w:type="dxa"/>
            </w:tcMar>
          </w:tcPr>
          <w:p>
            <w:r>
              <w:rPr>
                <w:sz w:val="18"/>
              </w:rPr>
              <w:t>Cache safe</w:t>
            </w:r>
          </w:p>
        </w:tc>
        <w:tc>
          <w:tcPr>
            <w:tcW w:type="dxa" w:w="6480"/>
            <w:vAlign w:val="center"/>
            <w:tcMar>
              <w:top w:w="100" w:type="dxa"/>
              <w:start w:w="100" w:type="dxa"/>
              <w:bottom w:w="100" w:type="dxa"/>
              <w:end w:w="100" w:type="dxa"/>
            </w:tcMar>
          </w:tcPr>
          <w:p>
            <w:r>
              <w:rPr>
                <w:sz w:val="18"/>
              </w:rPr>
              <w:t>Tenant-namespaced keys</w:t>
            </w:r>
          </w:p>
        </w:tc>
      </w:tr>
      <w:tr>
        <w:tc>
          <w:tcPr>
            <w:tcW w:type="dxa" w:w="3168"/>
            <w:vAlign w:val="center"/>
            <w:tcMar>
              <w:top w:w="100" w:type="dxa"/>
              <w:start w:w="100" w:type="dxa"/>
              <w:bottom w:w="100" w:type="dxa"/>
              <w:end w:w="100" w:type="dxa"/>
            </w:tcMar>
          </w:tcPr>
          <w:p>
            <w:r>
              <w:rPr>
                <w:sz w:val="18"/>
              </w:rPr>
              <w:t>Search safe</w:t>
            </w:r>
          </w:p>
        </w:tc>
        <w:tc>
          <w:tcPr>
            <w:tcW w:type="dxa" w:w="6480"/>
            <w:vAlign w:val="center"/>
            <w:tcMar>
              <w:top w:w="100" w:type="dxa"/>
              <w:start w:w="100" w:type="dxa"/>
              <w:bottom w:w="100" w:type="dxa"/>
              <w:end w:w="100" w:type="dxa"/>
            </w:tcMar>
          </w:tcPr>
          <w:p>
            <w:r>
              <w:rPr>
                <w:sz w:val="18"/>
              </w:rPr>
              <w:t>Server-side tenant filtering</w:t>
            </w:r>
          </w:p>
        </w:tc>
      </w:tr>
      <w:tr>
        <w:tc>
          <w:tcPr>
            <w:tcW w:type="dxa" w:w="3168"/>
            <w:vAlign w:val="center"/>
            <w:tcMar>
              <w:top w:w="100" w:type="dxa"/>
              <w:start w:w="100" w:type="dxa"/>
              <w:bottom w:w="100" w:type="dxa"/>
              <w:end w:w="100" w:type="dxa"/>
            </w:tcMar>
          </w:tcPr>
          <w:p>
            <w:r>
              <w:rPr>
                <w:sz w:val="18"/>
              </w:rPr>
              <w:t>Object storage safe</w:t>
            </w:r>
          </w:p>
        </w:tc>
        <w:tc>
          <w:tcPr>
            <w:tcW w:type="dxa" w:w="6480"/>
            <w:vAlign w:val="center"/>
            <w:tcMar>
              <w:top w:w="100" w:type="dxa"/>
              <w:start w:w="100" w:type="dxa"/>
              <w:bottom w:w="100" w:type="dxa"/>
              <w:end w:w="100" w:type="dxa"/>
            </w:tcMar>
          </w:tcPr>
          <w:p>
            <w:r>
              <w:rPr>
                <w:sz w:val="18"/>
              </w:rPr>
              <w:t>Ownership metadata + short-lived authorised access</w:t>
            </w:r>
          </w:p>
        </w:tc>
      </w:tr>
      <w:tr>
        <w:tc>
          <w:tcPr>
            <w:tcW w:type="dxa" w:w="3168"/>
            <w:vAlign w:val="center"/>
            <w:tcMar>
              <w:top w:w="100" w:type="dxa"/>
              <w:start w:w="100" w:type="dxa"/>
              <w:bottom w:w="100" w:type="dxa"/>
              <w:end w:w="100" w:type="dxa"/>
            </w:tcMar>
          </w:tcPr>
          <w:p>
            <w:r>
              <w:rPr>
                <w:sz w:val="18"/>
              </w:rPr>
              <w:t>Workflow safe</w:t>
            </w:r>
          </w:p>
        </w:tc>
        <w:tc>
          <w:tcPr>
            <w:tcW w:type="dxa" w:w="6480"/>
            <w:vAlign w:val="center"/>
            <w:tcMar>
              <w:top w:w="100" w:type="dxa"/>
              <w:start w:w="100" w:type="dxa"/>
              <w:bottom w:w="100" w:type="dxa"/>
              <w:end w:w="100" w:type="dxa"/>
            </w:tcMar>
          </w:tcPr>
          <w:p>
            <w:r>
              <w:rPr>
                <w:sz w:val="18"/>
              </w:rPr>
              <w:t>Immutable tenant context and tenant-aware task routing</w:t>
            </w:r>
          </w:p>
        </w:tc>
      </w:tr>
      <w:tr>
        <w:tc>
          <w:tcPr>
            <w:tcW w:type="dxa" w:w="3168"/>
            <w:vAlign w:val="center"/>
            <w:tcMar>
              <w:top w:w="100" w:type="dxa"/>
              <w:start w:w="100" w:type="dxa"/>
              <w:bottom w:w="100" w:type="dxa"/>
              <w:end w:w="100" w:type="dxa"/>
            </w:tcMar>
          </w:tcPr>
          <w:p>
            <w:r>
              <w:rPr>
                <w:sz w:val="18"/>
              </w:rPr>
              <w:t>Negative tests</w:t>
            </w:r>
          </w:p>
        </w:tc>
        <w:tc>
          <w:tcPr>
            <w:tcW w:type="dxa" w:w="6480"/>
            <w:vAlign w:val="center"/>
            <w:tcMar>
              <w:top w:w="100" w:type="dxa"/>
              <w:start w:w="100" w:type="dxa"/>
              <w:bottom w:w="100" w:type="dxa"/>
              <w:end w:w="100" w:type="dxa"/>
            </w:tcMar>
          </w:tcPr>
          <w:p>
            <w:r>
              <w:rPr>
                <w:sz w:val="18"/>
              </w:rPr>
              <w:t>Cross-tenant reads/writes/claims/uploads/search all denied</w:t>
            </w:r>
          </w:p>
        </w:tc>
      </w:tr>
      <w:tr>
        <w:tc>
          <w:tcPr>
            <w:tcW w:type="dxa" w:w="3168"/>
            <w:vAlign w:val="center"/>
            <w:tcMar>
              <w:top w:w="100" w:type="dxa"/>
              <w:start w:w="100" w:type="dxa"/>
              <w:bottom w:w="100" w:type="dxa"/>
              <w:end w:w="100" w:type="dxa"/>
            </w:tcMar>
          </w:tcPr>
          <w:p>
            <w:r>
              <w:rPr>
                <w:sz w:val="18"/>
              </w:rPr>
              <w:t>Audit complete</w:t>
            </w:r>
          </w:p>
        </w:tc>
        <w:tc>
          <w:tcPr>
            <w:tcW w:type="dxa" w:w="6480"/>
            <w:vAlign w:val="center"/>
            <w:tcMar>
              <w:top w:w="100" w:type="dxa"/>
              <w:start w:w="100" w:type="dxa"/>
              <w:bottom w:w="100" w:type="dxa"/>
              <w:end w:w="100" w:type="dxa"/>
            </w:tcMar>
          </w:tcPr>
          <w:p>
            <w:r>
              <w:rPr>
                <w:sz w:val="18"/>
              </w:rPr>
              <w:t>Privileged/cross-boundary actions fully traceable</w:t>
            </w:r>
          </w:p>
        </w:tc>
      </w:tr>
    </w:tbl>
    <w:p>
      <w:pPr>
        <w:spacing w:after="40"/>
      </w:pPr>
    </w:p>
    <w:p>
      <w:pPr>
        <w:pStyle w:val="Heading1"/>
        <w:keepNext/>
      </w:pPr>
      <w:r>
        <w:t>25. Frozen Architecture Decision for ServiceForm AI v1</w:t>
      </w:r>
    </w:p>
    <w:p>
      <w:pPr>
        <w:pStyle w:val="Callout"/>
        <w:shd w:fill="EEF4FF"/>
      </w:pPr>
      <w:r>
        <w:t>ServiceForm AI v1 will use pooled multi-tenant Aurora PostgreSQL for most tenants, with tenant_id on every tenant-owned record, mandatory PostgreSQL FORCE ROW LEVEL SECURITY, server-derived tenant context, OPA-based role/organisation/jurisdiction/service authorization, tenant-aware S3/Valkey/OpenSearch/MSK/Temporal handling, automated cross-tenant release tests, and a configuration-driven path to dedicated cells for large or sensitive tenants.</w:t>
      </w:r>
    </w:p>
    <w:p>
      <w:r>
        <w:t>This decision is mandatory for the Residence Certificate golden vertical slice and all subsequent services. No service-specific implementation may weaken or bypass isolation. Any requirement that appears to need cross-tenant access must be designed as an explicit, auditable cross-tenant business capability rather than as an infrastructure bypass.</w:t>
      </w:r>
    </w:p>
    <w:p>
      <w:pPr>
        <w:pStyle w:val="Heading1"/>
        <w:keepNext/>
      </w:pPr>
      <w:r>
        <w:t>Appendix A. Example Request Context</w:t>
      </w:r>
    </w:p>
    <w:p>
      <w:pPr>
        <w:pStyle w:val="CodeBlock"/>
      </w:pPr>
      <w:r>
        <w:t>RequestContext {</w:t>
        <w:br/>
        <w:t xml:space="preserve">  traceId: string</w:t>
        <w:br/>
        <w:t xml:space="preserve">  actorId: string</w:t>
        <w:br/>
        <w:t xml:space="preserve">  actorType: OFFICER | CITIZEN | SERVICE</w:t>
        <w:br/>
        <w:t xml:space="preserve">  tenantId?: UUID</w:t>
        <w:br/>
        <w:t xml:space="preserve">  organisationId?: UUID</w:t>
        <w:br/>
        <w:t xml:space="preserve">  officeId?: UUID</w:t>
        <w:br/>
        <w:t xml:space="preserve">  jurisdictions: UUID[]</w:t>
        <w:br/>
        <w:t xml:space="preserve">  roles: string[]</w:t>
        <w:br/>
        <w:t xml:space="preserve">  serviceScopes: UUID[]</w:t>
        <w:br/>
        <w:t xml:space="preserve">  delegations: Delegation[]</w:t>
        <w:br/>
        <w:t xml:space="preserve">  assuranceLevel: string</w:t>
        <w:br/>
        <w:t>}</w:t>
      </w:r>
    </w:p>
    <w:p>
      <w:pPr>
        <w:pStyle w:val="Heading1"/>
        <w:keepNext/>
      </w:pPr>
      <w:r>
        <w:t>Appendix B. Example Repository Pattern</w:t>
      </w:r>
    </w:p>
    <w:p>
      <w:pPr>
        <w:pStyle w:val="CodeBlock"/>
      </w:pPr>
      <w:r>
        <w:t>interface ApplicationRepository {</w:t>
        <w:br/>
        <w:t xml:space="preserve">  create(ctx: TenantContext, app: Application): Promise&lt;void&gt;;</w:t>
        <w:br/>
        <w:t xml:space="preserve">  findById(ctx: TenantContext, id: ApplicationId): Promise&lt;Application | null&gt;;</w:t>
        <w:br/>
        <w:t xml:space="preserve">  update(ctx: TenantContext, app: Application): Promise&lt;void&gt;;</w:t>
        <w:br/>
        <w:t>}</w:t>
        <w:br/>
        <w:br/>
        <w:t>// Infrastructure adapter opens DB transaction, sets LOCAL app.tenant_id,</w:t>
        <w:br/>
        <w:t>// performs SQL, and relies on RLS as the final database boundary.</w:t>
      </w:r>
    </w:p>
    <w:p>
      <w:pPr>
        <w:pStyle w:val="Heading1"/>
        <w:keepNext/>
      </w:pPr>
      <w:r>
        <w:t>Appendix C. Architecture Review Checklist</w:t>
      </w:r>
    </w:p>
    <w:p>
      <w:pPr>
        <w:pStyle w:val="ListBullet"/>
      </w:pPr>
      <w:r>
        <w:t>Can Tenant A enumerate or access Tenant B resources by changing IDs?</w:t>
      </w:r>
    </w:p>
    <w:p>
      <w:pPr>
        <w:pStyle w:val="ListBullet"/>
      </w:pPr>
      <w:r>
        <w:t>Can any application DB role bypass RLS?</w:t>
      </w:r>
    </w:p>
    <w:p>
      <w:pPr>
        <w:pStyle w:val="ListBullet"/>
      </w:pPr>
      <w:r>
        <w:t>Does any API accept tenant_id as a trusted authority from the client?</w:t>
      </w:r>
    </w:p>
    <w:p>
      <w:pPr>
        <w:pStyle w:val="ListBullet"/>
      </w:pPr>
      <w:r>
        <w:t>Does every background/event/workflow execution carry tenant context?</w:t>
      </w:r>
    </w:p>
    <w:p>
      <w:pPr>
        <w:pStyle w:val="ListBullet"/>
      </w:pPr>
      <w:r>
        <w:t>Can search/cache/S3 return cross-tenant data if the application makes a mistake?</w:t>
      </w:r>
    </w:p>
    <w:p>
      <w:pPr>
        <w:pStyle w:val="ListBullet"/>
      </w:pPr>
      <w:r>
        <w:t>Are citizen-global data and tenant-owned data clearly separated?</w:t>
      </w:r>
    </w:p>
    <w:p>
      <w:pPr>
        <w:pStyle w:val="ListBullet"/>
      </w:pPr>
      <w:r>
        <w:t>Can support/admin users read cross-tenant citizen data without a controlled workflow?</w:t>
      </w:r>
    </w:p>
    <w:p>
      <w:pPr>
        <w:pStyle w:val="ListBullet"/>
      </w:pPr>
      <w:r>
        <w:t>Can a tenant move to a dedicated cell without business-code changes?</w:t>
      </w:r>
    </w:p>
    <w:p>
      <w:pPr>
        <w:pStyle w:val="ListBullet"/>
      </w:pPr>
      <w:r>
        <w:t>Do CI tests prove DENY behavior, not only successful access?</w:t>
      </w:r>
    </w:p>
    <w:p>
      <w:pPr>
        <w:pStyle w:val="ListBullet"/>
      </w:pPr>
      <w:r>
        <w:t>Does every new component declare its isolation classification and enforcement points?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ServiceForm AI | Tenant Isolation Architecture Specification | v1.0</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6D9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00"/>
      <w:ind w:left="360" w:right="216"/>
    </w:pPr>
    <w:rPr>
      <w:rFonts w:ascii="Consolas" w:hAnsi="Consolas"/>
      <w:sz w:val="17"/>
    </w:rPr>
  </w:style>
  <w:style w:type="paragraph" w:customStyle="1" w:styleId="Callout">
    <w:name w:val="Callout"/>
    <w:pPr>
      <w:spacing w:before="160" w:after="160"/>
      <w:ind w:left="288" w:right="216"/>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ServiceForm AI Tenant Isolation Architecture &amp; Engineering Specification</dc:title>
  <dc:subject>Multi-tenant isolation, Aurora PostgreSQL RLS, OPA authorization, AWS cell architecture</dc:subject>
  <dc:creator>ServiceForm AI Architecture</dc:creator>
  <cp:keywords>ServiceForm AI, multi-tenancy, tenant isolation, PostgreSQL RLS, OPA, AWS, EKS, Aurora</cp:keywords>
  <dc:description>generated by python-docx</dc:description>
  <cp:lastModifiedBy/>
  <cp:revision>1</cp:revision>
  <dcterms:created xsi:type="dcterms:W3CDTF">2013-12-23T23:15:00Z</dcterms:created>
  <dcterms:modified xsi:type="dcterms:W3CDTF">2013-12-23T23:15:00Z</dcterms:modified>
  <cp:category/>
</cp:coreProperties>
</file>