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ServiceForm AI</w:t>
      </w:r>
    </w:p>
    <w:p>
      <w:pPr>
        <w:pStyle w:val="Title"/>
        <w:jc w:val="center"/>
      </w:pPr>
      <w:r>
        <w:rPr>
          <w:sz w:val="44"/>
        </w:rPr>
        <w:t>Claude Code Multi-Agent Read → Plan → Execute Guide</w:t>
      </w:r>
    </w:p>
    <w:p>
      <w:pPr>
        <w:pStyle w:val="Subtitle"/>
        <w:jc w:val="center"/>
      </w:pPr>
      <w:r>
        <w:t>A deterministic operating manual for Claude Code leads, teammates, subagents and worktree-based development</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80" w:type="dxa"/>
              <w:start w:w="100" w:type="dxa"/>
              <w:bottom w:w="80" w:type="dxa"/>
              <w:end w:w="100" w:type="dxa"/>
            </w:tcMar>
            <w:vAlign w:val="center"/>
          </w:tcPr>
          <w:p>
            <w:r>
              <w:rPr>
                <w:b/>
              </w:rPr>
              <w:t>Version</w:t>
            </w:r>
          </w:p>
        </w:tc>
        <w:tc>
          <w:tcPr>
            <w:tcW w:type="dxa" w:w="5083"/>
            <w:tcMar>
              <w:top w:w="80" w:type="dxa"/>
              <w:start w:w="100" w:type="dxa"/>
              <w:bottom w:w="80" w:type="dxa"/>
              <w:end w:w="100" w:type="dxa"/>
            </w:tcMar>
            <w:vAlign w:val="center"/>
          </w:tcPr>
          <w:p>
            <w:r>
              <w:t>1.1</w:t>
            </w:r>
          </w:p>
        </w:tc>
      </w:tr>
      <w:tr>
        <w:tc>
          <w:tcPr>
            <w:tcW w:type="dxa" w:w="5083"/>
            <w:shd w:fill="D9EAF7"/>
            <w:tcMar>
              <w:top w:w="80" w:type="dxa"/>
              <w:start w:w="100" w:type="dxa"/>
              <w:bottom w:w="80" w:type="dxa"/>
              <w:end w:w="100" w:type="dxa"/>
            </w:tcMar>
            <w:vAlign w:val="center"/>
          </w:tcPr>
          <w:p>
            <w:r>
              <w:rPr>
                <w:b/>
              </w:rPr>
              <w:t>Platform baseline</w:t>
            </w:r>
          </w:p>
        </w:tc>
        <w:tc>
          <w:tcPr>
            <w:tcW w:type="dxa" w:w="5083"/>
            <w:tcMar>
              <w:top w:w="80" w:type="dxa"/>
              <w:start w:w="100" w:type="dxa"/>
              <w:bottom w:w="80" w:type="dxa"/>
              <w:end w:w="100" w:type="dxa"/>
            </w:tcMar>
            <w:vAlign w:val="center"/>
          </w:tcPr>
          <w:p>
            <w:r>
              <w:t>AWS Architecture v1.7 + Building Blocks v1.4</w:t>
            </w:r>
          </w:p>
        </w:tc>
      </w:tr>
      <w:tr>
        <w:tc>
          <w:tcPr>
            <w:tcW w:type="dxa" w:w="5083"/>
            <w:shd w:fill="D9EAF7"/>
            <w:tcMar>
              <w:top w:w="80" w:type="dxa"/>
              <w:start w:w="100" w:type="dxa"/>
              <w:bottom w:w="80" w:type="dxa"/>
              <w:end w:w="100" w:type="dxa"/>
            </w:tcMar>
            <w:vAlign w:val="center"/>
          </w:tcPr>
          <w:p>
            <w:r>
              <w:rPr>
                <w:b/>
              </w:rPr>
              <w:t>AI package</w:t>
            </w:r>
          </w:p>
        </w:tc>
        <w:tc>
          <w:tcPr>
            <w:tcW w:type="dxa" w:w="5083"/>
            <w:tcMar>
              <w:top w:w="80" w:type="dxa"/>
              <w:start w:w="100" w:type="dxa"/>
              <w:bottom w:w="80" w:type="dxa"/>
              <w:end w:w="100" w:type="dxa"/>
            </w:tcMar>
            <w:vAlign w:val="center"/>
          </w:tcPr>
          <w:p>
            <w:r>
              <w:t>Autonomous AI Development Package v2.5</w:t>
            </w:r>
          </w:p>
        </w:tc>
      </w:tr>
      <w:tr>
        <w:tc>
          <w:tcPr>
            <w:tcW w:type="dxa" w:w="5083"/>
            <w:shd w:fill="D9EAF7"/>
            <w:tcMar>
              <w:top w:w="80" w:type="dxa"/>
              <w:start w:w="100" w:type="dxa"/>
              <w:bottom w:w="80" w:type="dxa"/>
              <w:end w:w="100" w:type="dxa"/>
            </w:tcMar>
            <w:vAlign w:val="center"/>
          </w:tcPr>
          <w:p>
            <w:r>
              <w:rPr>
                <w:b/>
              </w:rPr>
              <w:t>Execution model</w:t>
            </w:r>
          </w:p>
        </w:tc>
        <w:tc>
          <w:tcPr>
            <w:tcW w:type="dxa" w:w="5083"/>
            <w:tcMar>
              <w:top w:w="80" w:type="dxa"/>
              <w:start w:w="100" w:type="dxa"/>
              <w:bottom w:w="80" w:type="dxa"/>
              <w:end w:w="100" w:type="dxa"/>
            </w:tcMar>
            <w:vAlign w:val="center"/>
          </w:tcPr>
          <w:p>
            <w:r>
              <w:t>Read → Plan → Contract Lock → Dispatch → Build → Integrate → Verify → Gate</w:t>
            </w:r>
          </w:p>
        </w:tc>
      </w:tr>
      <w:tr>
        <w:tc>
          <w:tcPr>
            <w:tcW w:type="dxa" w:w="5083"/>
            <w:shd w:fill="D9EAF7"/>
            <w:tcMar>
              <w:top w:w="80" w:type="dxa"/>
              <w:start w:w="100" w:type="dxa"/>
              <w:bottom w:w="80" w:type="dxa"/>
              <w:end w:w="100" w:type="dxa"/>
            </w:tcMar>
            <w:vAlign w:val="center"/>
          </w:tcPr>
          <w:p>
            <w:r>
              <w:rPr>
                <w:b/>
              </w:rPr>
              <w:t>Status</w:t>
            </w:r>
          </w:p>
        </w:tc>
        <w:tc>
          <w:tcPr>
            <w:tcW w:type="dxa" w:w="5083"/>
            <w:tcMar>
              <w:top w:w="80" w:type="dxa"/>
              <w:start w:w="100" w:type="dxa"/>
              <w:bottom w:w="80" w:type="dxa"/>
              <w:end w:w="100" w:type="dxa"/>
            </w:tcMar>
            <w:vAlign w:val="center"/>
          </w:tcPr>
          <w:p>
            <w:r>
              <w:t>Normative Claude Code operating guide</w:t>
            </w:r>
          </w:p>
        </w:tc>
      </w:tr>
    </w:tbl>
    <w:p>
      <w:pPr>
        <w:spacing w:before="360"/>
        <w:jc w:val="center"/>
      </w:pPr>
      <w:r>
        <w:rPr>
          <w:b/>
          <w:color w:val="9D2D2D"/>
          <w:sz w:val="26"/>
        </w:rPr>
        <w:t>Core rule: Parallelize implementation, not architecture.</w:t>
      </w:r>
    </w:p>
    <w:p>
      <w:r/>
    </w:p>
    <w:p>
      <w:pPr>
        <w:pStyle w:val="Heading1"/>
      </w:pPr>
      <w:r>
        <w:t>1. Purpose and Operating Model</w:t>
      </w:r>
    </w:p>
    <w:p>
      <w:pPr>
        <w:spacing w:after="100"/>
      </w:pPr>
      <w:r>
        <w:t>This guide is the single Claude Code operating procedure for turning the ServiceForm AI architecture into an integrated platform using multiple AI agents without architecture drift, contract drift, unsafe merges or unsupported certification claims.</w:t>
      </w:r>
    </w:p>
    <w:p>
      <w:pPr>
        <w:spacing w:before="60" w:after="140"/>
        <w:ind w:left="360" w:right="144"/>
        <w:shd w:fill="F3F5F7"/>
      </w:pPr>
      <w:r>
        <w:rPr>
          <w:rFonts w:ascii="Consolas" w:hAnsi="Consolas"/>
          <w:sz w:val="17"/>
        </w:rPr>
        <w:t>READ → VERIFY ARCHITECTURE → PLAN → FREEZE CONTRACTS → DISPATCH → BUILD → TEST → INTEGRATE → VERIFY → GATE → CONTINUE</w:t>
      </w:r>
    </w:p>
    <w:p>
      <w:pPr>
        <w:spacing w:after="100"/>
      </w:pPr>
      <w:r>
        <w:t>Claude is not instructed to “build all 61 components now.” The lead decomposes the build into dependency-ready tasks and dispatches bounded agents only after contracts and write scopes are explicit.</w:t>
      </w:r>
    </w:p>
    <w:p>
      <w:pPr>
        <w:pStyle w:val="Heading1"/>
      </w:pPr>
      <w:r>
        <w:t>2. Claude Code Execution Modes</w:t>
      </w:r>
    </w:p>
    <w:p>
      <w:pPr>
        <w:pStyle w:val="Heading2"/>
      </w:pPr>
      <w:r>
        <w:t>2.1 Mode A — Claude Agent Teams</w:t>
      </w:r>
    </w:p>
    <w:p>
      <w:pPr>
        <w:spacing w:after="100"/>
      </w:pPr>
      <w:r>
        <w:t>Use Claude Agent Teams when the installed Claude Code version supports them and the feature has been explicitly enabled. The lead session coordinates separate teammate sessions through a shared task list and direct messaging. Anthropic currently documents Agent Teams as experimental and disabled by default, so ServiceForm repository controls remain authoritative even when the team runtime is used.</w:t>
      </w:r>
    </w:p>
    <w:p>
      <w:pPr>
        <w:spacing w:before="60" w:after="140"/>
        <w:ind w:left="360" w:right="144"/>
        <w:shd w:fill="F3F5F7"/>
      </w:pPr>
      <w:r>
        <w:rPr>
          <w:rFonts w:ascii="Consolas" w:hAnsi="Consolas"/>
          <w:sz w:val="17"/>
        </w:rPr>
        <w:t>{</w:t>
        <w:br/>
        <w:t xml:space="preserve">  "env": {"CLAUDE_CODE_EXPERIMENTAL_AGENT_TEAMS": "1"},</w:t>
        <w:br/>
        <w:t xml:space="preserve">  "teammateMode": "auto"</w:t>
        <w:br/>
        <w:t>}</w:t>
      </w:r>
    </w:p>
    <w:p>
      <w:pPr>
        <w:pStyle w:val="Heading2"/>
      </w:pPr>
      <w:r>
        <w:t>2.2 Mode B — Independent sessions + Git worktrees</w:t>
      </w:r>
    </w:p>
    <w:p>
      <w:pPr>
        <w:spacing w:after="100"/>
      </w:pPr>
      <w:r>
        <w:t>Use separate Claude Code sessions and dedicated Git worktrees when Agent Teams are unavailable, intentionally disabled or inappropriate for the work. The repository orchestrator files provide the same task ownership, contract locks and evidence flow.</w:t>
      </w:r>
    </w:p>
    <w:p>
      <w:pPr>
        <w:pStyle w:val="Heading1"/>
      </w:pPr>
      <w:r>
        <w:t>3. Mandatory Read Order</w:t>
      </w:r>
    </w:p>
    <w:p>
      <w:pPr>
        <w:pStyle w:val="ListNumber"/>
      </w:pPr>
      <w:r>
        <w:t>00_READ_FIRST.md</w:t>
      </w:r>
    </w:p>
    <w:p>
      <w:pPr>
        <w:pStyle w:val="ListNumber"/>
      </w:pPr>
      <w:r>
        <w:t>CLAUDE-MULTI-AGENT-GUIDE.md</w:t>
      </w:r>
    </w:p>
    <w:p>
      <w:pPr>
        <w:pStyle w:val="ListNumber"/>
      </w:pPr>
      <w:r>
        <w:t>CLAUDE.md</w:t>
      </w:r>
    </w:p>
    <w:p>
      <w:pPr>
        <w:pStyle w:val="ListNumber"/>
      </w:pPr>
      <w:r>
        <w:t>AGENTS.md</w:t>
      </w:r>
    </w:p>
    <w:p>
      <w:pPr>
        <w:pStyle w:val="ListNumber"/>
      </w:pPr>
      <w:r>
        <w:t>ARCHITECTURE-CONSTITUTION.md</w:t>
      </w:r>
    </w:p>
    <w:p>
      <w:pPr>
        <w:pStyle w:val="ListNumber"/>
      </w:pPr>
      <w:r>
        <w:t>MULTI-AGENT-DEVELOPMENT.md</w:t>
      </w:r>
    </w:p>
    <w:p>
      <w:pPr>
        <w:pStyle w:val="ListNumber"/>
      </w:pPr>
      <w:r>
        <w:t>DESIGN-SYSTEM.md</w:t>
      </w:r>
    </w:p>
    <w:p>
      <w:pPr>
        <w:pStyle w:val="ListNumber"/>
      </w:pPr>
      <w:r>
        <w:t>SECURITY.md</w:t>
      </w:r>
    </w:p>
    <w:p>
      <w:pPr>
        <w:pStyle w:val="ListNumber"/>
      </w:pPr>
      <w:r>
        <w:t>TENANCY.md</w:t>
      </w:r>
    </w:p>
    <w:p>
      <w:pPr>
        <w:pStyle w:val="ListNumber"/>
      </w:pPr>
      <w:r>
        <w:t>WORKFLOW.md</w:t>
      </w:r>
    </w:p>
    <w:p>
      <w:pPr>
        <w:pStyle w:val="ListNumber"/>
      </w:pPr>
      <w:r>
        <w:t>TESTING.md</w:t>
      </w:r>
    </w:p>
    <w:p>
      <w:pPr>
        <w:pStyle w:val="ListNumber"/>
      </w:pPr>
      <w:r>
        <w:t>AI-GOVERNANCE.md</w:t>
      </w:r>
    </w:p>
    <w:p>
      <w:pPr>
        <w:pStyle w:val="ListNumber"/>
      </w:pPr>
      <w:r>
        <w:t>MODEL-ROUTING-QUALITY.md</w:t>
      </w:r>
    </w:p>
    <w:p>
      <w:pPr>
        <w:pStyle w:val="ListNumber"/>
      </w:pPr>
      <w:r>
        <w:t>specs/model-routing-quality.yaml</w:t>
      </w:r>
    </w:p>
    <w:p>
      <w:pPr>
        <w:pStyle w:val="ListNumber"/>
      </w:pPr>
      <w:r>
        <w:t>specs/build-plan.yaml</w:t>
      </w:r>
    </w:p>
    <w:p>
      <w:pPr>
        <w:pStyle w:val="ListNumber"/>
      </w:pPr>
      <w:r>
        <w:t>specs/component-map.yaml</w:t>
      </w:r>
    </w:p>
    <w:p>
      <w:pPr>
        <w:pStyle w:val="ListNumber"/>
      </w:pPr>
      <w:r>
        <w:t>specs/integration-map.yaml</w:t>
      </w:r>
    </w:p>
    <w:p>
      <w:pPr>
        <w:pStyle w:val="ListNumber"/>
      </w:pPr>
      <w:r>
        <w:t>specs/agent-topology.yaml</w:t>
      </w:r>
    </w:p>
    <w:p>
      <w:pPr>
        <w:pStyle w:val="ListNumber"/>
      </w:pPr>
      <w:r>
        <w:t>specs/agent-orchestration.yaml</w:t>
      </w:r>
    </w:p>
    <w:p>
      <w:pPr>
        <w:pStyle w:val="ListNumber"/>
      </w:pPr>
      <w:r>
        <w:t>orchestrator/contracts-lock.yaml</w:t>
      </w:r>
    </w:p>
    <w:p>
      <w:pPr>
        <w:pStyle w:val="ListNumber"/>
      </w:pPr>
      <w:r>
        <w:t>Current gate/evidence state</w:t>
      </w:r>
    </w:p>
    <w:p>
      <w:pPr>
        <w:pStyle w:val="ListNumber"/>
      </w:pPr>
      <w:r>
        <w:t>Relevant authoritative specification sections for the planned module only</w:t>
      </w:r>
    </w:p>
    <w:p>
      <w:pPr>
        <w:spacing w:after="100"/>
      </w:pPr>
      <w:r>
        <w:t>Workers should not load every large specification. The lead places relevant CMP/INT requirements into the task envelope, and the worker reads only the required source sections plus common rules.</w:t>
      </w:r>
    </w:p>
    <w:p>
      <w:pPr>
        <w:pStyle w:val="Heading1"/>
      </w:pPr>
      <w:r>
        <w:t>4. Source-of-Truth Precedence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5F7A"/>
            <w:tcMar>
              <w:top w:w="80" w:type="dxa"/>
              <w:start w:w="100" w:type="dxa"/>
              <w:bottom w:w="80" w:type="dxa"/>
              <w:end w:w="100" w:type="dxa"/>
            </w:tcMar>
          </w:tcPr>
          <w:p>
            <w:r>
              <w:rPr>
                <w:b/>
                <w:color w:val="FFFFFF"/>
                <w:sz w:val="18"/>
              </w:rPr>
              <w:t>Priority</w:t>
            </w:r>
          </w:p>
        </w:tc>
        <w:tc>
          <w:tcPr>
            <w:tcW w:type="dxa" w:w="3240"/>
            <w:shd w:fill="1F5F7A"/>
            <w:tcMar>
              <w:top w:w="80" w:type="dxa"/>
              <w:start w:w="100" w:type="dxa"/>
              <w:bottom w:w="80" w:type="dxa"/>
              <w:end w:w="100" w:type="dxa"/>
            </w:tcMar>
          </w:tcPr>
          <w:p>
            <w:r>
              <w:rPr>
                <w:b/>
                <w:color w:val="FFFFFF"/>
                <w:sz w:val="18"/>
              </w:rPr>
              <w:t>Source</w:t>
            </w:r>
          </w:p>
        </w:tc>
        <w:tc>
          <w:tcPr>
            <w:tcW w:type="dxa" w:w="5400"/>
            <w:shd w:fill="1F5F7A"/>
            <w:tcMar>
              <w:top w:w="80" w:type="dxa"/>
              <w:start w:w="100" w:type="dxa"/>
              <w:bottom w:w="80" w:type="dxa"/>
              <w:end w:w="100" w:type="dxa"/>
            </w:tcMar>
          </w:tcPr>
          <w:p>
            <w:r>
              <w:rPr>
                <w:b/>
                <w:color w:val="FFFFFF"/>
                <w:sz w:val="18"/>
              </w:rPr>
              <w:t>Rule</w:t>
            </w:r>
          </w:p>
        </w:tc>
      </w:tr>
      <w:tr>
        <w:trPr>
          <w:cantSplit/>
        </w:trPr>
        <w:tc>
          <w:tcPr>
            <w:tcW w:type="dxa" w:w="936"/>
            <w:tcMar>
              <w:top w:w="80" w:type="dxa"/>
              <w:start w:w="100" w:type="dxa"/>
              <w:bottom w:w="80" w:type="dxa"/>
              <w:end w:w="100" w:type="dxa"/>
            </w:tcMar>
            <w:vAlign w:val="center"/>
          </w:tcPr>
          <w:p>
            <w:r>
              <w:rPr>
                <w:sz w:val="17"/>
              </w:rPr>
              <w:t>1</w:t>
            </w:r>
          </w:p>
        </w:tc>
        <w:tc>
          <w:tcPr>
            <w:tcW w:type="dxa" w:w="3240"/>
            <w:tcMar>
              <w:top w:w="80" w:type="dxa"/>
              <w:start w:w="100" w:type="dxa"/>
              <w:bottom w:w="80" w:type="dxa"/>
              <w:end w:w="100" w:type="dxa"/>
            </w:tcMar>
            <w:vAlign w:val="center"/>
          </w:tcPr>
          <w:p>
            <w:r>
              <w:rPr>
                <w:sz w:val="17"/>
              </w:rPr>
              <w:t>Architecture Constitution / approved ADR</w:t>
            </w:r>
          </w:p>
        </w:tc>
        <w:tc>
          <w:tcPr>
            <w:tcW w:type="dxa" w:w="5400"/>
            <w:tcMar>
              <w:top w:w="80" w:type="dxa"/>
              <w:start w:w="100" w:type="dxa"/>
              <w:bottom w:w="80" w:type="dxa"/>
              <w:end w:w="100" w:type="dxa"/>
            </w:tcMar>
            <w:vAlign w:val="center"/>
          </w:tcPr>
          <w:p>
            <w:r>
              <w:rPr>
                <w:sz w:val="17"/>
              </w:rPr>
              <w:t>Cannot be overridden by agent plan.</w:t>
            </w:r>
          </w:p>
        </w:tc>
      </w:tr>
      <w:tr>
        <w:trPr>
          <w:cantSplit/>
        </w:trPr>
        <w:tc>
          <w:tcPr>
            <w:tcW w:type="dxa" w:w="936"/>
            <w:tcMar>
              <w:top w:w="80" w:type="dxa"/>
              <w:start w:w="100" w:type="dxa"/>
              <w:bottom w:w="80" w:type="dxa"/>
              <w:end w:w="100" w:type="dxa"/>
            </w:tcMar>
            <w:vAlign w:val="center"/>
          </w:tcPr>
          <w:p>
            <w:r>
              <w:rPr>
                <w:sz w:val="17"/>
              </w:rPr>
              <w:t>2</w:t>
            </w:r>
          </w:p>
        </w:tc>
        <w:tc>
          <w:tcPr>
            <w:tcW w:type="dxa" w:w="3240"/>
            <w:tcMar>
              <w:top w:w="80" w:type="dxa"/>
              <w:start w:w="100" w:type="dxa"/>
              <w:bottom w:w="80" w:type="dxa"/>
              <w:end w:w="100" w:type="dxa"/>
            </w:tcMar>
            <w:vAlign w:val="center"/>
          </w:tcPr>
          <w:p>
            <w:r>
              <w:rPr>
                <w:sz w:val="17"/>
              </w:rPr>
              <w:t>AWS Architecture v1.7</w:t>
            </w:r>
          </w:p>
        </w:tc>
        <w:tc>
          <w:tcPr>
            <w:tcW w:type="dxa" w:w="5400"/>
            <w:tcMar>
              <w:top w:w="80" w:type="dxa"/>
              <w:start w:w="100" w:type="dxa"/>
              <w:bottom w:w="80" w:type="dxa"/>
              <w:end w:w="100" w:type="dxa"/>
            </w:tcMar>
            <w:vAlign w:val="center"/>
          </w:tcPr>
          <w:p>
            <w:r>
              <w:rPr>
                <w:sz w:val="17"/>
              </w:rPr>
              <w:t>Primary runtime architecture.</w:t>
            </w:r>
          </w:p>
        </w:tc>
      </w:tr>
      <w:tr>
        <w:trPr>
          <w:cantSplit/>
        </w:trPr>
        <w:tc>
          <w:tcPr>
            <w:tcW w:type="dxa" w:w="936"/>
            <w:tcMar>
              <w:top w:w="80" w:type="dxa"/>
              <w:start w:w="100" w:type="dxa"/>
              <w:bottom w:w="80" w:type="dxa"/>
              <w:end w:w="100" w:type="dxa"/>
            </w:tcMar>
            <w:vAlign w:val="center"/>
          </w:tcPr>
          <w:p>
            <w:r>
              <w:rPr>
                <w:sz w:val="17"/>
              </w:rPr>
              <w:t>3</w:t>
            </w:r>
          </w:p>
        </w:tc>
        <w:tc>
          <w:tcPr>
            <w:tcW w:type="dxa" w:w="3240"/>
            <w:tcMar>
              <w:top w:w="80" w:type="dxa"/>
              <w:start w:w="100" w:type="dxa"/>
              <w:bottom w:w="80" w:type="dxa"/>
              <w:end w:w="100" w:type="dxa"/>
            </w:tcMar>
            <w:vAlign w:val="center"/>
          </w:tcPr>
          <w:p>
            <w:r>
              <w:rPr>
                <w:sz w:val="17"/>
              </w:rPr>
              <w:t>Building Blocks v1.4</w:t>
            </w:r>
          </w:p>
        </w:tc>
        <w:tc>
          <w:tcPr>
            <w:tcW w:type="dxa" w:w="5400"/>
            <w:tcMar>
              <w:top w:w="80" w:type="dxa"/>
              <w:start w:w="100" w:type="dxa"/>
              <w:bottom w:w="80" w:type="dxa"/>
              <w:end w:w="100" w:type="dxa"/>
            </w:tcMar>
            <w:vAlign w:val="center"/>
          </w:tcPr>
          <w:p>
            <w:r>
              <w:rPr>
                <w:sz w:val="17"/>
              </w:rPr>
              <w:t>Component, integration and certification contract.</w:t>
            </w:r>
          </w:p>
        </w:tc>
      </w:tr>
      <w:tr>
        <w:trPr>
          <w:cantSplit/>
        </w:trPr>
        <w:tc>
          <w:tcPr>
            <w:tcW w:type="dxa" w:w="936"/>
            <w:tcMar>
              <w:top w:w="80" w:type="dxa"/>
              <w:start w:w="100" w:type="dxa"/>
              <w:bottom w:w="80" w:type="dxa"/>
              <w:end w:w="100" w:type="dxa"/>
            </w:tcMar>
            <w:vAlign w:val="center"/>
          </w:tcPr>
          <w:p>
            <w:r>
              <w:rPr>
                <w:sz w:val="17"/>
              </w:rPr>
              <w:t>4</w:t>
            </w:r>
          </w:p>
        </w:tc>
        <w:tc>
          <w:tcPr>
            <w:tcW w:type="dxa" w:w="3240"/>
            <w:tcMar>
              <w:top w:w="80" w:type="dxa"/>
              <w:start w:w="100" w:type="dxa"/>
              <w:bottom w:w="80" w:type="dxa"/>
              <w:end w:w="100" w:type="dxa"/>
            </w:tcMar>
            <w:vAlign w:val="center"/>
          </w:tcPr>
          <w:p>
            <w:r>
              <w:rPr>
                <w:sz w:val="17"/>
              </w:rPr>
              <w:t>Tenant Isolation v1.0</w:t>
            </w:r>
          </w:p>
        </w:tc>
        <w:tc>
          <w:tcPr>
            <w:tcW w:type="dxa" w:w="5400"/>
            <w:tcMar>
              <w:top w:w="80" w:type="dxa"/>
              <w:start w:w="100" w:type="dxa"/>
              <w:bottom w:w="80" w:type="dxa"/>
              <w:end w:w="100" w:type="dxa"/>
            </w:tcMar>
            <w:vAlign w:val="center"/>
          </w:tcPr>
          <w:p>
            <w:r>
              <w:rPr>
                <w:sz w:val="17"/>
              </w:rPr>
              <w:t>Detailed tenant/security boundary.</w:t>
            </w:r>
          </w:p>
        </w:tc>
      </w:tr>
      <w:tr>
        <w:trPr>
          <w:cantSplit/>
        </w:trPr>
        <w:tc>
          <w:tcPr>
            <w:tcW w:type="dxa" w:w="936"/>
            <w:tcMar>
              <w:top w:w="80" w:type="dxa"/>
              <w:start w:w="100" w:type="dxa"/>
              <w:bottom w:w="80" w:type="dxa"/>
              <w:end w:w="100" w:type="dxa"/>
            </w:tcMar>
            <w:vAlign w:val="center"/>
          </w:tcPr>
          <w:p>
            <w:r>
              <w:rPr>
                <w:sz w:val="17"/>
              </w:rPr>
              <w:t>5</w:t>
            </w:r>
          </w:p>
        </w:tc>
        <w:tc>
          <w:tcPr>
            <w:tcW w:type="dxa" w:w="3240"/>
            <w:tcMar>
              <w:top w:w="80" w:type="dxa"/>
              <w:start w:w="100" w:type="dxa"/>
              <w:bottom w:w="80" w:type="dxa"/>
              <w:end w:w="100" w:type="dxa"/>
            </w:tcMar>
            <w:vAlign w:val="center"/>
          </w:tcPr>
          <w:p>
            <w:r>
              <w:rPr>
                <w:sz w:val="17"/>
              </w:rPr>
              <w:t>Frozen contracts</w:t>
            </w:r>
          </w:p>
        </w:tc>
        <w:tc>
          <w:tcPr>
            <w:tcW w:type="dxa" w:w="5400"/>
            <w:tcMar>
              <w:top w:w="80" w:type="dxa"/>
              <w:start w:w="100" w:type="dxa"/>
              <w:bottom w:w="80" w:type="dxa"/>
              <w:end w:w="100" w:type="dxa"/>
            </w:tcMar>
            <w:vAlign w:val="center"/>
          </w:tcPr>
          <w:p>
            <w:r>
              <w:rPr>
                <w:sz w:val="17"/>
              </w:rPr>
              <w:t>Executable API/event/schema/policy/workflow seam.</w:t>
            </w:r>
          </w:p>
        </w:tc>
      </w:tr>
      <w:tr>
        <w:trPr>
          <w:cantSplit/>
        </w:trPr>
        <w:tc>
          <w:tcPr>
            <w:tcW w:type="dxa" w:w="936"/>
            <w:tcMar>
              <w:top w:w="80" w:type="dxa"/>
              <w:start w:w="100" w:type="dxa"/>
              <w:bottom w:w="80" w:type="dxa"/>
              <w:end w:w="100" w:type="dxa"/>
            </w:tcMar>
            <w:vAlign w:val="center"/>
          </w:tcPr>
          <w:p>
            <w:r>
              <w:rPr>
                <w:sz w:val="17"/>
              </w:rPr>
              <w:t>6</w:t>
            </w:r>
          </w:p>
        </w:tc>
        <w:tc>
          <w:tcPr>
            <w:tcW w:type="dxa" w:w="3240"/>
            <w:tcMar>
              <w:top w:w="80" w:type="dxa"/>
              <w:start w:w="100" w:type="dxa"/>
              <w:bottom w:w="80" w:type="dxa"/>
              <w:end w:w="100" w:type="dxa"/>
            </w:tcMar>
            <w:vAlign w:val="center"/>
          </w:tcPr>
          <w:p>
            <w:r>
              <w:rPr>
                <w:sz w:val="17"/>
              </w:rPr>
              <w:t>specs/*.yaml</w:t>
            </w:r>
          </w:p>
        </w:tc>
        <w:tc>
          <w:tcPr>
            <w:tcW w:type="dxa" w:w="5400"/>
            <w:tcMar>
              <w:top w:w="80" w:type="dxa"/>
              <w:start w:w="100" w:type="dxa"/>
              <w:bottom w:w="80" w:type="dxa"/>
              <w:end w:w="100" w:type="dxa"/>
            </w:tcMar>
            <w:vAlign w:val="center"/>
          </w:tcPr>
          <w:p>
            <w:r>
              <w:rPr>
                <w:sz w:val="17"/>
              </w:rPr>
              <w:t>Build/dependency/control metadata.</w:t>
            </w:r>
          </w:p>
        </w:tc>
      </w:tr>
      <w:tr>
        <w:trPr>
          <w:cantSplit/>
        </w:trPr>
        <w:tc>
          <w:tcPr>
            <w:tcW w:type="dxa" w:w="936"/>
            <w:tcMar>
              <w:top w:w="80" w:type="dxa"/>
              <w:start w:w="100" w:type="dxa"/>
              <w:bottom w:w="80" w:type="dxa"/>
              <w:end w:w="100" w:type="dxa"/>
            </w:tcMar>
            <w:vAlign w:val="center"/>
          </w:tcPr>
          <w:p>
            <w:r>
              <w:rPr>
                <w:sz w:val="17"/>
              </w:rPr>
              <w:t>7</w:t>
            </w:r>
          </w:p>
        </w:tc>
        <w:tc>
          <w:tcPr>
            <w:tcW w:type="dxa" w:w="3240"/>
            <w:tcMar>
              <w:top w:w="80" w:type="dxa"/>
              <w:start w:w="100" w:type="dxa"/>
              <w:bottom w:w="80" w:type="dxa"/>
              <w:end w:w="100" w:type="dxa"/>
            </w:tcMar>
            <w:vAlign w:val="center"/>
          </w:tcPr>
          <w:p>
            <w:r>
              <w:rPr>
                <w:sz w:val="17"/>
              </w:rPr>
              <w:t>Repository agent instructions</w:t>
            </w:r>
          </w:p>
        </w:tc>
        <w:tc>
          <w:tcPr>
            <w:tcW w:type="dxa" w:w="5400"/>
            <w:tcMar>
              <w:top w:w="80" w:type="dxa"/>
              <w:start w:w="100" w:type="dxa"/>
              <w:bottom w:w="80" w:type="dxa"/>
              <w:end w:w="100" w:type="dxa"/>
            </w:tcMar>
            <w:vAlign w:val="center"/>
          </w:tcPr>
          <w:p>
            <w:r>
              <w:rPr>
                <w:sz w:val="17"/>
              </w:rPr>
              <w:t>Operational coding rules.</w:t>
            </w:r>
          </w:p>
        </w:tc>
      </w:tr>
      <w:tr>
        <w:trPr>
          <w:cantSplit/>
        </w:trPr>
        <w:tc>
          <w:tcPr>
            <w:tcW w:type="dxa" w:w="936"/>
            <w:tcMar>
              <w:top w:w="80" w:type="dxa"/>
              <w:start w:w="100" w:type="dxa"/>
              <w:bottom w:w="80" w:type="dxa"/>
              <w:end w:w="100" w:type="dxa"/>
            </w:tcMar>
            <w:vAlign w:val="center"/>
          </w:tcPr>
          <w:p>
            <w:r>
              <w:rPr>
                <w:sz w:val="17"/>
              </w:rPr>
              <w:t>8</w:t>
            </w:r>
          </w:p>
        </w:tc>
        <w:tc>
          <w:tcPr>
            <w:tcW w:type="dxa" w:w="3240"/>
            <w:tcMar>
              <w:top w:w="80" w:type="dxa"/>
              <w:start w:w="100" w:type="dxa"/>
              <w:bottom w:w="80" w:type="dxa"/>
              <w:end w:w="100" w:type="dxa"/>
            </w:tcMar>
            <w:vAlign w:val="center"/>
          </w:tcPr>
          <w:p>
            <w:r>
              <w:rPr>
                <w:sz w:val="17"/>
              </w:rPr>
              <w:t>Task envelope</w:t>
            </w:r>
          </w:p>
        </w:tc>
        <w:tc>
          <w:tcPr>
            <w:tcW w:type="dxa" w:w="5400"/>
            <w:tcMar>
              <w:top w:w="80" w:type="dxa"/>
              <w:start w:w="100" w:type="dxa"/>
              <w:bottom w:w="80" w:type="dxa"/>
              <w:end w:w="100" w:type="dxa"/>
            </w:tcMar>
            <w:vAlign w:val="center"/>
          </w:tcPr>
          <w:p>
            <w:r>
              <w:rPr>
                <w:sz w:val="17"/>
              </w:rPr>
              <w:t>Bounded task scope.</w:t>
            </w:r>
          </w:p>
        </w:tc>
      </w:tr>
      <w:tr>
        <w:trPr>
          <w:cantSplit/>
        </w:trPr>
        <w:tc>
          <w:tcPr>
            <w:tcW w:type="dxa" w:w="936"/>
            <w:tcMar>
              <w:top w:w="80" w:type="dxa"/>
              <w:start w:w="100" w:type="dxa"/>
              <w:bottom w:w="80" w:type="dxa"/>
              <w:end w:w="100" w:type="dxa"/>
            </w:tcMar>
            <w:vAlign w:val="center"/>
          </w:tcPr>
          <w:p>
            <w:r>
              <w:rPr>
                <w:sz w:val="17"/>
              </w:rPr>
              <w:t>9</w:t>
            </w:r>
          </w:p>
        </w:tc>
        <w:tc>
          <w:tcPr>
            <w:tcW w:type="dxa" w:w="3240"/>
            <w:tcMar>
              <w:top w:w="80" w:type="dxa"/>
              <w:start w:w="100" w:type="dxa"/>
              <w:bottom w:w="80" w:type="dxa"/>
              <w:end w:w="100" w:type="dxa"/>
            </w:tcMar>
            <w:vAlign w:val="center"/>
          </w:tcPr>
          <w:p>
            <w:r>
              <w:rPr>
                <w:sz w:val="17"/>
              </w:rPr>
              <w:t>Agent-generated plan</w:t>
            </w:r>
          </w:p>
        </w:tc>
        <w:tc>
          <w:tcPr>
            <w:tcW w:type="dxa" w:w="5400"/>
            <w:tcMar>
              <w:top w:w="80" w:type="dxa"/>
              <w:start w:w="100" w:type="dxa"/>
              <w:bottom w:w="80" w:type="dxa"/>
              <w:end w:w="100" w:type="dxa"/>
            </w:tcMar>
            <w:vAlign w:val="center"/>
          </w:tcPr>
          <w:p>
            <w:r>
              <w:rPr>
                <w:sz w:val="17"/>
              </w:rPr>
              <w:t>Lowest authority.</w:t>
            </w:r>
          </w:p>
        </w:tc>
      </w:tr>
    </w:tbl>
    <w:p>
      <w:pPr>
        <w:spacing w:after="40"/>
      </w:pPr>
    </w:p>
    <w:p>
      <w:pPr>
        <w:pStyle w:val="Heading1"/>
      </w:pPr>
      <w:r>
        <w:t>5. Phase 0 — Repository and Architecture Verification</w:t>
      </w:r>
    </w:p>
    <w:p>
      <w:pPr>
        <w:pStyle w:val="ListBullet"/>
      </w:pPr>
      <w:r>
        <w:t>Inspect Git status and baseline commit.</w:t>
      </w:r>
    </w:p>
    <w:p>
      <w:pPr>
        <w:pStyle w:val="ListBullet"/>
      </w:pPr>
      <w:r>
        <w:t>Confirm expected architecture/spec/package versions.</w:t>
      </w:r>
    </w:p>
    <w:p>
      <w:pPr>
        <w:pStyle w:val="ListBullet"/>
      </w:pPr>
      <w:r>
        <w:t>Execute the architecture verification prompt and record an audit.</w:t>
      </w:r>
    </w:p>
    <w:p>
      <w:pPr>
        <w:pStyle w:val="ListBullet"/>
      </w:pPr>
      <w:r>
        <w:t>Verify Aurora/PostgreSQL, FORCE RLS, OPA, GoRules, Temporal, outbox, immutable configuration/TenantServiceBinding, UX4G and provider simulator invariants.</w:t>
      </w:r>
    </w:p>
    <w:p>
      <w:pPr>
        <w:pStyle w:val="ListBullet"/>
      </w:pPr>
      <w:r>
        <w:t>Inspect frozen contract locks and module gates.</w:t>
      </w:r>
    </w:p>
    <w:p>
      <w:pPr>
        <w:pStyle w:val="ListBullet"/>
      </w:pPr>
      <w:r>
        <w:t>Do not write production feature code until verification is ready.</w:t>
      </w:r>
    </w:p>
    <w:p>
      <w:pPr>
        <w:spacing w:after="100"/>
      </w:pPr>
      <w:r>
        <w:t>Allowed disposition: READY_FOR_BOOTSTRAP, READY_WITH_NON_BLOCKING_GAPS, or NOT_READY.</w:t>
      </w:r>
    </w:p>
    <w:p>
      <w:pPr>
        <w:pStyle w:val="Heading1"/>
      </w:pPr>
      <w:r>
        <w:t>6. Phase 1 — Dependency-Aware Master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1F5F7A"/>
            <w:tcMar>
              <w:top w:w="80" w:type="dxa"/>
              <w:start w:w="100" w:type="dxa"/>
              <w:bottom w:w="80" w:type="dxa"/>
              <w:end w:w="100" w:type="dxa"/>
            </w:tcMar>
          </w:tcPr>
          <w:p>
            <w:r>
              <w:rPr>
                <w:b/>
                <w:color w:val="FFFFFF"/>
                <w:sz w:val="18"/>
              </w:rPr>
              <w:t>Module</w:t>
            </w:r>
          </w:p>
        </w:tc>
        <w:tc>
          <w:tcPr>
            <w:tcW w:type="dxa" w:w="5328"/>
            <w:shd w:fill="1F5F7A"/>
            <w:tcMar>
              <w:top w:w="80" w:type="dxa"/>
              <w:start w:w="100" w:type="dxa"/>
              <w:bottom w:w="80" w:type="dxa"/>
              <w:end w:w="100" w:type="dxa"/>
            </w:tcMar>
          </w:tcPr>
          <w:p>
            <w:r>
              <w:rPr>
                <w:b/>
                <w:color w:val="FFFFFF"/>
                <w:sz w:val="18"/>
              </w:rPr>
              <w:t>Focus</w:t>
            </w:r>
          </w:p>
        </w:tc>
        <w:tc>
          <w:tcPr>
            <w:tcW w:type="dxa" w:w="3384"/>
            <w:shd w:fill="1F5F7A"/>
            <w:tcMar>
              <w:top w:w="80" w:type="dxa"/>
              <w:start w:w="100" w:type="dxa"/>
              <w:bottom w:w="80" w:type="dxa"/>
              <w:end w:w="100" w:type="dxa"/>
            </w:tcMar>
          </w:tcPr>
          <w:p>
            <w:r>
              <w:rPr>
                <w:b/>
                <w:color w:val="FFFFFF"/>
                <w:sz w:val="18"/>
              </w:rPr>
              <w:t>Parallelism guidance</w:t>
            </w:r>
          </w:p>
        </w:tc>
      </w:tr>
      <w:tr>
        <w:trPr>
          <w:cantSplit/>
        </w:trPr>
        <w:tc>
          <w:tcPr>
            <w:tcW w:type="dxa" w:w="792"/>
            <w:tcMar>
              <w:top w:w="80" w:type="dxa"/>
              <w:start w:w="100" w:type="dxa"/>
              <w:bottom w:w="80" w:type="dxa"/>
              <w:end w:w="100" w:type="dxa"/>
            </w:tcMar>
            <w:vAlign w:val="center"/>
          </w:tcPr>
          <w:p>
            <w:r>
              <w:rPr>
                <w:sz w:val="17"/>
              </w:rPr>
              <w:t>M00</w:t>
            </w:r>
          </w:p>
        </w:tc>
        <w:tc>
          <w:tcPr>
            <w:tcW w:type="dxa" w:w="5328"/>
            <w:tcMar>
              <w:top w:w="80" w:type="dxa"/>
              <w:start w:w="100" w:type="dxa"/>
              <w:bottom w:w="80" w:type="dxa"/>
              <w:end w:w="100" w:type="dxa"/>
            </w:tcMar>
            <w:vAlign w:val="center"/>
          </w:tcPr>
          <w:p>
            <w:r>
              <w:rPr>
                <w:sz w:val="17"/>
              </w:rPr>
              <w:t>Architecture, repository bootstrap, CI, contract registry, orchestrator</w:t>
            </w:r>
          </w:p>
        </w:tc>
        <w:tc>
          <w:tcPr>
            <w:tcW w:type="dxa" w:w="3384"/>
            <w:tcMar>
              <w:top w:w="80" w:type="dxa"/>
              <w:start w:w="100" w:type="dxa"/>
              <w:bottom w:w="80" w:type="dxa"/>
              <w:end w:w="100" w:type="dxa"/>
            </w:tcMar>
            <w:vAlign w:val="center"/>
          </w:tcPr>
          <w:p>
            <w:r>
              <w:rPr>
                <w:sz w:val="17"/>
              </w:rPr>
              <w:t>Serial</w:t>
            </w:r>
          </w:p>
        </w:tc>
      </w:tr>
      <w:tr>
        <w:trPr>
          <w:cantSplit/>
        </w:trPr>
        <w:tc>
          <w:tcPr>
            <w:tcW w:type="dxa" w:w="792"/>
            <w:tcMar>
              <w:top w:w="80" w:type="dxa"/>
              <w:start w:w="100" w:type="dxa"/>
              <w:bottom w:w="80" w:type="dxa"/>
              <w:end w:w="100" w:type="dxa"/>
            </w:tcMar>
            <w:vAlign w:val="center"/>
          </w:tcPr>
          <w:p>
            <w:r>
              <w:rPr>
                <w:sz w:val="17"/>
              </w:rPr>
              <w:t>M01</w:t>
            </w:r>
          </w:p>
        </w:tc>
        <w:tc>
          <w:tcPr>
            <w:tcW w:type="dxa" w:w="5328"/>
            <w:tcMar>
              <w:top w:w="80" w:type="dxa"/>
              <w:start w:w="100" w:type="dxa"/>
              <w:bottom w:w="80" w:type="dxa"/>
              <w:end w:w="100" w:type="dxa"/>
            </w:tcMar>
            <w:vAlign w:val="center"/>
          </w:tcPr>
          <w:p>
            <w:r>
              <w:rPr>
                <w:sz w:val="17"/>
              </w:rPr>
              <w:t>Tenant/org/jurisdiction/security/audit/dev platform</w:t>
            </w:r>
          </w:p>
        </w:tc>
        <w:tc>
          <w:tcPr>
            <w:tcW w:type="dxa" w:w="3384"/>
            <w:tcMar>
              <w:top w:w="80" w:type="dxa"/>
              <w:start w:w="100" w:type="dxa"/>
              <w:bottom w:w="80" w:type="dxa"/>
              <w:end w:w="100" w:type="dxa"/>
            </w:tcMar>
            <w:vAlign w:val="center"/>
          </w:tcPr>
          <w:p>
            <w:r>
              <w:rPr>
                <w:sz w:val="17"/>
              </w:rPr>
              <w:t>Controlled parallel</w:t>
            </w:r>
          </w:p>
        </w:tc>
      </w:tr>
      <w:tr>
        <w:trPr>
          <w:cantSplit/>
        </w:trPr>
        <w:tc>
          <w:tcPr>
            <w:tcW w:type="dxa" w:w="792"/>
            <w:tcMar>
              <w:top w:w="80" w:type="dxa"/>
              <w:start w:w="100" w:type="dxa"/>
              <w:bottom w:w="80" w:type="dxa"/>
              <w:end w:w="100" w:type="dxa"/>
            </w:tcMar>
            <w:vAlign w:val="center"/>
          </w:tcPr>
          <w:p>
            <w:r>
              <w:rPr>
                <w:sz w:val="17"/>
              </w:rPr>
              <w:t>M02</w:t>
            </w:r>
          </w:p>
        </w:tc>
        <w:tc>
          <w:tcPr>
            <w:tcW w:type="dxa" w:w="5328"/>
            <w:tcMar>
              <w:top w:w="80" w:type="dxa"/>
              <w:start w:w="100" w:type="dxa"/>
              <w:bottom w:w="80" w:type="dxa"/>
              <w:end w:w="100" w:type="dxa"/>
            </w:tcMar>
            <w:vAlign w:val="center"/>
          </w:tcPr>
          <w:p>
            <w:r>
              <w:rPr>
                <w:sz w:val="17"/>
              </w:rPr>
              <w:t>Identity/profile</w:t>
            </w:r>
          </w:p>
        </w:tc>
        <w:tc>
          <w:tcPr>
            <w:tcW w:type="dxa" w:w="3384"/>
            <w:tcMar>
              <w:top w:w="80" w:type="dxa"/>
              <w:start w:w="100" w:type="dxa"/>
              <w:bottom w:w="80" w:type="dxa"/>
              <w:end w:w="100" w:type="dxa"/>
            </w:tcMar>
            <w:vAlign w:val="center"/>
          </w:tcPr>
          <w:p>
            <w:r>
              <w:rPr>
                <w:sz w:val="17"/>
              </w:rPr>
              <w:t>Parallel with M03 after M01</w:t>
            </w:r>
          </w:p>
        </w:tc>
      </w:tr>
      <w:tr>
        <w:trPr>
          <w:cantSplit/>
        </w:trPr>
        <w:tc>
          <w:tcPr>
            <w:tcW w:type="dxa" w:w="792"/>
            <w:tcMar>
              <w:top w:w="80" w:type="dxa"/>
              <w:start w:w="100" w:type="dxa"/>
              <w:bottom w:w="80" w:type="dxa"/>
              <w:end w:w="100" w:type="dxa"/>
            </w:tcMar>
            <w:vAlign w:val="center"/>
          </w:tcPr>
          <w:p>
            <w:r>
              <w:rPr>
                <w:sz w:val="17"/>
              </w:rPr>
              <w:t>M03</w:t>
            </w:r>
          </w:p>
        </w:tc>
        <w:tc>
          <w:tcPr>
            <w:tcW w:type="dxa" w:w="5328"/>
            <w:tcMar>
              <w:top w:w="80" w:type="dxa"/>
              <w:start w:w="100" w:type="dxa"/>
              <w:bottom w:w="80" w:type="dxa"/>
              <w:end w:w="100" w:type="dxa"/>
            </w:tcMar>
            <w:vAlign w:val="center"/>
          </w:tcPr>
          <w:p>
            <w:r>
              <w:rPr>
                <w:sz w:val="17"/>
              </w:rPr>
              <w:t>Catalogue, Studio, UX4G, publishing/versioning</w:t>
            </w:r>
          </w:p>
        </w:tc>
        <w:tc>
          <w:tcPr>
            <w:tcW w:type="dxa" w:w="3384"/>
            <w:tcMar>
              <w:top w:w="80" w:type="dxa"/>
              <w:start w:w="100" w:type="dxa"/>
              <w:bottom w:w="80" w:type="dxa"/>
              <w:end w:w="100" w:type="dxa"/>
            </w:tcMar>
            <w:vAlign w:val="center"/>
          </w:tcPr>
          <w:p>
            <w:r>
              <w:rPr>
                <w:sz w:val="17"/>
              </w:rPr>
              <w:t>Parallel with M02 after M01</w:t>
            </w:r>
          </w:p>
        </w:tc>
      </w:tr>
      <w:tr>
        <w:trPr>
          <w:cantSplit/>
        </w:trPr>
        <w:tc>
          <w:tcPr>
            <w:tcW w:type="dxa" w:w="792"/>
            <w:tcMar>
              <w:top w:w="80" w:type="dxa"/>
              <w:start w:w="100" w:type="dxa"/>
              <w:bottom w:w="80" w:type="dxa"/>
              <w:end w:w="100" w:type="dxa"/>
            </w:tcMar>
            <w:vAlign w:val="center"/>
          </w:tcPr>
          <w:p>
            <w:r>
              <w:rPr>
                <w:sz w:val="17"/>
              </w:rPr>
              <w:t>M04</w:t>
            </w:r>
          </w:p>
        </w:tc>
        <w:tc>
          <w:tcPr>
            <w:tcW w:type="dxa" w:w="5328"/>
            <w:tcMar>
              <w:top w:w="80" w:type="dxa"/>
              <w:start w:w="100" w:type="dxa"/>
              <w:bottom w:w="80" w:type="dxa"/>
              <w:end w:w="100" w:type="dxa"/>
            </w:tcMar>
            <w:vAlign w:val="center"/>
          </w:tcPr>
          <w:p>
            <w:r>
              <w:rPr>
                <w:sz w:val="17"/>
              </w:rPr>
              <w:t>Forms/rules/evidence/upload/OCR/semantic metadata</w:t>
            </w:r>
          </w:p>
        </w:tc>
        <w:tc>
          <w:tcPr>
            <w:tcW w:type="dxa" w:w="3384"/>
            <w:tcMar>
              <w:top w:w="80" w:type="dxa"/>
              <w:start w:w="100" w:type="dxa"/>
              <w:bottom w:w="80" w:type="dxa"/>
              <w:end w:w="100" w:type="dxa"/>
            </w:tcMar>
            <w:vAlign w:val="center"/>
          </w:tcPr>
          <w:p>
            <w:r>
              <w:rPr>
                <w:sz w:val="17"/>
              </w:rPr>
              <w:t>High parallel after contracts freeze</w:t>
            </w:r>
          </w:p>
        </w:tc>
      </w:tr>
      <w:tr>
        <w:trPr>
          <w:cantSplit/>
        </w:trPr>
        <w:tc>
          <w:tcPr>
            <w:tcW w:type="dxa" w:w="792"/>
            <w:tcMar>
              <w:top w:w="80" w:type="dxa"/>
              <w:start w:w="100" w:type="dxa"/>
              <w:bottom w:w="80" w:type="dxa"/>
              <w:end w:w="100" w:type="dxa"/>
            </w:tcMar>
            <w:vAlign w:val="center"/>
          </w:tcPr>
          <w:p>
            <w:r>
              <w:rPr>
                <w:sz w:val="17"/>
              </w:rPr>
              <w:t>M05</w:t>
            </w:r>
          </w:p>
        </w:tc>
        <w:tc>
          <w:tcPr>
            <w:tcW w:type="dxa" w:w="5328"/>
            <w:tcMar>
              <w:top w:w="80" w:type="dxa"/>
              <w:start w:w="100" w:type="dxa"/>
              <w:bottom w:w="80" w:type="dxa"/>
              <w:end w:w="100" w:type="dxa"/>
            </w:tcMar>
            <w:vAlign w:val="center"/>
          </w:tcPr>
          <w:p>
            <w:r>
              <w:rPr>
                <w:sz w:val="17"/>
              </w:rPr>
              <w:t>Application/workflow/tasks/deficiency/SLA/verification</w:t>
            </w:r>
          </w:p>
        </w:tc>
        <w:tc>
          <w:tcPr>
            <w:tcW w:type="dxa" w:w="3384"/>
            <w:tcMar>
              <w:top w:w="80" w:type="dxa"/>
              <w:start w:w="100" w:type="dxa"/>
              <w:bottom w:w="80" w:type="dxa"/>
              <w:end w:w="100" w:type="dxa"/>
            </w:tcMar>
            <w:vAlign w:val="center"/>
          </w:tcPr>
          <w:p>
            <w:r>
              <w:rPr>
                <w:sz w:val="17"/>
              </w:rPr>
              <w:t>Tightly coordinated pod</w:t>
            </w:r>
          </w:p>
        </w:tc>
      </w:tr>
      <w:tr>
        <w:trPr>
          <w:cantSplit/>
        </w:trPr>
        <w:tc>
          <w:tcPr>
            <w:tcW w:type="dxa" w:w="792"/>
            <w:tcMar>
              <w:top w:w="80" w:type="dxa"/>
              <w:start w:w="100" w:type="dxa"/>
              <w:bottom w:w="80" w:type="dxa"/>
              <w:end w:w="100" w:type="dxa"/>
            </w:tcMar>
            <w:vAlign w:val="center"/>
          </w:tcPr>
          <w:p>
            <w:r>
              <w:rPr>
                <w:sz w:val="17"/>
              </w:rPr>
              <w:t>M06</w:t>
            </w:r>
          </w:p>
        </w:tc>
        <w:tc>
          <w:tcPr>
            <w:tcW w:type="dxa" w:w="5328"/>
            <w:tcMar>
              <w:top w:w="80" w:type="dxa"/>
              <w:start w:w="100" w:type="dxa"/>
              <w:bottom w:w="80" w:type="dxa"/>
              <w:end w:w="100" w:type="dxa"/>
            </w:tcMar>
            <w:vAlign w:val="center"/>
          </w:tcPr>
          <w:p>
            <w:r>
              <w:rPr>
                <w:sz w:val="17"/>
              </w:rPr>
              <w:t>Payment/notifications/connectors/simulators</w:t>
            </w:r>
          </w:p>
        </w:tc>
        <w:tc>
          <w:tcPr>
            <w:tcW w:type="dxa" w:w="3384"/>
            <w:tcMar>
              <w:top w:w="80" w:type="dxa"/>
              <w:start w:w="100" w:type="dxa"/>
              <w:bottom w:w="80" w:type="dxa"/>
              <w:end w:w="100" w:type="dxa"/>
            </w:tcMar>
            <w:vAlign w:val="center"/>
          </w:tcPr>
          <w:p>
            <w:r>
              <w:rPr>
                <w:sz w:val="17"/>
              </w:rPr>
              <w:t>Parallel after M05</w:t>
            </w:r>
          </w:p>
        </w:tc>
      </w:tr>
      <w:tr>
        <w:trPr>
          <w:cantSplit/>
        </w:trPr>
        <w:tc>
          <w:tcPr>
            <w:tcW w:type="dxa" w:w="792"/>
            <w:tcMar>
              <w:top w:w="80" w:type="dxa"/>
              <w:start w:w="100" w:type="dxa"/>
              <w:bottom w:w="80" w:type="dxa"/>
              <w:end w:w="100" w:type="dxa"/>
            </w:tcMar>
            <w:vAlign w:val="center"/>
          </w:tcPr>
          <w:p>
            <w:r>
              <w:rPr>
                <w:sz w:val="17"/>
              </w:rPr>
              <w:t>M07</w:t>
            </w:r>
          </w:p>
        </w:tc>
        <w:tc>
          <w:tcPr>
            <w:tcW w:type="dxa" w:w="5328"/>
            <w:tcMar>
              <w:top w:w="80" w:type="dxa"/>
              <w:start w:w="100" w:type="dxa"/>
              <w:bottom w:w="80" w:type="dxa"/>
              <w:end w:w="100" w:type="dxa"/>
            </w:tcMar>
            <w:vAlign w:val="center"/>
          </w:tcPr>
          <w:p>
            <w:r>
              <w:rPr>
                <w:sz w:val="17"/>
              </w:rPr>
              <w:t>Credentials/signing/QR/revocation/DigiLocker</w:t>
            </w:r>
          </w:p>
        </w:tc>
        <w:tc>
          <w:tcPr>
            <w:tcW w:type="dxa" w:w="3384"/>
            <w:tcMar>
              <w:top w:w="80" w:type="dxa"/>
              <w:start w:w="100" w:type="dxa"/>
              <w:bottom w:w="80" w:type="dxa"/>
              <w:end w:w="100" w:type="dxa"/>
            </w:tcMar>
            <w:vAlign w:val="center"/>
          </w:tcPr>
          <w:p>
            <w:r>
              <w:rPr>
                <w:sz w:val="17"/>
              </w:rPr>
              <w:t>Follows M06</w:t>
            </w:r>
          </w:p>
        </w:tc>
      </w:tr>
      <w:tr>
        <w:trPr>
          <w:cantSplit/>
        </w:trPr>
        <w:tc>
          <w:tcPr>
            <w:tcW w:type="dxa" w:w="792"/>
            <w:tcMar>
              <w:top w:w="80" w:type="dxa"/>
              <w:start w:w="100" w:type="dxa"/>
              <w:bottom w:w="80" w:type="dxa"/>
              <w:end w:w="100" w:type="dxa"/>
            </w:tcMar>
            <w:vAlign w:val="center"/>
          </w:tcPr>
          <w:p>
            <w:r>
              <w:rPr>
                <w:sz w:val="17"/>
              </w:rPr>
              <w:t>M08</w:t>
            </w:r>
          </w:p>
        </w:tc>
        <w:tc>
          <w:tcPr>
            <w:tcW w:type="dxa" w:w="5328"/>
            <w:tcMar>
              <w:top w:w="80" w:type="dxa"/>
              <w:start w:w="100" w:type="dxa"/>
              <w:bottom w:w="80" w:type="dxa"/>
              <w:end w:w="100" w:type="dxa"/>
            </w:tcMar>
            <w:vAlign w:val="center"/>
          </w:tcPr>
          <w:p>
            <w:r>
              <w:rPr>
                <w:sz w:val="17"/>
              </w:rPr>
              <w:t>Discovery/recommendation/AI/analytics</w:t>
            </w:r>
          </w:p>
        </w:tc>
        <w:tc>
          <w:tcPr>
            <w:tcW w:type="dxa" w:w="3384"/>
            <w:tcMar>
              <w:top w:w="80" w:type="dxa"/>
              <w:start w:w="100" w:type="dxa"/>
              <w:bottom w:w="80" w:type="dxa"/>
              <w:end w:w="100" w:type="dxa"/>
            </w:tcMar>
            <w:vAlign w:val="center"/>
          </w:tcPr>
          <w:p>
            <w:r>
              <w:rPr>
                <w:sz w:val="17"/>
              </w:rPr>
              <w:t>Can overlap M06 after prerequisites</w:t>
            </w:r>
          </w:p>
        </w:tc>
      </w:tr>
      <w:tr>
        <w:trPr>
          <w:cantSplit/>
        </w:trPr>
        <w:tc>
          <w:tcPr>
            <w:tcW w:type="dxa" w:w="792"/>
            <w:tcMar>
              <w:top w:w="80" w:type="dxa"/>
              <w:start w:w="100" w:type="dxa"/>
              <w:bottom w:w="80" w:type="dxa"/>
              <w:end w:w="100" w:type="dxa"/>
            </w:tcMar>
            <w:vAlign w:val="center"/>
          </w:tcPr>
          <w:p>
            <w:r>
              <w:rPr>
                <w:sz w:val="17"/>
              </w:rPr>
              <w:t>M09</w:t>
            </w:r>
          </w:p>
        </w:tc>
        <w:tc>
          <w:tcPr>
            <w:tcW w:type="dxa" w:w="5328"/>
            <w:tcMar>
              <w:top w:w="80" w:type="dxa"/>
              <w:start w:w="100" w:type="dxa"/>
              <w:bottom w:w="80" w:type="dxa"/>
              <w:end w:w="100" w:type="dxa"/>
            </w:tcMar>
            <w:vAlign w:val="center"/>
          </w:tcPr>
          <w:p>
            <w:r>
              <w:rPr>
                <w:sz w:val="17"/>
              </w:rPr>
              <w:t>World-class extensions</w:t>
            </w:r>
          </w:p>
        </w:tc>
        <w:tc>
          <w:tcPr>
            <w:tcW w:type="dxa" w:w="3384"/>
            <w:tcMar>
              <w:top w:w="80" w:type="dxa"/>
              <w:start w:w="100" w:type="dxa"/>
              <w:bottom w:w="80" w:type="dxa"/>
              <w:end w:w="100" w:type="dxa"/>
            </w:tcMar>
            <w:vAlign w:val="center"/>
          </w:tcPr>
          <w:p>
            <w:r>
              <w:rPr>
                <w:sz w:val="17"/>
              </w:rPr>
              <w:t>Bounded agents</w:t>
            </w:r>
          </w:p>
        </w:tc>
      </w:tr>
      <w:tr>
        <w:trPr>
          <w:cantSplit/>
        </w:trPr>
        <w:tc>
          <w:tcPr>
            <w:tcW w:type="dxa" w:w="792"/>
            <w:tcMar>
              <w:top w:w="80" w:type="dxa"/>
              <w:start w:w="100" w:type="dxa"/>
              <w:bottom w:w="80" w:type="dxa"/>
              <w:end w:w="100" w:type="dxa"/>
            </w:tcMar>
            <w:vAlign w:val="center"/>
          </w:tcPr>
          <w:p>
            <w:r>
              <w:rPr>
                <w:sz w:val="17"/>
              </w:rPr>
              <w:t>M10</w:t>
            </w:r>
          </w:p>
        </w:tc>
        <w:tc>
          <w:tcPr>
            <w:tcW w:type="dxa" w:w="5328"/>
            <w:tcMar>
              <w:top w:w="80" w:type="dxa"/>
              <w:start w:w="100" w:type="dxa"/>
              <w:bottom w:w="80" w:type="dxa"/>
              <w:end w:w="100" w:type="dxa"/>
            </w:tcMar>
            <w:vAlign w:val="center"/>
          </w:tcPr>
          <w:p>
            <w:r>
              <w:rPr>
                <w:sz w:val="17"/>
              </w:rPr>
              <w:t>Golden Residence Certificate E2E</w:t>
            </w:r>
          </w:p>
        </w:tc>
        <w:tc>
          <w:tcPr>
            <w:tcW w:type="dxa" w:w="3384"/>
            <w:tcMar>
              <w:top w:w="80" w:type="dxa"/>
              <w:start w:w="100" w:type="dxa"/>
              <w:bottom w:w="80" w:type="dxa"/>
              <w:end w:w="100" w:type="dxa"/>
            </w:tcMar>
            <w:vAlign w:val="center"/>
          </w:tcPr>
          <w:p>
            <w:r>
              <w:rPr>
                <w:sz w:val="17"/>
              </w:rPr>
              <w:t>Integrated certification</w:t>
            </w:r>
          </w:p>
        </w:tc>
      </w:tr>
      <w:tr>
        <w:trPr>
          <w:cantSplit/>
        </w:trPr>
        <w:tc>
          <w:tcPr>
            <w:tcW w:type="dxa" w:w="792"/>
            <w:tcMar>
              <w:top w:w="80" w:type="dxa"/>
              <w:start w:w="100" w:type="dxa"/>
              <w:bottom w:w="80" w:type="dxa"/>
              <w:end w:w="100" w:type="dxa"/>
            </w:tcMar>
            <w:vAlign w:val="center"/>
          </w:tcPr>
          <w:p>
            <w:r>
              <w:rPr>
                <w:sz w:val="17"/>
              </w:rPr>
              <w:t>M11</w:t>
            </w:r>
          </w:p>
        </w:tc>
        <w:tc>
          <w:tcPr>
            <w:tcW w:type="dxa" w:w="5328"/>
            <w:tcMar>
              <w:top w:w="80" w:type="dxa"/>
              <w:start w:w="100" w:type="dxa"/>
              <w:bottom w:w="80" w:type="dxa"/>
              <w:end w:w="100" w:type="dxa"/>
            </w:tcMar>
            <w:vAlign w:val="center"/>
          </w:tcPr>
          <w:p>
            <w:r>
              <w:rPr>
                <w:sz w:val="17"/>
              </w:rPr>
              <w:t>Second-service reuse proof</w:t>
            </w:r>
          </w:p>
        </w:tc>
        <w:tc>
          <w:tcPr>
            <w:tcW w:type="dxa" w:w="3384"/>
            <w:tcMar>
              <w:top w:w="80" w:type="dxa"/>
              <w:start w:w="100" w:type="dxa"/>
              <w:bottom w:w="80" w:type="dxa"/>
              <w:end w:w="100" w:type="dxa"/>
            </w:tcMar>
            <w:vAlign w:val="center"/>
          </w:tcPr>
          <w:p>
            <w:r>
              <w:rPr>
                <w:sz w:val="17"/>
              </w:rPr>
              <w:t>Metadata-first proof</w:t>
            </w:r>
          </w:p>
        </w:tc>
      </w:tr>
    </w:tbl>
    <w:p>
      <w:pPr>
        <w:spacing w:after="40"/>
      </w:pPr>
    </w:p>
    <w:p>
      <w:pPr>
        <w:spacing w:after="100"/>
      </w:pPr>
      <w:r>
        <w:t>Start with approximately 5–8 concurrent coding agents. Increase only after contract, CI and integration stability are demonstrated.</w:t>
      </w:r>
    </w:p>
    <w:p>
      <w:pPr>
        <w:pStyle w:val="Heading1"/>
      </w:pPr>
      <w:r>
        <w:t>7. Phase 2 — Freeze Contracts Before Parallel Work</w:t>
      </w:r>
    </w:p>
    <w:p>
      <w:pPr>
        <w:spacing w:after="100"/>
      </w:pPr>
      <w:r>
        <w:t>Before dispatch, define OpenAPI/AsyncAPI/JSON Schema contracts, error codes, tenant and authorization fields, idempotency, state transitions, data ownership, UX4G contract and SLO expectations.</w:t>
      </w:r>
    </w:p>
    <w:p>
      <w:pPr>
        <w:spacing w:before="60" w:after="140"/>
        <w:ind w:left="360" w:right="144"/>
        <w:shd w:fill="F3F5F7"/>
      </w:pPr>
      <w:r>
        <w:rPr>
          <w:rFonts w:ascii="Consolas" w:hAnsi="Consolas"/>
          <w:sz w:val="17"/>
        </w:rPr>
        <w:t>DRAFT → REVIEW → FROZEN → CHANGING → SUPERSEDED / DEPRECATED</w:t>
      </w:r>
    </w:p>
    <w:p>
      <w:pPr>
        <w:spacing w:after="100"/>
      </w:pPr>
      <w:r>
        <w:t>A worker consumes FROZEN contracts but does not edit them. Required changes become Contract Change Requests with compatibility impact, affected consumers, migration and tests.</w:t>
      </w:r>
    </w:p>
    <w:p>
      <w:pPr>
        <w:pStyle w:val="Heading1"/>
      </w:pPr>
      <w:r>
        <w:t>8. Phase 3 — Task Envelopes and Single-Writer Ownership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5F7A"/>
            <w:tcMar>
              <w:top w:w="80" w:type="dxa"/>
              <w:start w:w="100" w:type="dxa"/>
              <w:bottom w:w="80" w:type="dxa"/>
              <w:end w:w="100" w:type="dxa"/>
            </w:tcMar>
          </w:tcPr>
          <w:p>
            <w:r>
              <w:rPr>
                <w:b/>
                <w:color w:val="FFFFFF"/>
                <w:sz w:val="18"/>
              </w:rPr>
              <w:t>Task envelope field</w:t>
            </w:r>
          </w:p>
        </w:tc>
        <w:tc>
          <w:tcPr>
            <w:tcW w:type="dxa" w:w="7488"/>
            <w:shd w:fill="1F5F7A"/>
            <w:tcMar>
              <w:top w:w="80" w:type="dxa"/>
              <w:start w:w="100" w:type="dxa"/>
              <w:bottom w:w="80" w:type="dxa"/>
              <w:end w:w="100" w:type="dxa"/>
            </w:tcMar>
          </w:tcPr>
          <w:p>
            <w:r>
              <w:rPr>
                <w:b/>
                <w:color w:val="FFFFFF"/>
                <w:sz w:val="18"/>
              </w:rPr>
              <w:t>Required content</w:t>
            </w:r>
          </w:p>
        </w:tc>
      </w:tr>
      <w:tr>
        <w:trPr>
          <w:cantSplit/>
        </w:trPr>
        <w:tc>
          <w:tcPr>
            <w:tcW w:type="dxa" w:w="2088"/>
            <w:tcMar>
              <w:top w:w="80" w:type="dxa"/>
              <w:start w:w="100" w:type="dxa"/>
              <w:bottom w:w="80" w:type="dxa"/>
              <w:end w:w="100" w:type="dxa"/>
            </w:tcMar>
            <w:vAlign w:val="center"/>
          </w:tcPr>
          <w:p>
            <w:r>
              <w:rPr>
                <w:sz w:val="17"/>
              </w:rPr>
              <w:t>Identity</w:t>
            </w:r>
          </w:p>
        </w:tc>
        <w:tc>
          <w:tcPr>
            <w:tcW w:type="dxa" w:w="7488"/>
            <w:tcMar>
              <w:top w:w="80" w:type="dxa"/>
              <w:start w:w="100" w:type="dxa"/>
              <w:bottom w:w="80" w:type="dxa"/>
              <w:end w:w="100" w:type="dxa"/>
            </w:tcMar>
            <w:vAlign w:val="center"/>
          </w:tcPr>
          <w:p>
            <w:r>
              <w:rPr>
                <w:sz w:val="17"/>
              </w:rPr>
              <w:t>task_id, module, CMP/INT IDs, agent role</w:t>
            </w:r>
          </w:p>
        </w:tc>
      </w:tr>
      <w:tr>
        <w:trPr>
          <w:cantSplit/>
        </w:trPr>
        <w:tc>
          <w:tcPr>
            <w:tcW w:type="dxa" w:w="2088"/>
            <w:tcMar>
              <w:top w:w="80" w:type="dxa"/>
              <w:start w:w="100" w:type="dxa"/>
              <w:bottom w:w="80" w:type="dxa"/>
              <w:end w:w="100" w:type="dxa"/>
            </w:tcMar>
            <w:vAlign w:val="center"/>
          </w:tcPr>
          <w:p>
            <w:r>
              <w:rPr>
                <w:sz w:val="17"/>
              </w:rPr>
              <w:t>Dependencies</w:t>
            </w:r>
          </w:p>
        </w:tc>
        <w:tc>
          <w:tcPr>
            <w:tcW w:type="dxa" w:w="7488"/>
            <w:tcMar>
              <w:top w:w="80" w:type="dxa"/>
              <w:start w:w="100" w:type="dxa"/>
              <w:bottom w:w="80" w:type="dxa"/>
              <w:end w:w="100" w:type="dxa"/>
            </w:tcMar>
            <w:vAlign w:val="center"/>
          </w:tcPr>
          <w:p>
            <w:r>
              <w:rPr>
                <w:sz w:val="17"/>
              </w:rPr>
              <w:t>predecessor gates and contract locks</w:t>
            </w:r>
          </w:p>
        </w:tc>
      </w:tr>
      <w:tr>
        <w:trPr>
          <w:cantSplit/>
        </w:trPr>
        <w:tc>
          <w:tcPr>
            <w:tcW w:type="dxa" w:w="2088"/>
            <w:tcMar>
              <w:top w:w="80" w:type="dxa"/>
              <w:start w:w="100" w:type="dxa"/>
              <w:bottom w:w="80" w:type="dxa"/>
              <w:end w:w="100" w:type="dxa"/>
            </w:tcMar>
            <w:vAlign w:val="center"/>
          </w:tcPr>
          <w:p>
            <w:r>
              <w:rPr>
                <w:sz w:val="17"/>
              </w:rPr>
              <w:t>Git isolation</w:t>
            </w:r>
          </w:p>
        </w:tc>
        <w:tc>
          <w:tcPr>
            <w:tcW w:type="dxa" w:w="7488"/>
            <w:tcMar>
              <w:top w:w="80" w:type="dxa"/>
              <w:start w:w="100" w:type="dxa"/>
              <w:bottom w:w="80" w:type="dxa"/>
              <w:end w:w="100" w:type="dxa"/>
            </w:tcMar>
            <w:vAlign w:val="center"/>
          </w:tcPr>
          <w:p>
            <w:r>
              <w:rPr>
                <w:sz w:val="17"/>
              </w:rPr>
              <w:t>branch + worktree</w:t>
            </w:r>
          </w:p>
        </w:tc>
      </w:tr>
      <w:tr>
        <w:trPr>
          <w:cantSplit/>
        </w:trPr>
        <w:tc>
          <w:tcPr>
            <w:tcW w:type="dxa" w:w="2088"/>
            <w:tcMar>
              <w:top w:w="80" w:type="dxa"/>
              <w:start w:w="100" w:type="dxa"/>
              <w:bottom w:w="80" w:type="dxa"/>
              <w:end w:w="100" w:type="dxa"/>
            </w:tcMar>
            <w:vAlign w:val="center"/>
          </w:tcPr>
          <w:p>
            <w:r>
              <w:rPr>
                <w:sz w:val="17"/>
              </w:rPr>
              <w:t>Write control</w:t>
            </w:r>
          </w:p>
        </w:tc>
        <w:tc>
          <w:tcPr>
            <w:tcW w:type="dxa" w:w="7488"/>
            <w:tcMar>
              <w:top w:w="80" w:type="dxa"/>
              <w:start w:w="100" w:type="dxa"/>
              <w:bottom w:w="80" w:type="dxa"/>
              <w:end w:w="100" w:type="dxa"/>
            </w:tcMar>
            <w:vAlign w:val="center"/>
          </w:tcPr>
          <w:p>
            <w:r>
              <w:rPr>
                <w:sz w:val="17"/>
              </w:rPr>
              <w:t>allowed_write_paths and read_only_paths</w:t>
            </w:r>
          </w:p>
        </w:tc>
      </w:tr>
      <w:tr>
        <w:trPr>
          <w:cantSplit/>
        </w:trPr>
        <w:tc>
          <w:tcPr>
            <w:tcW w:type="dxa" w:w="2088"/>
            <w:tcMar>
              <w:top w:w="80" w:type="dxa"/>
              <w:start w:w="100" w:type="dxa"/>
              <w:bottom w:w="80" w:type="dxa"/>
              <w:end w:w="100" w:type="dxa"/>
            </w:tcMar>
            <w:vAlign w:val="center"/>
          </w:tcPr>
          <w:p>
            <w:r>
              <w:rPr>
                <w:sz w:val="17"/>
              </w:rPr>
              <w:t>Contracts</w:t>
            </w:r>
          </w:p>
        </w:tc>
        <w:tc>
          <w:tcPr>
            <w:tcW w:type="dxa" w:w="7488"/>
            <w:tcMar>
              <w:top w:w="80" w:type="dxa"/>
              <w:start w:w="100" w:type="dxa"/>
              <w:bottom w:w="80" w:type="dxa"/>
              <w:end w:w="100" w:type="dxa"/>
            </w:tcMar>
            <w:vAlign w:val="center"/>
          </w:tcPr>
          <w:p>
            <w:r>
              <w:rPr>
                <w:sz w:val="17"/>
              </w:rPr>
              <w:t>frozen IDs/versions</w:t>
            </w:r>
          </w:p>
        </w:tc>
      </w:tr>
      <w:tr>
        <w:trPr>
          <w:cantSplit/>
        </w:trPr>
        <w:tc>
          <w:tcPr>
            <w:tcW w:type="dxa" w:w="2088"/>
            <w:tcMar>
              <w:top w:w="80" w:type="dxa"/>
              <w:start w:w="100" w:type="dxa"/>
              <w:bottom w:w="80" w:type="dxa"/>
              <w:end w:w="100" w:type="dxa"/>
            </w:tcMar>
            <w:vAlign w:val="center"/>
          </w:tcPr>
          <w:p>
            <w:r>
              <w:rPr>
                <w:sz w:val="17"/>
              </w:rPr>
              <w:t>Acceptance</w:t>
            </w:r>
          </w:p>
        </w:tc>
        <w:tc>
          <w:tcPr>
            <w:tcW w:type="dxa" w:w="7488"/>
            <w:tcMar>
              <w:top w:w="80" w:type="dxa"/>
              <w:start w:w="100" w:type="dxa"/>
              <w:bottom w:w="80" w:type="dxa"/>
              <w:end w:w="100" w:type="dxa"/>
            </w:tcMar>
            <w:vAlign w:val="center"/>
          </w:tcPr>
          <w:p>
            <w:r>
              <w:rPr>
                <w:sz w:val="17"/>
              </w:rPr>
              <w:t>exact functional and negative criteria</w:t>
            </w:r>
          </w:p>
        </w:tc>
      </w:tr>
      <w:tr>
        <w:trPr>
          <w:cantSplit/>
        </w:trPr>
        <w:tc>
          <w:tcPr>
            <w:tcW w:type="dxa" w:w="2088"/>
            <w:tcMar>
              <w:top w:w="80" w:type="dxa"/>
              <w:start w:w="100" w:type="dxa"/>
              <w:bottom w:w="80" w:type="dxa"/>
              <w:end w:w="100" w:type="dxa"/>
            </w:tcMar>
            <w:vAlign w:val="center"/>
          </w:tcPr>
          <w:p>
            <w:r>
              <w:rPr>
                <w:sz w:val="17"/>
              </w:rPr>
              <w:t>Evidence</w:t>
            </w:r>
          </w:p>
        </w:tc>
        <w:tc>
          <w:tcPr>
            <w:tcW w:type="dxa" w:w="7488"/>
            <w:tcMar>
              <w:top w:w="80" w:type="dxa"/>
              <w:start w:w="100" w:type="dxa"/>
              <w:bottom w:w="80" w:type="dxa"/>
              <w:end w:w="100" w:type="dxa"/>
            </w:tcMar>
            <w:vAlign w:val="center"/>
          </w:tcPr>
          <w:p>
            <w:r>
              <w:rPr>
                <w:sz w:val="17"/>
              </w:rPr>
              <w:t>unit/contract/integration/security/performance as applicable</w:t>
            </w:r>
          </w:p>
        </w:tc>
      </w:tr>
      <w:tr>
        <w:trPr>
          <w:cantSplit/>
        </w:trPr>
        <w:tc>
          <w:tcPr>
            <w:tcW w:type="dxa" w:w="2088"/>
            <w:tcMar>
              <w:top w:w="80" w:type="dxa"/>
              <w:start w:w="100" w:type="dxa"/>
              <w:bottom w:w="80" w:type="dxa"/>
              <w:end w:w="100" w:type="dxa"/>
            </w:tcMar>
            <w:vAlign w:val="center"/>
          </w:tcPr>
          <w:p>
            <w:r>
              <w:rPr>
                <w:sz w:val="17"/>
              </w:rPr>
              <w:t>Stop conditions</w:t>
            </w:r>
          </w:p>
        </w:tc>
        <w:tc>
          <w:tcPr>
            <w:tcW w:type="dxa" w:w="7488"/>
            <w:tcMar>
              <w:top w:w="80" w:type="dxa"/>
              <w:start w:w="100" w:type="dxa"/>
              <w:bottom w:w="80" w:type="dxa"/>
              <w:end w:w="100" w:type="dxa"/>
            </w:tcMar>
            <w:vAlign w:val="center"/>
          </w:tcPr>
          <w:p>
            <w:r>
              <w:rPr>
                <w:sz w:val="17"/>
              </w:rPr>
              <w:t>ADR, contract, security, statutory or architecture blockers</w:t>
            </w:r>
          </w:p>
        </w:tc>
      </w:tr>
      <w:tr>
        <w:trPr>
          <w:cantSplit/>
        </w:trPr>
        <w:tc>
          <w:tcPr>
            <w:tcW w:type="dxa" w:w="2088"/>
            <w:tcMar>
              <w:top w:w="80" w:type="dxa"/>
              <w:start w:w="100" w:type="dxa"/>
              <w:bottom w:w="80" w:type="dxa"/>
              <w:end w:w="100" w:type="dxa"/>
            </w:tcMar>
            <w:vAlign w:val="center"/>
          </w:tcPr>
          <w:p>
            <w:r>
              <w:rPr>
                <w:sz w:val="17"/>
              </w:rPr>
              <w:t>Handover</w:t>
            </w:r>
          </w:p>
        </w:tc>
        <w:tc>
          <w:tcPr>
            <w:tcW w:type="dxa" w:w="7488"/>
            <w:tcMar>
              <w:top w:w="80" w:type="dxa"/>
              <w:start w:w="100" w:type="dxa"/>
              <w:bottom w:w="80" w:type="dxa"/>
              <w:end w:w="100" w:type="dxa"/>
            </w:tcMar>
            <w:vAlign w:val="center"/>
          </w:tcPr>
          <w:p>
            <w:r>
              <w:rPr>
                <w:sz w:val="17"/>
              </w:rPr>
              <w:t>PR/branch, evidence and owner</w:t>
            </w:r>
          </w:p>
        </w:tc>
      </w:tr>
    </w:tbl>
    <w:p>
      <w:pPr>
        <w:spacing w:after="40"/>
      </w:pPr>
    </w:p>
    <w:p>
      <w:pPr>
        <w:spacing w:after="100"/>
      </w:pPr>
      <w:r>
        <w:t>No two active workers receive overlapping authoritative write paths unless explicitly serialized by the orchestrator.</w:t>
      </w:r>
    </w:p>
    <w:p>
      <w:pPr>
        <w:pStyle w:val="Heading1"/>
      </w:pPr>
      <w:r>
        <w:t>9. Phase 4 — Recommended Claude Agent Roles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5F7A"/>
            <w:tcMar>
              <w:top w:w="80" w:type="dxa"/>
              <w:start w:w="100" w:type="dxa"/>
              <w:bottom w:w="80" w:type="dxa"/>
              <w:end w:w="100" w:type="dxa"/>
            </w:tcMar>
          </w:tcPr>
          <w:p>
            <w:r>
              <w:rPr>
                <w:b/>
                <w:color w:val="FFFFFF"/>
                <w:sz w:val="18"/>
              </w:rPr>
              <w:t>Agent type</w:t>
            </w:r>
          </w:p>
        </w:tc>
        <w:tc>
          <w:tcPr>
            <w:tcW w:type="dxa" w:w="5112"/>
            <w:shd w:fill="1F5F7A"/>
            <w:tcMar>
              <w:top w:w="80" w:type="dxa"/>
              <w:start w:w="100" w:type="dxa"/>
              <w:bottom w:w="80" w:type="dxa"/>
              <w:end w:w="100" w:type="dxa"/>
            </w:tcMar>
          </w:tcPr>
          <w:p>
            <w:r>
              <w:rPr>
                <w:b/>
                <w:color w:val="FFFFFF"/>
                <w:sz w:val="18"/>
              </w:rPr>
              <w:t>Primary responsibility</w:t>
            </w:r>
          </w:p>
        </w:tc>
        <w:tc>
          <w:tcPr>
            <w:tcW w:type="dxa" w:w="2880"/>
            <w:shd w:fill="1F5F7A"/>
            <w:tcMar>
              <w:top w:w="80" w:type="dxa"/>
              <w:start w:w="100" w:type="dxa"/>
              <w:bottom w:w="80" w:type="dxa"/>
              <w:end w:w="100" w:type="dxa"/>
            </w:tcMar>
          </w:tcPr>
          <w:p>
            <w:r>
              <w:rPr>
                <w:b/>
                <w:color w:val="FFFFFF"/>
                <w:sz w:val="18"/>
              </w:rPr>
              <w:t>Production-code posture</w:t>
            </w:r>
          </w:p>
        </w:tc>
      </w:tr>
      <w:tr>
        <w:trPr>
          <w:cantSplit/>
        </w:trPr>
        <w:tc>
          <w:tcPr>
            <w:tcW w:type="dxa" w:w="2160"/>
            <w:tcMar>
              <w:top w:w="80" w:type="dxa"/>
              <w:start w:w="100" w:type="dxa"/>
              <w:bottom w:w="80" w:type="dxa"/>
              <w:end w:w="100" w:type="dxa"/>
            </w:tcMar>
            <w:vAlign w:val="center"/>
          </w:tcPr>
          <w:p>
            <w:r>
              <w:rPr>
                <w:sz w:val="17"/>
              </w:rPr>
              <w:t>Architecture Guardian</w:t>
            </w:r>
          </w:p>
        </w:tc>
        <w:tc>
          <w:tcPr>
            <w:tcW w:type="dxa" w:w="5112"/>
            <w:tcMar>
              <w:top w:w="80" w:type="dxa"/>
              <w:start w:w="100" w:type="dxa"/>
              <w:bottom w:w="80" w:type="dxa"/>
              <w:end w:w="100" w:type="dxa"/>
            </w:tcMar>
            <w:vAlign w:val="center"/>
          </w:tcPr>
          <w:p>
            <w:r>
              <w:rPr>
                <w:sz w:val="17"/>
              </w:rPr>
              <w:t>Architecture/ADR/contract review</w:t>
            </w:r>
          </w:p>
        </w:tc>
        <w:tc>
          <w:tcPr>
            <w:tcW w:type="dxa" w:w="2880"/>
            <w:tcMar>
              <w:top w:w="80" w:type="dxa"/>
              <w:start w:w="100" w:type="dxa"/>
              <w:bottom w:w="80" w:type="dxa"/>
              <w:end w:w="100" w:type="dxa"/>
            </w:tcMar>
            <w:vAlign w:val="center"/>
          </w:tcPr>
          <w:p>
            <w:r>
              <w:rPr>
                <w:sz w:val="17"/>
              </w:rPr>
              <w:t>Read/review only</w:t>
            </w:r>
          </w:p>
        </w:tc>
      </w:tr>
      <w:tr>
        <w:trPr>
          <w:cantSplit/>
        </w:trPr>
        <w:tc>
          <w:tcPr>
            <w:tcW w:type="dxa" w:w="2160"/>
            <w:tcMar>
              <w:top w:w="80" w:type="dxa"/>
              <w:start w:w="100" w:type="dxa"/>
              <w:bottom w:w="80" w:type="dxa"/>
              <w:end w:w="100" w:type="dxa"/>
            </w:tcMar>
            <w:vAlign w:val="center"/>
          </w:tcPr>
          <w:p>
            <w:r>
              <w:rPr>
                <w:sz w:val="17"/>
              </w:rPr>
              <w:t>Foundation Builder</w:t>
            </w:r>
          </w:p>
        </w:tc>
        <w:tc>
          <w:tcPr>
            <w:tcW w:type="dxa" w:w="5112"/>
            <w:tcMar>
              <w:top w:w="80" w:type="dxa"/>
              <w:start w:w="100" w:type="dxa"/>
              <w:bottom w:w="80" w:type="dxa"/>
              <w:end w:w="100" w:type="dxa"/>
            </w:tcMar>
            <w:vAlign w:val="center"/>
          </w:tcPr>
          <w:p>
            <w:r>
              <w:rPr>
                <w:sz w:val="17"/>
              </w:rPr>
              <w:t>M01 foundations</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Studio Builder</w:t>
            </w:r>
          </w:p>
        </w:tc>
        <w:tc>
          <w:tcPr>
            <w:tcW w:type="dxa" w:w="5112"/>
            <w:tcMar>
              <w:top w:w="80" w:type="dxa"/>
              <w:start w:w="100" w:type="dxa"/>
              <w:bottom w:w="80" w:type="dxa"/>
              <w:end w:w="100" w:type="dxa"/>
            </w:tcMar>
            <w:vAlign w:val="center"/>
          </w:tcPr>
          <w:p>
            <w:r>
              <w:rPr>
                <w:sz w:val="17"/>
              </w:rPr>
              <w:t>Studio/config/publishing</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Forms/Rules Builder</w:t>
            </w:r>
          </w:p>
        </w:tc>
        <w:tc>
          <w:tcPr>
            <w:tcW w:type="dxa" w:w="5112"/>
            <w:tcMar>
              <w:top w:w="80" w:type="dxa"/>
              <w:start w:w="100" w:type="dxa"/>
              <w:bottom w:w="80" w:type="dxa"/>
              <w:end w:w="100" w:type="dxa"/>
            </w:tcMar>
            <w:vAlign w:val="center"/>
          </w:tcPr>
          <w:p>
            <w:r>
              <w:rPr>
                <w:sz w:val="17"/>
              </w:rPr>
              <w:t>Form/rules/evidence runtime</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Case Execution Builder</w:t>
            </w:r>
          </w:p>
        </w:tc>
        <w:tc>
          <w:tcPr>
            <w:tcW w:type="dxa" w:w="5112"/>
            <w:tcMar>
              <w:top w:w="80" w:type="dxa"/>
              <w:start w:w="100" w:type="dxa"/>
              <w:bottom w:w="80" w:type="dxa"/>
              <w:end w:w="100" w:type="dxa"/>
            </w:tcMar>
            <w:vAlign w:val="center"/>
          </w:tcPr>
          <w:p>
            <w:r>
              <w:rPr>
                <w:sz w:val="17"/>
              </w:rPr>
              <w:t>Application/workflow/tasks/SLA</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Integration Builder</w:t>
            </w:r>
          </w:p>
        </w:tc>
        <w:tc>
          <w:tcPr>
            <w:tcW w:type="dxa" w:w="5112"/>
            <w:tcMar>
              <w:top w:w="80" w:type="dxa"/>
              <w:start w:w="100" w:type="dxa"/>
              <w:bottom w:w="80" w:type="dxa"/>
              <w:end w:w="100" w:type="dxa"/>
            </w:tcMar>
            <w:vAlign w:val="center"/>
          </w:tcPr>
          <w:p>
            <w:r>
              <w:rPr>
                <w:sz w:val="17"/>
              </w:rPr>
              <w:t>Payment/notification/connectors</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Credential Builder</w:t>
            </w:r>
          </w:p>
        </w:tc>
        <w:tc>
          <w:tcPr>
            <w:tcW w:type="dxa" w:w="5112"/>
            <w:tcMar>
              <w:top w:w="80" w:type="dxa"/>
              <w:start w:w="100" w:type="dxa"/>
              <w:bottom w:w="80" w:type="dxa"/>
              <w:end w:w="100" w:type="dxa"/>
            </w:tcMar>
            <w:vAlign w:val="center"/>
          </w:tcPr>
          <w:p>
            <w:r>
              <w:rPr>
                <w:sz w:val="17"/>
              </w:rPr>
              <w:t>Credential/signing/QR</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UX4G Builder</w:t>
            </w:r>
          </w:p>
        </w:tc>
        <w:tc>
          <w:tcPr>
            <w:tcW w:type="dxa" w:w="5112"/>
            <w:tcMar>
              <w:top w:w="80" w:type="dxa"/>
              <w:start w:w="100" w:type="dxa"/>
              <w:bottom w:w="80" w:type="dxa"/>
              <w:end w:w="100" w:type="dxa"/>
            </w:tcMar>
            <w:vAlign w:val="center"/>
          </w:tcPr>
          <w:p>
            <w:r>
              <w:rPr>
                <w:sz w:val="17"/>
              </w:rPr>
              <w:t>Design system/renderers/a11y</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AI Platform Builder</w:t>
            </w:r>
          </w:p>
        </w:tc>
        <w:tc>
          <w:tcPr>
            <w:tcW w:type="dxa" w:w="5112"/>
            <w:tcMar>
              <w:top w:w="80" w:type="dxa"/>
              <w:start w:w="100" w:type="dxa"/>
              <w:bottom w:w="80" w:type="dxa"/>
              <w:end w:w="100" w:type="dxa"/>
            </w:tcMar>
            <w:vAlign w:val="center"/>
          </w:tcPr>
          <w:p>
            <w:r>
              <w:rPr>
                <w:sz w:val="17"/>
              </w:rPr>
              <w:t>AI Gateway/assistants/governance</w:t>
            </w:r>
          </w:p>
        </w:tc>
        <w:tc>
          <w:tcPr>
            <w:tcW w:type="dxa" w:w="2880"/>
            <w:tcMar>
              <w:top w:w="80" w:type="dxa"/>
              <w:start w:w="100" w:type="dxa"/>
              <w:bottom w:w="80" w:type="dxa"/>
              <w:end w:w="100" w:type="dxa"/>
            </w:tcMar>
            <w:vAlign w:val="center"/>
          </w:tcPr>
          <w:p>
            <w:r>
              <w:rPr>
                <w:sz w:val="17"/>
              </w:rPr>
              <w:t>Writes assigned worktree</w:t>
            </w:r>
          </w:p>
        </w:tc>
      </w:tr>
      <w:tr>
        <w:trPr>
          <w:cantSplit/>
        </w:trPr>
        <w:tc>
          <w:tcPr>
            <w:tcW w:type="dxa" w:w="2160"/>
            <w:tcMar>
              <w:top w:w="80" w:type="dxa"/>
              <w:start w:w="100" w:type="dxa"/>
              <w:bottom w:w="80" w:type="dxa"/>
              <w:end w:w="100" w:type="dxa"/>
            </w:tcMar>
            <w:vAlign w:val="center"/>
          </w:tcPr>
          <w:p>
            <w:r>
              <w:rPr>
                <w:sz w:val="17"/>
              </w:rPr>
              <w:t>Integration Stitcher</w:t>
            </w:r>
          </w:p>
        </w:tc>
        <w:tc>
          <w:tcPr>
            <w:tcW w:type="dxa" w:w="5112"/>
            <w:tcMar>
              <w:top w:w="80" w:type="dxa"/>
              <w:start w:w="100" w:type="dxa"/>
              <w:bottom w:w="80" w:type="dxa"/>
              <w:end w:w="100" w:type="dxa"/>
            </w:tcMar>
            <w:vAlign w:val="center"/>
          </w:tcPr>
          <w:p>
            <w:r>
              <w:rPr>
                <w:sz w:val="17"/>
              </w:rPr>
              <w:t>INT/E2E seam verification</w:t>
            </w:r>
          </w:p>
        </w:tc>
        <w:tc>
          <w:tcPr>
            <w:tcW w:type="dxa" w:w="2880"/>
            <w:tcMar>
              <w:top w:w="80" w:type="dxa"/>
              <w:start w:w="100" w:type="dxa"/>
              <w:bottom w:w="80" w:type="dxa"/>
              <w:end w:w="100" w:type="dxa"/>
            </w:tcMar>
            <w:vAlign w:val="center"/>
          </w:tcPr>
          <w:p>
            <w:r>
              <w:rPr>
                <w:sz w:val="17"/>
              </w:rPr>
              <w:t>Does not patch owner code to force green</w:t>
            </w:r>
          </w:p>
        </w:tc>
      </w:tr>
      <w:tr>
        <w:trPr>
          <w:cantSplit/>
        </w:trPr>
        <w:tc>
          <w:tcPr>
            <w:tcW w:type="dxa" w:w="2160"/>
            <w:tcMar>
              <w:top w:w="80" w:type="dxa"/>
              <w:start w:w="100" w:type="dxa"/>
              <w:bottom w:w="80" w:type="dxa"/>
              <w:end w:w="100" w:type="dxa"/>
            </w:tcMar>
            <w:vAlign w:val="center"/>
          </w:tcPr>
          <w:p>
            <w:r>
              <w:rPr>
                <w:sz w:val="17"/>
              </w:rPr>
              <w:t>Security Verifier</w:t>
            </w:r>
          </w:p>
        </w:tc>
        <w:tc>
          <w:tcPr>
            <w:tcW w:type="dxa" w:w="5112"/>
            <w:tcMar>
              <w:top w:w="80" w:type="dxa"/>
              <w:start w:w="100" w:type="dxa"/>
              <w:bottom w:w="80" w:type="dxa"/>
              <w:end w:w="100" w:type="dxa"/>
            </w:tcMar>
            <w:vAlign w:val="center"/>
          </w:tcPr>
          <w:p>
            <w:r>
              <w:rPr>
                <w:sz w:val="17"/>
              </w:rPr>
              <w:t>RLS/OPA/IDOR/privacy tests</w:t>
            </w:r>
          </w:p>
        </w:tc>
        <w:tc>
          <w:tcPr>
            <w:tcW w:type="dxa" w:w="2880"/>
            <w:tcMar>
              <w:top w:w="80" w:type="dxa"/>
              <w:start w:w="100" w:type="dxa"/>
              <w:bottom w:w="80" w:type="dxa"/>
              <w:end w:w="100" w:type="dxa"/>
            </w:tcMar>
            <w:vAlign w:val="center"/>
          </w:tcPr>
          <w:p>
            <w:r>
              <w:rPr>
                <w:sz w:val="17"/>
              </w:rPr>
              <w:t>Independent verification</w:t>
            </w:r>
          </w:p>
        </w:tc>
      </w:tr>
      <w:tr>
        <w:trPr>
          <w:cantSplit/>
        </w:trPr>
        <w:tc>
          <w:tcPr>
            <w:tcW w:type="dxa" w:w="2160"/>
            <w:tcMar>
              <w:top w:w="80" w:type="dxa"/>
              <w:start w:w="100" w:type="dxa"/>
              <w:bottom w:w="80" w:type="dxa"/>
              <w:end w:w="100" w:type="dxa"/>
            </w:tcMar>
            <w:vAlign w:val="center"/>
          </w:tcPr>
          <w:p>
            <w:r>
              <w:rPr>
                <w:sz w:val="17"/>
              </w:rPr>
              <w:t>Performance Verifier</w:t>
            </w:r>
          </w:p>
        </w:tc>
        <w:tc>
          <w:tcPr>
            <w:tcW w:type="dxa" w:w="5112"/>
            <w:tcMar>
              <w:top w:w="80" w:type="dxa"/>
              <w:start w:w="100" w:type="dxa"/>
              <w:bottom w:w="80" w:type="dxa"/>
              <w:end w:w="100" w:type="dxa"/>
            </w:tcMar>
            <w:vAlign w:val="center"/>
          </w:tcPr>
          <w:p>
            <w:r>
              <w:rPr>
                <w:sz w:val="17"/>
              </w:rPr>
              <w:t>Load/soak/chaos</w:t>
            </w:r>
          </w:p>
        </w:tc>
        <w:tc>
          <w:tcPr>
            <w:tcW w:type="dxa" w:w="2880"/>
            <w:tcMar>
              <w:top w:w="80" w:type="dxa"/>
              <w:start w:w="100" w:type="dxa"/>
              <w:bottom w:w="80" w:type="dxa"/>
              <w:end w:w="100" w:type="dxa"/>
            </w:tcMar>
            <w:vAlign w:val="center"/>
          </w:tcPr>
          <w:p>
            <w:r>
              <w:rPr>
                <w:sz w:val="17"/>
              </w:rPr>
              <w:t>Independent verification</w:t>
            </w:r>
          </w:p>
        </w:tc>
      </w:tr>
      <w:tr>
        <w:trPr>
          <w:cantSplit/>
        </w:trPr>
        <w:tc>
          <w:tcPr>
            <w:tcW w:type="dxa" w:w="2160"/>
            <w:tcMar>
              <w:top w:w="80" w:type="dxa"/>
              <w:start w:w="100" w:type="dxa"/>
              <w:bottom w:w="80" w:type="dxa"/>
              <w:end w:w="100" w:type="dxa"/>
            </w:tcMar>
            <w:vAlign w:val="center"/>
          </w:tcPr>
          <w:p>
            <w:r>
              <w:rPr>
                <w:sz w:val="17"/>
              </w:rPr>
              <w:t>Evidence Verifier</w:t>
            </w:r>
          </w:p>
        </w:tc>
        <w:tc>
          <w:tcPr>
            <w:tcW w:type="dxa" w:w="5112"/>
            <w:tcMar>
              <w:top w:w="80" w:type="dxa"/>
              <w:start w:w="100" w:type="dxa"/>
              <w:bottom w:w="80" w:type="dxa"/>
              <w:end w:w="100" w:type="dxa"/>
            </w:tcMar>
            <w:vAlign w:val="center"/>
          </w:tcPr>
          <w:p>
            <w:r>
              <w:rPr>
                <w:sz w:val="17"/>
              </w:rPr>
              <w:t>Traceability/gate recommendation</w:t>
            </w:r>
          </w:p>
        </w:tc>
        <w:tc>
          <w:tcPr>
            <w:tcW w:type="dxa" w:w="2880"/>
            <w:tcMar>
              <w:top w:w="80" w:type="dxa"/>
              <w:start w:w="100" w:type="dxa"/>
              <w:bottom w:w="80" w:type="dxa"/>
              <w:end w:w="100" w:type="dxa"/>
            </w:tcMar>
            <w:vAlign w:val="center"/>
          </w:tcPr>
          <w:p>
            <w:r>
              <w:rPr>
                <w:sz w:val="17"/>
              </w:rPr>
              <w:t>No final certification</w:t>
            </w:r>
          </w:p>
        </w:tc>
      </w:tr>
    </w:tbl>
    <w:p>
      <w:pPr>
        <w:spacing w:after="40"/>
      </w:pPr>
    </w:p>
    <w:p>
      <w:pPr>
        <w:pStyle w:val="Heading1"/>
      </w:pPr>
      <w:r>
        <w:t>10. Phase 5 — Plan Approval</w:t>
      </w:r>
    </w:p>
    <w:p>
      <w:pPr>
        <w:spacing w:after="100"/>
      </w:pPr>
      <w:r>
        <w:t>Require a read-only plan before high-risk implementation. The plan must identify requirements, files, contracts, migrations, APIs/events, tenant/security impact, workflow/state changes, UX4G patterns, tests, retries/failures, observability/privacy and whether an ADR is required.</w:t>
      </w:r>
    </w:p>
    <w:p>
      <w:pPr>
        <w:spacing w:after="100"/>
      </w:pPr>
      <w:r>
        <w:t>Reject plans that introduce cross-component SQL, arbitrary tenant code, non-UX4G UI, AI statutory decisions, synchronous external calls inside authoritative transactions, unpinned configuration or silent contract changes.</w:t>
      </w:r>
    </w:p>
    <w:p>
      <w:pPr>
        <w:pStyle w:val="Heading1"/>
      </w:pPr>
      <w:r>
        <w:t>11. Phase 6 — Worker Execution Loop</w:t>
      </w:r>
    </w:p>
    <w:p>
      <w:pPr/>
      <w:r>
        <w:t>1. Read the task envelope and relevant source sections.</w:t>
      </w:r>
    </w:p>
    <w:p>
      <w:pPr/>
      <w:r>
        <w:t>2. Verify branch/worktree and clean status.</w:t>
      </w:r>
    </w:p>
    <w:p>
      <w:pPr/>
      <w:r>
        <w:t>3. Write/update tests and contracts before or alongside implementation.</w:t>
      </w:r>
    </w:p>
    <w:p>
      <w:pPr/>
      <w:r>
        <w:t>4. Implement only allowed paths.</w:t>
      </w:r>
    </w:p>
    <w:p>
      <w:pPr/>
      <w:r>
        <w:t>5. Run format/lint/typecheck.</w:t>
      </w:r>
    </w:p>
    <w:p>
      <w:pPr/>
      <w:r>
        <w:t>6. Run unit tests and component/contract tests.</w:t>
      </w:r>
    </w:p>
    <w:p>
      <w:pPr/>
      <w:r>
        <w:t>7. Run required tenant-negative/security tests.</w:t>
      </w:r>
    </w:p>
    <w:p>
      <w:pPr/>
      <w:r>
        <w:t>8. Use REAL/SANDBOX/SIMULATED adapters according to environment; never bypass domain state machines.</w:t>
      </w:r>
    </w:p>
    <w:p>
      <w:pPr/>
      <w:r>
        <w:t>9. Capture evidence IDs, logs and traces.</w:t>
      </w:r>
    </w:p>
    <w:p>
      <w:pPr/>
      <w:r>
        <w:t>10. Write handover summary and open PR.</w:t>
      </w:r>
    </w:p>
    <w:p>
      <w:pPr/>
      <w:r>
        <w:t>11. Stop. Do not merge or self-certify.</w:t>
      </w:r>
    </w:p>
    <w:p>
      <w:pPr>
        <w:pStyle w:val="Heading1"/>
      </w:pPr>
      <w:r>
        <w:t>12. Phase 7 — Integration and Stitching</w:t>
      </w:r>
    </w:p>
    <w:p>
      <w:pPr>
        <w:spacing w:after="100"/>
      </w:pPr>
      <w:r>
        <w:t>Integration is through contracts and running components, not manual source-code copying. The stitcher validates schema/event compatibility, generated SDKs, idempotency, retries, commit-before-Temporal semantics, payment reconciliation, tenant propagation, UX4G composition and provider modes.</w:t>
      </w:r>
    </w:p>
    <w:p>
      <w:pPr>
        <w:spacing w:after="100"/>
      </w:pPr>
      <w:r>
        <w:t>Failures are assigned back to the owning component as new tasks. Do not weaken tests or modify unrelated production code inside the stitching task.</w:t>
      </w:r>
    </w:p>
    <w:p>
      <w:pPr>
        <w:pStyle w:val="Heading1"/>
      </w:pPr>
      <w:r>
        <w:t>13. Phase 8 — Independent Verification</w:t>
      </w:r>
    </w:p>
    <w:p>
      <w:pPr>
        <w:pStyle w:val="Heading2"/>
      </w:pPr>
      <w:r>
        <w:t>13.1 Security &amp; tenant isolation</w:t>
      </w:r>
    </w:p>
    <w:p>
      <w:pPr>
        <w:pStyle w:val="ListBullet"/>
      </w:pPr>
      <w:r>
        <w:t>wrong-tenant access</w:t>
      </w:r>
    </w:p>
    <w:p>
      <w:pPr>
        <w:pStyle w:val="ListBullet"/>
      </w:pPr>
      <w:r>
        <w:t>IDOR</w:t>
      </w:r>
    </w:p>
    <w:p>
      <w:pPr>
        <w:pStyle w:val="ListBullet"/>
      </w:pPr>
      <w:r>
        <w:t>RLS bypass</w:t>
      </w:r>
    </w:p>
    <w:p>
      <w:pPr>
        <w:pStyle w:val="ListBullet"/>
      </w:pPr>
      <w:r>
        <w:t>OPA deny path</w:t>
      </w:r>
    </w:p>
    <w:p>
      <w:pPr>
        <w:pStyle w:val="ListBullet"/>
      </w:pPr>
      <w:r>
        <w:t>role/jurisdiction/delegation mismatch</w:t>
      </w:r>
    </w:p>
    <w:p>
      <w:pPr>
        <w:pStyle w:val="ListBullet"/>
      </w:pPr>
      <w:r>
        <w:t>secret/PII leakage</w:t>
      </w:r>
    </w:p>
    <w:p>
      <w:pPr>
        <w:pStyle w:val="ListBullet"/>
      </w:pPr>
      <w:r>
        <w:t>unsafe object/file access</w:t>
      </w:r>
    </w:p>
    <w:p>
      <w:pPr>
        <w:pStyle w:val="ListBullet"/>
      </w:pPr>
      <w:r>
        <w:t>auth/session abuse</w:t>
      </w:r>
    </w:p>
    <w:p>
      <w:pPr>
        <w:pStyle w:val="Heading2"/>
      </w:pPr>
      <w:r>
        <w:t>13.2 Performance &amp; resilience</w:t>
      </w:r>
    </w:p>
    <w:p>
      <w:pPr>
        <w:spacing w:after="100"/>
      </w:pPr>
      <w:r>
        <w:t>Run applicable load/soak/chaos plans against an identified commit/build/environment and record measured results. Design targets are not evidence.</w:t>
      </w:r>
    </w:p>
    <w:p>
      <w:pPr>
        <w:pStyle w:val="Heading2"/>
      </w:pPr>
      <w:r>
        <w:t>13.3 Evidence verification</w:t>
      </w:r>
    </w:p>
    <w:p>
      <w:pPr>
        <w:spacing w:after="100"/>
      </w:pPr>
      <w:r>
        <w:t>Confirm the executed evidence corresponds to the exact commit/artifact. Generated but unexecuted tests do not count.</w:t>
      </w:r>
    </w:p>
    <w:p>
      <w:pPr>
        <w:pStyle w:val="Heading1"/>
      </w:pPr>
      <w:r>
        <w:t>14. Phase 9 — Gate and Human Approval</w:t>
      </w:r>
    </w:p>
    <w:p>
      <w:pPr>
        <w:spacing w:after="100"/>
      </w:pPr>
      <w:r>
        <w:t>AI agents may recommend GATE_READY, GATE_READY_WITH_DOCUMENTED_LIMITATION or BLOCKED. Authorized human/governance approval is required for architecture exceptions, ADR acceptance, production promotion and internal release certification.</w:t>
      </w:r>
    </w:p>
    <w:p>
      <w:pPr>
        <w:pStyle w:val="Heading1"/>
      </w:pPr>
      <w:r>
        <w:t>15. Mandatory Stop Conditions</w:t>
      </w:r>
    </w:p>
    <w:p>
      <w:pPr>
        <w:pStyle w:val="ListBullet"/>
      </w:pPr>
      <w:r>
        <w:t>Architecture Constitution change</w:t>
      </w:r>
    </w:p>
    <w:p>
      <w:pPr>
        <w:pStyle w:val="ListBullet"/>
      </w:pPr>
      <w:r>
        <w:t>new transactional database or major infrastructure change</w:t>
      </w:r>
    </w:p>
    <w:p>
      <w:pPr>
        <w:pStyle w:val="ListBullet"/>
      </w:pPr>
      <w:r>
        <w:t>tenant-context/cross-tenant behavior change</w:t>
      </w:r>
    </w:p>
    <w:p>
      <w:pPr>
        <w:pStyle w:val="ListBullet"/>
      </w:pPr>
      <w:r>
        <w:t>security/RLS/OPA weakening</w:t>
      </w:r>
    </w:p>
    <w:p>
      <w:pPr>
        <w:pStyle w:val="ListBullet"/>
      </w:pPr>
      <w:r>
        <w:t>ambiguous statutory interpretation</w:t>
      </w:r>
    </w:p>
    <w:p>
      <w:pPr>
        <w:pStyle w:val="ListBullet"/>
      </w:pPr>
      <w:r>
        <w:t>breaking frozen contract</w:t>
      </w:r>
    </w:p>
    <w:p>
      <w:pPr>
        <w:pStyle w:val="ListBullet"/>
      </w:pPr>
      <w:r>
        <w:t>direct writes to another component database</w:t>
      </w:r>
    </w:p>
    <w:p>
      <w:pPr>
        <w:pStyle w:val="ListBullet"/>
      </w:pPr>
      <w:r>
        <w:t>service-specific backend code where metadata should suffice</w:t>
      </w:r>
    </w:p>
    <w:p>
      <w:pPr>
        <w:pStyle w:val="ListBullet"/>
      </w:pPr>
      <w:r>
        <w:t>arbitrary tenant JavaScript/code</w:t>
      </w:r>
    </w:p>
    <w:p>
      <w:pPr>
        <w:pStyle w:val="ListBullet"/>
      </w:pPr>
      <w:r>
        <w:t>AI final adverse statutory decision</w:t>
      </w:r>
    </w:p>
    <w:p>
      <w:pPr>
        <w:pStyle w:val="ListBullet"/>
      </w:pPr>
      <w:r>
        <w:t>SIMULATED critical connector in production</w:t>
      </w:r>
    </w:p>
    <w:p>
      <w:pPr>
        <w:pStyle w:val="ListBullet"/>
      </w:pPr>
      <w:r>
        <w:t>unapproved in-flight workflow migration</w:t>
      </w:r>
    </w:p>
    <w:p>
      <w:pPr>
        <w:pStyle w:val="ListBullet"/>
      </w:pPr>
      <w:r>
        <w:t>undocumented UX4G exception</w:t>
      </w:r>
    </w:p>
    <w:p>
      <w:pPr>
        <w:spacing w:after="100"/>
      </w:pPr>
      <w:r>
        <w:t>The correct response is an ADR, Contract Change Request, Security Exception or policy clarification—not an improvised workaround.</w:t>
      </w:r>
    </w:p>
    <w:p>
      <w:pPr>
        <w:pStyle w:val="Heading1"/>
      </w:pPr>
      <w:r>
        <w:t>16. Claude Agent Teams Guidance</w:t>
      </w:r>
    </w:p>
    <w:p>
      <w:pPr>
        <w:spacing w:after="100"/>
      </w:pPr>
      <w:r>
        <w:t>Anthropic currently documents Agent Teams as experimental. When used, the main session is the lead; teammates are independent Claude Code sessions with a shared task list and can communicate directly. Claude supports dependency-linked tasks, plan approval for teammates and hooks around teammate/task lifecycle. ServiceForm persists the authoritative task state and evidence in Git/repository files rather than relying only on ephemeral team state.</w:t>
      </w:r>
    </w:p>
    <w:p>
      <w:pPr>
        <w:pStyle w:val="ListBullet"/>
      </w:pPr>
      <w:r>
        <w:t>Use teammates only for genuinely independent work.</w:t>
      </w:r>
    </w:p>
    <w:p>
      <w:pPr>
        <w:pStyle w:val="ListBullet"/>
      </w:pPr>
      <w:r>
        <w:t>Require plan approval for risky workers.</w:t>
      </w:r>
    </w:p>
    <w:p>
      <w:pPr>
        <w:pStyle w:val="ListBullet"/>
      </w:pPr>
      <w:r>
        <w:t>Prefer version-controlled project agent definitions in `.claude/agents/`.</w:t>
      </w:r>
    </w:p>
    <w:p>
      <w:pPr>
        <w:pStyle w:val="ListBullet"/>
      </w:pPr>
      <w:r>
        <w:t>Avoid same-file ownership across teammates.</w:t>
      </w:r>
    </w:p>
    <w:p>
      <w:pPr>
        <w:pStyle w:val="ListBullet"/>
      </w:pPr>
      <w:r>
        <w:t>Keep blocked dependent tasks pending.</w:t>
      </w:r>
    </w:p>
    <w:p>
      <w:pPr>
        <w:pStyle w:val="ListBullet"/>
      </w:pPr>
      <w:r>
        <w:t>Use hooks for deterministic completion checks where configured.</w:t>
      </w:r>
    </w:p>
    <w:p>
      <w:pPr>
        <w:pStyle w:val="ListBullet"/>
      </w:pPr>
      <w:r>
        <w:t>Persist handovers and evidence in repository files.</w:t>
      </w:r>
    </w:p>
    <w:p>
      <w:pPr>
        <w:pStyle w:val="Heading1"/>
      </w:pPr>
      <w:r>
        <w:t>17. Worktree Fallback</w:t>
      </w:r>
    </w:p>
    <w:p>
      <w:pPr/>
      <w:r>
        <w:t>1. Create branch `agent/&lt;module&gt;-&lt;component&gt;-&lt;task-id&gt;`.</w:t>
      </w:r>
    </w:p>
    <w:p>
      <w:pPr/>
      <w:r>
        <w:t>2. Create dedicated Git worktree.</w:t>
      </w:r>
    </w:p>
    <w:p>
      <w:pPr/>
      <w:r>
        <w:t>3. Launch one Claude session from that worktree.</w:t>
      </w:r>
    </w:p>
    <w:p>
      <w:pPr/>
      <w:r>
        <w:t>4. Give it the task envelope.</w:t>
      </w:r>
    </w:p>
    <w:p>
      <w:pPr/>
      <w:r>
        <w:t>5. Worker commits only its scope.</w:t>
      </w:r>
    </w:p>
    <w:p>
      <w:pPr/>
      <w:r>
        <w:t>6. Integration consumes PR/branch, not loose files.</w:t>
      </w:r>
    </w:p>
    <w:p>
      <w:pPr/>
      <w:r>
        <w:t>7. Remove worktree after merge/cancellation.</w:t>
      </w:r>
    </w:p>
    <w:p>
      <w:pPr>
        <w:pStyle w:val="Heading1"/>
      </w:pPr>
      <w:r>
        <w:t>18. Golden End-to-End Proof</w:t>
      </w:r>
    </w:p>
    <w:p>
      <w:pPr>
        <w:spacing w:before="60" w:after="140"/>
        <w:ind w:left="360" w:right="144"/>
        <w:shd w:fill="F3F5F7"/>
      </w:pPr>
      <w:r>
        <w:rPr>
          <w:rFonts w:ascii="Consolas" w:hAnsi="Consolas"/>
          <w:sz w:val="17"/>
        </w:rPr>
        <w:t>AUTH → DISCOVER → PRE-CHECK → DRAFT → UX4G FORM → EVIDENCE → SUBMIT → [PAYMENT] → RECEIVED → TEMPORAL → WORK QUEUE → OPA → SCRUTINY / DEFICIENCY / VERIFY → DECISION COMMIT → SIGN → CREDENTIAL → QR / DIGILOCKER / NOTIFY → CLOSED</w:t>
      </w:r>
    </w:p>
    <w:p>
      <w:pPr>
        <w:spacing w:after="100"/>
      </w:pPr>
      <w:r>
        <w:t>The Residence Certificate must be authored through Studio/metadata. Then Income Certificate should be onboarded primarily through configuration to prove reuse. New bespoke service code should trigger a reusable-capability review.</w:t>
      </w:r>
    </w:p>
    <w:p>
      <w:pPr>
        <w:pStyle w:val="Heading1"/>
      </w:pPr>
      <w:r>
        <w:t>19. First Prompt to Give Claude Code</w:t>
      </w:r>
    </w:p>
    <w:p>
      <w:pPr>
        <w:spacing w:before="60" w:after="140"/>
        <w:ind w:left="360" w:right="144"/>
        <w:shd w:fill="F3F5F7"/>
      </w:pPr>
      <w:r>
        <w:rPr>
          <w:rFonts w:ascii="Consolas" w:hAnsi="Consolas"/>
          <w:sz w:val="17"/>
        </w:rPr>
        <w:t>You are the ServiceForm AI Engineering Lead.</w:t>
        <w:br/>
        <w:br/>
        <w:t>Read CLAUDE-MULTI-AGENT-GUIDE.md first, then follow its mandatory read order. Treat the Architecture Constitution and frozen contracts as authoritative.</w:t>
        <w:br/>
        <w:br/>
        <w:t>Do not write product code yet.</w:t>
        <w:br/>
        <w:br/>
        <w:t>Perform Phase 0 repository/architecture verification. Then build a dependency-aware execution plan from specs/build-plan.yaml, current gate status and orchestrator/contracts-lock.yaml.</w:t>
        <w:br/>
        <w:br/>
        <w:t>Propose no more than five initial parallel implementation tasks. For each task show: task ID, module/CMP/INT scope, dependencies, frozen contracts, allowed write paths, branch/worktree, agent type, required tests/evidence and stop conditions.</w:t>
        <w:br/>
        <w:br/>
        <w:t>If Claude Agent Teams are enabled, propose the exact teammate types to spawn, but do not spawn or start implementation until the plan is approved. If Agent Teams are unavailable, propose the equivalent independent-worktree execution plan.</w:t>
        <w:br/>
        <w:br/>
        <w:t>Finish with one of: READY_TO_DISPATCH, READY_WITH_BLOCKERS, or NOT_READY.</w:t>
      </w:r>
    </w:p>
    <w:p>
      <w:pPr>
        <w:pStyle w:val="Heading1"/>
      </w:pPr>
      <w:r>
        <w:t>20. Prompt After the Plan Is Approved</w:t>
      </w:r>
    </w:p>
    <w:p>
      <w:pPr>
        <w:spacing w:before="60" w:after="140"/>
        <w:ind w:left="360" w:right="144"/>
        <w:shd w:fill="F3F5F7"/>
      </w:pPr>
      <w:r>
        <w:rPr>
          <w:rFonts w:ascii="Consolas" w:hAnsi="Consolas"/>
          <w:sz w:val="17"/>
        </w:rPr>
        <w:t>Execute the approved ServiceForm AI multi-agent dispatch plan.</w:t>
        <w:br/>
        <w:br/>
        <w:t>Use the project-defined .claude/agents roles and require plan approval for any worker touching security boundaries, tenancy, database migrations, application state, workflow, payment, credentials or shared contracts.</w:t>
        <w:br/>
        <w:br/>
        <w:t>Do not allow overlapping write scopes. Do not allow workers to modify FROZEN contracts. Persist task envelopes, work status, handovers and evidence in the repository.</w:t>
        <w:br/>
        <w:br/>
        <w:t>When workers finish, run the independent integration/stitching and verification phases. Do not merge or self-certify a blocked task. Stop at the required human approval gate and provide a concise evidence-backed status report.</w:t>
      </w:r>
    </w:p>
    <w:p>
      <w:pPr>
        <w:pStyle w:val="Heading1"/>
      </w:pPr>
      <w:r>
        <w:t>21. Definition of Done</w:t>
      </w:r>
    </w:p>
    <w:p>
      <w:pPr>
        <w:spacing w:after="100"/>
      </w:pPr>
      <w:r>
        <w:t>A component is done only when its required gate has executed evidence for the exact commit/artifacts. A module is done only when its dependent CMP and INT contracts pass. A release is certified only after the authorized gate approves exact version/build digests, SBOM, connector modes, evidence manifest and documented exceptions.</w:t>
      </w:r>
    </w:p>
    <w:p>
      <w:pPr>
        <w:pStyle w:val="Heading1"/>
      </w:pPr>
      <w:r>
        <w:t>22. Claude Code References</w:t>
      </w:r>
    </w:p>
    <w:p>
      <w:pPr>
        <w:spacing w:after="100"/>
      </w:pPr>
      <w:r>
        <w:t>This operating guidance aligns with current Claude Code documentation as of October 2026:</w:t>
      </w:r>
    </w:p>
    <w:p>
      <w:pPr>
        <w:pStyle w:val="ListBullet"/>
      </w:pPr>
      <w:r>
        <w:t>https://code.claude.com/docs/en/sub-agents</w:t>
      </w:r>
    </w:p>
    <w:p>
      <w:pPr>
        <w:pStyle w:val="ListBullet"/>
      </w:pPr>
      <w:r>
        <w:t>https://code.claude.com/docs/en/agent-teams</w:t>
      </w:r>
    </w:p>
    <w:p>
      <w:pPr>
        <w:pStyle w:val="ListBullet"/>
      </w:pPr>
      <w:r>
        <w:t>https://code.claude.com/docs/en/worktrees</w:t>
      </w:r>
    </w:p>
    <w:p>
      <w:pPr>
        <w:pStyle w:val="ListBullet"/>
      </w:pPr>
      <w:r>
        <w:t>https://code.claude.com/docs/en/hooks</w:t>
      </w:r>
    </w:p>
    <w:p>
      <w:pPr>
        <w:pStyle w:val="ListBullet"/>
      </w:pPr>
      <w:r>
        <w:t>https://code.claude.com/docs/en/memory</w:t>
      </w:r>
    </w:p>
    <w:p>
      <w:pPr>
        <w:spacing w:after="100"/>
      </w:pPr>
      <w:r>
        <w:t>Because Agent Teams are currently experimental, ServiceForm repository-level controls are intentionally sufficient to operate the same workflow without Agent Teams.</w:t>
      </w:r>
    </w:p>
    <w:p>
      <w:pPr>
        <w:pStyle w:val="Heading1"/>
      </w:pPr>
      <w:r>
        <w:t>23. Claude Model Routing &amp; 90%+ Quality Assurance</w:t>
      </w:r>
    </w:p>
    <w:p>
      <w:r>
        <w:t>The ServiceForm AI quality objective is at least 90% verified first-pass task acceptance across a release window. This is an engineering KPI, not a claim that any Claude model is intrinsically 90% accurate. Production correctness is established by executed evidence and blocking gates.</w:t>
      </w:r>
    </w:p>
    <w:p>
      <w:r>
        <w:t>Default routing uses Claude Opus 5.5 for architecture, orchestration, high-consequence state/security domains, integration stitching and independent verification; Claude Sonnet 5.5 is the default for well-scoped implementation, UX4G, adapters/simulators, tests and structured performance work after architecture and contracts are frozen.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sz w:val="17"/>
              </w:rPr>
              <w:t>Role</w:t>
            </w:r>
          </w:p>
        </w:tc>
        <w:tc>
          <w:tcPr>
            <w:tcW w:type="dxa" w:w="2541"/>
            <w:vAlign w:val="center"/>
          </w:tcPr>
          <w:p>
            <w:r>
              <w:rPr>
                <w:sz w:val="17"/>
              </w:rPr>
              <w:t>Default model</w:t>
            </w:r>
          </w:p>
        </w:tc>
        <w:tc>
          <w:tcPr>
            <w:tcW w:type="dxa" w:w="2541"/>
            <w:vAlign w:val="center"/>
          </w:tcPr>
          <w:p>
            <w:r>
              <w:rPr>
                <w:sz w:val="17"/>
              </w:rPr>
              <w:t>Effort</w:t>
            </w:r>
          </w:p>
        </w:tc>
        <w:tc>
          <w:tcPr>
            <w:tcW w:type="dxa" w:w="2541"/>
            <w:vAlign w:val="center"/>
          </w:tcPr>
          <w:p>
            <w:r>
              <w:rPr>
                <w:sz w:val="17"/>
              </w:rPr>
              <w:t>Purpose</w:t>
            </w:r>
          </w:p>
        </w:tc>
      </w:tr>
      <w:tr>
        <w:tc>
          <w:tcPr>
            <w:tcW w:type="dxa" w:w="2541"/>
            <w:vAlign w:val="center"/>
          </w:tcPr>
          <w:p>
            <w:r>
              <w:rPr>
                <w:sz w:val="17"/>
              </w:rPr>
              <w:t>Engineering lead / orchestrator</w:t>
            </w:r>
          </w:p>
        </w:tc>
        <w:tc>
          <w:tcPr>
            <w:tcW w:type="dxa" w:w="2541"/>
            <w:vAlign w:val="center"/>
          </w:tcPr>
          <w:p>
            <w:r>
              <w:rPr>
                <w:sz w:val="17"/>
              </w:rPr>
              <w:t>Opus 5.5</w:t>
            </w:r>
          </w:p>
        </w:tc>
        <w:tc>
          <w:tcPr>
            <w:tcW w:type="dxa" w:w="2541"/>
            <w:vAlign w:val="center"/>
          </w:tcPr>
          <w:p>
            <w:r>
              <w:rPr>
                <w:sz w:val="17"/>
              </w:rPr>
              <w:t>High</w:t>
            </w:r>
          </w:p>
        </w:tc>
        <w:tc>
          <w:tcPr>
            <w:tcW w:type="dxa" w:w="2541"/>
            <w:vAlign w:val="center"/>
          </w:tcPr>
          <w:p>
            <w:r>
              <w:rPr>
                <w:sz w:val="17"/>
              </w:rPr>
              <w:t>Dependency planning and conflict resolution</w:t>
            </w:r>
          </w:p>
        </w:tc>
      </w:tr>
      <w:tr>
        <w:tc>
          <w:tcPr>
            <w:tcW w:type="dxa" w:w="2541"/>
            <w:vAlign w:val="center"/>
          </w:tcPr>
          <w:p>
            <w:r>
              <w:rPr>
                <w:sz w:val="17"/>
              </w:rPr>
              <w:t>Architecture &amp; contract guardian</w:t>
            </w:r>
          </w:p>
        </w:tc>
        <w:tc>
          <w:tcPr>
            <w:tcW w:type="dxa" w:w="2541"/>
            <w:vAlign w:val="center"/>
          </w:tcPr>
          <w:p>
            <w:r>
              <w:rPr>
                <w:sz w:val="17"/>
              </w:rPr>
              <w:t>Opus 5.5</w:t>
            </w:r>
          </w:p>
        </w:tc>
        <w:tc>
          <w:tcPr>
            <w:tcW w:type="dxa" w:w="2541"/>
            <w:vAlign w:val="center"/>
          </w:tcPr>
          <w:p>
            <w:r>
              <w:rPr>
                <w:sz w:val="17"/>
              </w:rPr>
              <w:t>High/Xhigh</w:t>
            </w:r>
          </w:p>
        </w:tc>
        <w:tc>
          <w:tcPr>
            <w:tcW w:type="dxa" w:w="2541"/>
            <w:vAlign w:val="center"/>
          </w:tcPr>
          <w:p>
            <w:r>
              <w:rPr>
                <w:sz w:val="17"/>
              </w:rPr>
              <w:t>Architecture, ADR and breaking-contract judgment</w:t>
            </w:r>
          </w:p>
        </w:tc>
      </w:tr>
      <w:tr>
        <w:tc>
          <w:tcPr>
            <w:tcW w:type="dxa" w:w="2541"/>
            <w:vAlign w:val="center"/>
          </w:tcPr>
          <w:p>
            <w:r>
              <w:rPr>
                <w:sz w:val="17"/>
              </w:rPr>
              <w:t>Foundation builder</w:t>
            </w:r>
          </w:p>
        </w:tc>
        <w:tc>
          <w:tcPr>
            <w:tcW w:type="dxa" w:w="2541"/>
            <w:vAlign w:val="center"/>
          </w:tcPr>
          <w:p>
            <w:r>
              <w:rPr>
                <w:sz w:val="17"/>
              </w:rPr>
              <w:t>Opus 5.5</w:t>
            </w:r>
          </w:p>
        </w:tc>
        <w:tc>
          <w:tcPr>
            <w:tcW w:type="dxa" w:w="2541"/>
            <w:vAlign w:val="center"/>
          </w:tcPr>
          <w:p>
            <w:r>
              <w:rPr>
                <w:sz w:val="17"/>
              </w:rPr>
              <w:t>High</w:t>
            </w:r>
          </w:p>
        </w:tc>
        <w:tc>
          <w:tcPr>
            <w:tcW w:type="dxa" w:w="2541"/>
            <w:vAlign w:val="center"/>
          </w:tcPr>
          <w:p>
            <w:r>
              <w:rPr>
                <w:sz w:val="17"/>
              </w:rPr>
              <w:t>Tenant, identity, RLS, audit foundations</w:t>
            </w:r>
          </w:p>
        </w:tc>
      </w:tr>
      <w:tr>
        <w:tc>
          <w:tcPr>
            <w:tcW w:type="dxa" w:w="2541"/>
            <w:vAlign w:val="center"/>
          </w:tcPr>
          <w:p>
            <w:r>
              <w:rPr>
                <w:sz w:val="17"/>
              </w:rPr>
              <w:t>Studio / Forms / Rules / Evidence</w:t>
            </w:r>
          </w:p>
        </w:tc>
        <w:tc>
          <w:tcPr>
            <w:tcW w:type="dxa" w:w="2541"/>
            <w:vAlign w:val="center"/>
          </w:tcPr>
          <w:p>
            <w:r>
              <w:rPr>
                <w:sz w:val="17"/>
              </w:rPr>
              <w:t>Sonnet 5.5</w:t>
            </w:r>
          </w:p>
        </w:tc>
        <w:tc>
          <w:tcPr>
            <w:tcW w:type="dxa" w:w="2541"/>
            <w:vAlign w:val="center"/>
          </w:tcPr>
          <w:p>
            <w:r>
              <w:rPr>
                <w:sz w:val="17"/>
              </w:rPr>
              <w:t>Medium/High</w:t>
            </w:r>
          </w:p>
        </w:tc>
        <w:tc>
          <w:tcPr>
            <w:tcW w:type="dxa" w:w="2541"/>
            <w:vAlign w:val="center"/>
          </w:tcPr>
          <w:p>
            <w:r>
              <w:rPr>
                <w:sz w:val="17"/>
              </w:rPr>
              <w:t>Bounded implementation against frozen contracts</w:t>
            </w:r>
          </w:p>
        </w:tc>
      </w:tr>
      <w:tr>
        <w:tc>
          <w:tcPr>
            <w:tcW w:type="dxa" w:w="2541"/>
            <w:vAlign w:val="center"/>
          </w:tcPr>
          <w:p>
            <w:r>
              <w:rPr>
                <w:sz w:val="17"/>
              </w:rPr>
              <w:t>Case execution builder</w:t>
            </w:r>
          </w:p>
        </w:tc>
        <w:tc>
          <w:tcPr>
            <w:tcW w:type="dxa" w:w="2541"/>
            <w:vAlign w:val="center"/>
          </w:tcPr>
          <w:p>
            <w:r>
              <w:rPr>
                <w:sz w:val="17"/>
              </w:rPr>
              <w:t>Opus 5.5</w:t>
            </w:r>
          </w:p>
        </w:tc>
        <w:tc>
          <w:tcPr>
            <w:tcW w:type="dxa" w:w="2541"/>
            <w:vAlign w:val="center"/>
          </w:tcPr>
          <w:p>
            <w:r>
              <w:rPr>
                <w:sz w:val="17"/>
              </w:rPr>
              <w:t>High</w:t>
            </w:r>
          </w:p>
        </w:tc>
        <w:tc>
          <w:tcPr>
            <w:tcW w:type="dxa" w:w="2541"/>
            <w:vAlign w:val="center"/>
          </w:tcPr>
          <w:p>
            <w:r>
              <w:rPr>
                <w:sz w:val="17"/>
              </w:rPr>
              <w:t>Authoritative state and Temporal ordering</w:t>
            </w:r>
          </w:p>
        </w:tc>
      </w:tr>
      <w:tr>
        <w:tc>
          <w:tcPr>
            <w:tcW w:type="dxa" w:w="2541"/>
            <w:vAlign w:val="center"/>
          </w:tcPr>
          <w:p>
            <w:r>
              <w:rPr>
                <w:sz w:val="17"/>
              </w:rPr>
              <w:t>Integration / connector builder</w:t>
            </w:r>
          </w:p>
        </w:tc>
        <w:tc>
          <w:tcPr>
            <w:tcW w:type="dxa" w:w="2541"/>
            <w:vAlign w:val="center"/>
          </w:tcPr>
          <w:p>
            <w:r>
              <w:rPr>
                <w:sz w:val="17"/>
              </w:rPr>
              <w:t>Sonnet 5.5</w:t>
            </w:r>
          </w:p>
        </w:tc>
        <w:tc>
          <w:tcPr>
            <w:tcW w:type="dxa" w:w="2541"/>
            <w:vAlign w:val="center"/>
          </w:tcPr>
          <w:p>
            <w:r>
              <w:rPr>
                <w:sz w:val="17"/>
              </w:rPr>
              <w:t>Medium/High</w:t>
            </w:r>
          </w:p>
        </w:tc>
        <w:tc>
          <w:tcPr>
            <w:tcW w:type="dxa" w:w="2541"/>
            <w:vAlign w:val="center"/>
          </w:tcPr>
          <w:p>
            <w:r>
              <w:rPr>
                <w:sz w:val="17"/>
              </w:rPr>
              <w:t>Contract-bounded adapters and simulators</w:t>
            </w:r>
          </w:p>
        </w:tc>
      </w:tr>
      <w:tr>
        <w:tc>
          <w:tcPr>
            <w:tcW w:type="dxa" w:w="2541"/>
            <w:vAlign w:val="center"/>
          </w:tcPr>
          <w:p>
            <w:r>
              <w:rPr>
                <w:sz w:val="17"/>
              </w:rPr>
              <w:t>Credential builder</w:t>
            </w:r>
          </w:p>
        </w:tc>
        <w:tc>
          <w:tcPr>
            <w:tcW w:type="dxa" w:w="2541"/>
            <w:vAlign w:val="center"/>
          </w:tcPr>
          <w:p>
            <w:r>
              <w:rPr>
                <w:sz w:val="17"/>
              </w:rPr>
              <w:t>Opus 5.5</w:t>
            </w:r>
          </w:p>
        </w:tc>
        <w:tc>
          <w:tcPr>
            <w:tcW w:type="dxa" w:w="2541"/>
            <w:vAlign w:val="center"/>
          </w:tcPr>
          <w:p>
            <w:r>
              <w:rPr>
                <w:sz w:val="17"/>
              </w:rPr>
              <w:t>High</w:t>
            </w:r>
          </w:p>
        </w:tc>
        <w:tc>
          <w:tcPr>
            <w:tcW w:type="dxa" w:w="2541"/>
            <w:vAlign w:val="center"/>
          </w:tcPr>
          <w:p>
            <w:r>
              <w:rPr>
                <w:sz w:val="17"/>
              </w:rPr>
              <w:t>Signing, issuance and revocation integrity</w:t>
            </w:r>
          </w:p>
        </w:tc>
      </w:tr>
      <w:tr>
        <w:tc>
          <w:tcPr>
            <w:tcW w:type="dxa" w:w="2541"/>
            <w:vAlign w:val="center"/>
          </w:tcPr>
          <w:p>
            <w:r>
              <w:rPr>
                <w:sz w:val="17"/>
              </w:rPr>
              <w:t>UX4G builder</w:t>
            </w:r>
          </w:p>
        </w:tc>
        <w:tc>
          <w:tcPr>
            <w:tcW w:type="dxa" w:w="2541"/>
            <w:vAlign w:val="center"/>
          </w:tcPr>
          <w:p>
            <w:r>
              <w:rPr>
                <w:sz w:val="17"/>
              </w:rPr>
              <w:t>Sonnet 5.5</w:t>
            </w:r>
          </w:p>
        </w:tc>
        <w:tc>
          <w:tcPr>
            <w:tcW w:type="dxa" w:w="2541"/>
            <w:vAlign w:val="center"/>
          </w:tcPr>
          <w:p>
            <w:r>
              <w:rPr>
                <w:sz w:val="17"/>
              </w:rPr>
              <w:t>Medium/High</w:t>
            </w:r>
          </w:p>
        </w:tc>
        <w:tc>
          <w:tcPr>
            <w:tcW w:type="dxa" w:w="2541"/>
            <w:vAlign w:val="center"/>
          </w:tcPr>
          <w:p>
            <w:r>
              <w:rPr>
                <w:sz w:val="17"/>
              </w:rPr>
              <w:t>UI implementation with deterministic UX/a11y gates</w:t>
            </w:r>
          </w:p>
        </w:tc>
      </w:tr>
      <w:tr>
        <w:tc>
          <w:tcPr>
            <w:tcW w:type="dxa" w:w="2541"/>
            <w:vAlign w:val="center"/>
          </w:tcPr>
          <w:p>
            <w:r>
              <w:rPr>
                <w:sz w:val="17"/>
              </w:rPr>
              <w:t>Integration stitcher</w:t>
            </w:r>
          </w:p>
        </w:tc>
        <w:tc>
          <w:tcPr>
            <w:tcW w:type="dxa" w:w="2541"/>
            <w:vAlign w:val="center"/>
          </w:tcPr>
          <w:p>
            <w:r>
              <w:rPr>
                <w:sz w:val="17"/>
              </w:rPr>
              <w:t>Opus 5.5</w:t>
            </w:r>
          </w:p>
        </w:tc>
        <w:tc>
          <w:tcPr>
            <w:tcW w:type="dxa" w:w="2541"/>
            <w:vAlign w:val="center"/>
          </w:tcPr>
          <w:p>
            <w:r>
              <w:rPr>
                <w:sz w:val="17"/>
              </w:rPr>
              <w:t>High</w:t>
            </w:r>
          </w:p>
        </w:tc>
        <w:tc>
          <w:tcPr>
            <w:tcW w:type="dxa" w:w="2541"/>
            <w:vAlign w:val="center"/>
          </w:tcPr>
          <w:p>
            <w:r>
              <w:rPr>
                <w:sz w:val="17"/>
              </w:rPr>
              <w:t>Cross-component verification</w:t>
            </w:r>
          </w:p>
        </w:tc>
      </w:tr>
      <w:tr>
        <w:tc>
          <w:tcPr>
            <w:tcW w:type="dxa" w:w="2541"/>
            <w:vAlign w:val="center"/>
          </w:tcPr>
          <w:p>
            <w:r>
              <w:rPr>
                <w:sz w:val="17"/>
              </w:rPr>
              <w:t>Security verifier</w:t>
            </w:r>
          </w:p>
        </w:tc>
        <w:tc>
          <w:tcPr>
            <w:tcW w:type="dxa" w:w="2541"/>
            <w:vAlign w:val="center"/>
          </w:tcPr>
          <w:p>
            <w:r>
              <w:rPr>
                <w:sz w:val="17"/>
              </w:rPr>
              <w:t>Opus 5.5</w:t>
            </w:r>
          </w:p>
        </w:tc>
        <w:tc>
          <w:tcPr>
            <w:tcW w:type="dxa" w:w="2541"/>
            <w:vAlign w:val="center"/>
          </w:tcPr>
          <w:p>
            <w:r>
              <w:rPr>
                <w:sz w:val="17"/>
              </w:rPr>
              <w:t>High/Xhigh</w:t>
            </w:r>
          </w:p>
        </w:tc>
        <w:tc>
          <w:tcPr>
            <w:tcW w:type="dxa" w:w="2541"/>
            <w:vAlign w:val="center"/>
          </w:tcPr>
          <w:p>
            <w:r>
              <w:rPr>
                <w:sz w:val="17"/>
              </w:rPr>
              <w:t>Tenant/security adversarial verification</w:t>
            </w:r>
          </w:p>
        </w:tc>
      </w:tr>
      <w:tr>
        <w:tc>
          <w:tcPr>
            <w:tcW w:type="dxa" w:w="2541"/>
            <w:vAlign w:val="center"/>
          </w:tcPr>
          <w:p>
            <w:r>
              <w:rPr>
                <w:sz w:val="17"/>
              </w:rPr>
              <w:t>Performance verifier</w:t>
            </w:r>
          </w:p>
        </w:tc>
        <w:tc>
          <w:tcPr>
            <w:tcW w:type="dxa" w:w="2541"/>
            <w:vAlign w:val="center"/>
          </w:tcPr>
          <w:p>
            <w:r>
              <w:rPr>
                <w:sz w:val="17"/>
              </w:rPr>
              <w:t>Sonnet 5.5</w:t>
            </w:r>
          </w:p>
        </w:tc>
        <w:tc>
          <w:tcPr>
            <w:tcW w:type="dxa" w:w="2541"/>
            <w:vAlign w:val="center"/>
          </w:tcPr>
          <w:p>
            <w:r>
              <w:rPr>
                <w:sz w:val="17"/>
              </w:rPr>
              <w:t>High</w:t>
            </w:r>
          </w:p>
        </w:tc>
        <w:tc>
          <w:tcPr>
            <w:tcW w:type="dxa" w:w="2541"/>
            <w:vAlign w:val="center"/>
          </w:tcPr>
          <w:p>
            <w:r>
              <w:rPr>
                <w:sz w:val="17"/>
              </w:rPr>
              <w:t>Structured load/resilience execution</w:t>
            </w:r>
          </w:p>
        </w:tc>
      </w:tr>
      <w:tr>
        <w:tc>
          <w:tcPr>
            <w:tcW w:type="dxa" w:w="2541"/>
            <w:vAlign w:val="center"/>
          </w:tcPr>
          <w:p>
            <w:r>
              <w:rPr>
                <w:sz w:val="17"/>
              </w:rPr>
              <w:t>Evidence verifier</w:t>
            </w:r>
          </w:p>
        </w:tc>
        <w:tc>
          <w:tcPr>
            <w:tcW w:type="dxa" w:w="2541"/>
            <w:vAlign w:val="center"/>
          </w:tcPr>
          <w:p>
            <w:r>
              <w:rPr>
                <w:sz w:val="17"/>
              </w:rPr>
              <w:t>Opus 5.5</w:t>
            </w:r>
          </w:p>
        </w:tc>
        <w:tc>
          <w:tcPr>
            <w:tcW w:type="dxa" w:w="2541"/>
            <w:vAlign w:val="center"/>
          </w:tcPr>
          <w:p>
            <w:r>
              <w:rPr>
                <w:sz w:val="17"/>
              </w:rPr>
              <w:t>High</w:t>
            </w:r>
          </w:p>
        </w:tc>
        <w:tc>
          <w:tcPr>
            <w:tcW w:type="dxa" w:w="2541"/>
            <w:vAlign w:val="center"/>
          </w:tcPr>
          <w:p>
            <w:r>
              <w:rPr>
                <w:sz w:val="17"/>
              </w:rPr>
              <w:t>Independent evidence/gate assessment</w:t>
            </w:r>
          </w:p>
        </w:tc>
      </w:tr>
    </w:tbl>
    <w:p>
      <w:pPr>
        <w:pStyle w:val="Heading2"/>
      </w:pPr>
      <w:r>
        <w:t>23.1 Blocking gates are 100%, not 90%</w:t>
      </w:r>
    </w:p>
    <w:p>
      <w:pPr>
        <w:pStyle w:val="ListBullet"/>
      </w:pPr>
      <w:r>
        <w:t>Zero demonstrated cross-tenant leakage; all required RLS and OPA negative tests pass.</w:t>
      </w:r>
    </w:p>
    <w:p>
      <w:pPr>
        <w:pStyle w:val="ListBullet"/>
      </w:pPr>
      <w:r>
        <w:t>Zero unresolved Critical security findings; High findings require explicit authorized treatment and may still block the applicable gate.</w:t>
      </w:r>
    </w:p>
    <w:p>
      <w:pPr>
        <w:pStyle w:val="ListBullet"/>
      </w:pPr>
      <w:r>
        <w:t>Zero lost committed applications in required failure/chaos tests.</w:t>
      </w:r>
    </w:p>
    <w:p>
      <w:pPr>
        <w:pStyle w:val="ListBullet"/>
      </w:pPr>
      <w:r>
        <w:t>Zero duplicate financial or credential side effects in required duplicate/reordered-event tests.</w:t>
      </w:r>
    </w:p>
    <w:p>
      <w:pPr>
        <w:pStyle w:val="ListBullet"/>
      </w:pPr>
      <w:r>
        <w:t>100% required frozen API/event/schema contract tests pass.</w:t>
      </w:r>
    </w:p>
    <w:p>
      <w:pPr>
        <w:pStyle w:val="ListBullet"/>
      </w:pPr>
      <w:r>
        <w:t>Production critical connectors are REAL and fail closed if configured SIMULATED.</w:t>
      </w:r>
    </w:p>
    <w:p>
      <w:pPr>
        <w:pStyle w:val="ListBullet"/>
      </w:pPr>
      <w:r>
        <w:t>100% required Golden Residence Certificate release-candidate E2E scenarios pass.</w:t>
      </w:r>
    </w:p>
    <w:p>
      <w:pPr>
        <w:pStyle w:val="ListBullet"/>
      </w:pPr>
      <w:r>
        <w:t>AI never independently makes a final adverse statutory decision.</w:t>
      </w:r>
    </w:p>
    <w:p>
      <w:pPr>
        <w:pStyle w:val="Heading2"/>
      </w:pPr>
      <w:r>
        <w:t>23.2 Verified Task Quality Score (VTQS)</w:t>
      </w:r>
    </w:p>
    <w:p>
      <w:r>
        <w:t>For tasks that pass all applicable blocking gates, calculate a weighted score from executed evidence for the exact commit. Model confidence, generated-but-unexecuted tests, or prose review do not count as evidence.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sz w:val="18"/>
              </w:rPr>
              <w:t>Dimension</w:t>
            </w:r>
          </w:p>
        </w:tc>
        <w:tc>
          <w:tcPr>
            <w:tcW w:type="dxa" w:w="5083"/>
            <w:vAlign w:val="center"/>
          </w:tcPr>
          <w:p>
            <w:r>
              <w:rPr>
                <w:sz w:val="18"/>
              </w:rPr>
              <w:t>Default weight</w:t>
            </w:r>
          </w:p>
        </w:tc>
      </w:tr>
      <w:tr>
        <w:tc>
          <w:tcPr>
            <w:tcW w:type="dxa" w:w="5083"/>
            <w:vAlign w:val="center"/>
          </w:tcPr>
          <w:p>
            <w:r>
              <w:rPr>
                <w:sz w:val="18"/>
              </w:rPr>
              <w:t>Requirements traceability</w:t>
            </w:r>
          </w:p>
        </w:tc>
        <w:tc>
          <w:tcPr>
            <w:tcW w:type="dxa" w:w="5083"/>
            <w:vAlign w:val="center"/>
          </w:tcPr>
          <w:p>
            <w:r>
              <w:rPr>
                <w:sz w:val="18"/>
              </w:rPr>
              <w:t>20%</w:t>
            </w:r>
          </w:p>
        </w:tc>
      </w:tr>
      <w:tr>
        <w:tc>
          <w:tcPr>
            <w:tcW w:type="dxa" w:w="5083"/>
            <w:vAlign w:val="center"/>
          </w:tcPr>
          <w:p>
            <w:r>
              <w:rPr>
                <w:sz w:val="18"/>
              </w:rPr>
              <w:t>Functional/component behavior</w:t>
            </w:r>
          </w:p>
        </w:tc>
        <w:tc>
          <w:tcPr>
            <w:tcW w:type="dxa" w:w="5083"/>
            <w:vAlign w:val="center"/>
          </w:tcPr>
          <w:p>
            <w:r>
              <w:rPr>
                <w:sz w:val="18"/>
              </w:rPr>
              <w:t>20%</w:t>
            </w:r>
          </w:p>
        </w:tc>
      </w:tr>
      <w:tr>
        <w:tc>
          <w:tcPr>
            <w:tcW w:type="dxa" w:w="5083"/>
            <w:vAlign w:val="center"/>
          </w:tcPr>
          <w:p>
            <w:r>
              <w:rPr>
                <w:sz w:val="18"/>
              </w:rPr>
              <w:t>Contract conformance</w:t>
            </w:r>
          </w:p>
        </w:tc>
        <w:tc>
          <w:tcPr>
            <w:tcW w:type="dxa" w:w="5083"/>
            <w:vAlign w:val="center"/>
          </w:tcPr>
          <w:p>
            <w:r>
              <w:rPr>
                <w:sz w:val="18"/>
              </w:rPr>
              <w:t>15%</w:t>
            </w:r>
          </w:p>
        </w:tc>
      </w:tr>
      <w:tr>
        <w:tc>
          <w:tcPr>
            <w:tcW w:type="dxa" w:w="5083"/>
            <w:vAlign w:val="center"/>
          </w:tcPr>
          <w:p>
            <w:r>
              <w:rPr>
                <w:sz w:val="18"/>
              </w:rPr>
              <w:t>Tenant/security/privacy</w:t>
            </w:r>
          </w:p>
        </w:tc>
        <w:tc>
          <w:tcPr>
            <w:tcW w:type="dxa" w:w="5083"/>
            <w:vAlign w:val="center"/>
          </w:tcPr>
          <w:p>
            <w:r>
              <w:rPr>
                <w:sz w:val="18"/>
              </w:rPr>
              <w:t>20%</w:t>
            </w:r>
          </w:p>
        </w:tc>
      </w:tr>
      <w:tr>
        <w:tc>
          <w:tcPr>
            <w:tcW w:type="dxa" w:w="5083"/>
            <w:vAlign w:val="center"/>
          </w:tcPr>
          <w:p>
            <w:r>
              <w:rPr>
                <w:sz w:val="18"/>
              </w:rPr>
              <w:t>Integration/failure/idempotency</w:t>
            </w:r>
          </w:p>
        </w:tc>
        <w:tc>
          <w:tcPr>
            <w:tcW w:type="dxa" w:w="5083"/>
            <w:vAlign w:val="center"/>
          </w:tcPr>
          <w:p>
            <w:r>
              <w:rPr>
                <w:sz w:val="18"/>
              </w:rPr>
              <w:t>10%</w:t>
            </w:r>
          </w:p>
        </w:tc>
      </w:tr>
      <w:tr>
        <w:tc>
          <w:tcPr>
            <w:tcW w:type="dxa" w:w="5083"/>
            <w:vAlign w:val="center"/>
          </w:tcPr>
          <w:p>
            <w:r>
              <w:rPr>
                <w:sz w:val="18"/>
              </w:rPr>
              <w:t>Code quality/static analysis</w:t>
            </w:r>
          </w:p>
        </w:tc>
        <w:tc>
          <w:tcPr>
            <w:tcW w:type="dxa" w:w="5083"/>
            <w:vAlign w:val="center"/>
          </w:tcPr>
          <w:p>
            <w:r>
              <w:rPr>
                <w:sz w:val="18"/>
              </w:rPr>
              <w:t>5%</w:t>
            </w:r>
          </w:p>
        </w:tc>
      </w:tr>
      <w:tr>
        <w:tc>
          <w:tcPr>
            <w:tcW w:type="dxa" w:w="5083"/>
            <w:vAlign w:val="center"/>
          </w:tcPr>
          <w:p>
            <w:r>
              <w:rPr>
                <w:sz w:val="18"/>
              </w:rPr>
              <w:t>Observability/audit/evidence</w:t>
            </w:r>
          </w:p>
        </w:tc>
        <w:tc>
          <w:tcPr>
            <w:tcW w:type="dxa" w:w="5083"/>
            <w:vAlign w:val="center"/>
          </w:tcPr>
          <w:p>
            <w:r>
              <w:rPr>
                <w:sz w:val="18"/>
              </w:rPr>
              <w:t>5%</w:t>
            </w:r>
          </w:p>
        </w:tc>
      </w:tr>
      <w:tr>
        <w:tc>
          <w:tcPr>
            <w:tcW w:type="dxa" w:w="5083"/>
            <w:vAlign w:val="center"/>
          </w:tcPr>
          <w:p>
            <w:r>
              <w:rPr>
                <w:sz w:val="18"/>
              </w:rPr>
              <w:t>UX4G/accessibility/visual (UI)</w:t>
            </w:r>
          </w:p>
        </w:tc>
        <w:tc>
          <w:tcPr>
            <w:tcW w:type="dxa" w:w="5083"/>
            <w:vAlign w:val="center"/>
          </w:tcPr>
          <w:p>
            <w:r>
              <w:rPr>
                <w:sz w:val="18"/>
              </w:rPr>
              <w:t>5%</w:t>
            </w:r>
          </w:p>
        </w:tc>
      </w:tr>
    </w:tbl>
    <w:p>
      <w:pPr>
        <w:pStyle w:val="Heading2"/>
      </w:pPr>
      <w:r>
        <w:t>23.3 Decision and escalation</w:t>
      </w:r>
    </w:p>
    <w:p>
      <w:pPr>
        <w:pStyle w:val="ListBullet"/>
      </w:pPr>
      <w:r>
        <w:t>VTQS &gt;=90 and all blocking gates pass: recommend GATE_READY.</w:t>
      </w:r>
    </w:p>
    <w:p>
      <w:pPr>
        <w:pStyle w:val="ListBullet"/>
      </w:pPr>
      <w:r>
        <w:t>VTQS 85-89.99 with hard gates passing: allow one bounded remediation cycle, then independently re-verify.</w:t>
      </w:r>
    </w:p>
    <w:p>
      <w:pPr>
        <w:pStyle w:val="ListBullet"/>
      </w:pPr>
      <w:r>
        <w:t>VTQS 70-84.99: not gate-ready; route remediation/reimplementation to Opus 5.5 and run a fresh verification.</w:t>
      </w:r>
    </w:p>
    <w:p>
      <w:pPr>
        <w:pStyle w:val="ListBullet"/>
      </w:pPr>
      <w:r>
        <w:t>VTQS &lt;70: BLOCKED; reassess scope, contracts and architecture.</w:t>
      </w:r>
    </w:p>
    <w:p>
      <w:pPr>
        <w:pStyle w:val="ListBullet"/>
      </w:pPr>
      <w:r>
        <w:t>Any blocking hard-gate failure: BLOCKED_CRITICAL_GATE regardless of score.</w:t>
      </w:r>
    </w:p>
    <w:p>
      <w:pPr>
        <w:pStyle w:val="ListBullet"/>
      </w:pPr>
      <w:r>
        <w:t>A Sonnet task failing verification twice, scoring below 85, or exposing an ambiguous systemic root cause escalates to Opus.</w:t>
      </w:r>
    </w:p>
    <w:p>
      <w:pPr>
        <w:pStyle w:val="ListBullet"/>
      </w:pPr>
      <w:r>
        <w:t>Two unsuccessful Opus remediation attempts require human engineering/architecture review before further autonomous attempts.</w:t>
      </w:r>
    </w:p>
    <w:p>
      <w:pPr>
        <w:pStyle w:val="Heading2"/>
      </w:pPr>
      <w:r>
        <w:t>23.4 Independent verification</w:t>
      </w:r>
    </w:p>
    <w:p>
      <w:r>
        <w:t>The builder context must not be the sole verifier. Prefer a fresh verification context containing only the task envelope, authoritative requirements, frozen contracts, code diff/commit, executed evidence and approved exceptions. The verifier attempts to falsify correctness rather than rationalize the implementation.</w:t>
      </w:r>
    </w:p>
    <w:p>
      <w:pPr>
        <w:pStyle w:val="Heading2"/>
      </w:pPr>
      <w:r>
        <w:t>23.5 Repository controls</w:t>
      </w:r>
    </w:p>
    <w:p>
      <w:r>
        <w:t>The executable policy is stored in `MODEL-ROUTING-QUALITY.md` and `specs/model-routing-quality.yaml`. Every task envelope records builder model, effort, independent verifier model and quality target. Run `prompts/12_MODEL_ROUTING_QUALITY_GATE.md` before recommending a task gate.</w:t>
      </w:r>
    </w:p>
    <w:p>
      <w:pPr>
        <w:pStyle w:val="Heading2"/>
      </w:pPr>
      <w:r>
        <w:t>23.6 Model recalibration</w:t>
      </w:r>
    </w:p>
    <w:p>
      <w:r>
        <w:t>Re-run the ServiceForm internal eval suite when a new Claude model/revision is released, prompts or agent definitions materially change, architecture changes, first-pass acceptance falls below target, or cost per accepted task changes materially. Promote a new model into a role only after representative ServiceForm evaluations meet or exceed the current baseline and all blocking gates.</w:t>
      </w:r>
    </w:p>
    <w:p>
      <w:pPr>
        <w:pStyle w:val="Heading2"/>
      </w:pPr>
      <w:r>
        <w:t>23.7 Official reference notes</w:t>
      </w:r>
    </w:p>
    <w:p>
      <w:r>
        <w:t>Routing rationale was aligned in October 2026 with Anthropic positioning of Opus 5.5 for complex judgment and Sonnet 5.5 as its faster/lower-cost complement for well-scoped work, and with Anthropic guidance to build task-specific evals and use orchestration such as Opus planning with Sonnet execution.</w:t>
      </w:r>
    </w:p>
    <w:p>
      <w:pPr>
        <w:pStyle w:val="ListBullet"/>
      </w:pPr>
      <w:r>
        <w:t>https://www.anthropic.com/claude-opus-5-5</w:t>
      </w:r>
    </w:p>
    <w:p>
      <w:pPr>
        <w:pStyle w:val="ListBullet"/>
      </w:pPr>
      <w:r>
        <w:t>https://www.anthropic.com/claude-sonnet-5-5</w:t>
      </w:r>
    </w:p>
    <w:p>
      <w:pPr>
        <w:pStyle w:val="ListBullet"/>
      </w:pPr>
      <w:r>
        <w:t>https://www.anthropic.com/webinars/building-with-the-claude-5-5-family-choosing-the-right-model-and-getting-more-from-every-token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ServiceForm AI • Claude Code Multi-Agent Guide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054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37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