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65D"/>
          <w:sz w:val="60"/>
        </w:rPr>
        <w:t>GOVERNMENT SERVICE OS</w:t>
      </w:r>
    </w:p>
    <w:p>
      <w:pPr>
        <w:jc w:val="center"/>
      </w:pPr>
      <w:r>
        <w:rPr>
          <w:b/>
          <w:color w:val="1F4E78"/>
          <w:sz w:val="34"/>
        </w:rPr>
        <w:t>AI-Buildable Product, Functional, Architecture and Engineering Master Specification</w:t>
      </w:r>
    </w:p>
    <w:p>
      <w:pPr>
        <w:jc w:val="center"/>
      </w:pPr>
      <w:r>
        <w:rPr>
          <w:color w:val="666666"/>
          <w:sz w:val="22"/>
        </w:rPr>
        <w:t>A metadata-driven, multi-tenant platform for citizen services across State, District, Subdivision, Block, Municipality, Ward, Gram Panchayat and other government authorities</w:t>
      </w:r>
    </w:p>
    <w:p>
      <w:r>
        <w:br/>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AF2F8"/>
            <w:tcMar>
              <w:top w:w="140" w:type="dxa"/>
              <w:start w:w="170" w:type="dxa"/>
              <w:bottom w:w="140" w:type="dxa"/>
              <w:end w:w="170" w:type="dxa"/>
            </w:tcMar>
          </w:tcPr>
          <w:p>
            <w:r/>
            <w:r>
              <w:rPr>
                <w:b/>
                <w:color w:val="17365D"/>
                <w:sz w:val="21"/>
              </w:rPr>
              <w:t>Build objective</w:t>
              <w:br/>
            </w:r>
            <w:r>
              <w:rPr>
                <w:sz w:val="19"/>
              </w:rPr>
              <w:t>Define the product and technical contracts precisely enough that an AI-assisted engineering team can implement the platform domain-by-domain, generate tests from the specification, and validate each release without relying on undocumented business assumptions.</w:t>
            </w:r>
          </w:p>
        </w:tc>
      </w:tr>
    </w:tbl>
    <w:p>
      <w:pPr>
        <w:spacing w:after="0"/>
      </w:pPr>
    </w:p>
    <w:tbl>
      <w:tblPr>
        <w:tblW w:type="auto" w:w="0"/>
        <w:jc w:val="center"/>
        <w:tblLook w:firstColumn="1" w:firstRow="1" w:lastColumn="0" w:lastRow="0" w:noHBand="0" w:noVBand="1" w:val="04A0"/>
      </w:tblPr>
      <w:tblGrid>
        <w:gridCol w:w="5040"/>
        <w:gridCol w:w="5040"/>
      </w:tblGrid>
      <w:tr>
        <w:trPr>
          <w:tblHeader w:val="true"/>
          <w:cantSplit/>
        </w:trP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Version</w:t>
            </w:r>
          </w:p>
        </w:tc>
        <w:tc>
          <w:tcPr>
            <w:tcW w:type="dxa" w:w="5040"/>
            <w:vAlign w:val="center"/>
            <w:tcMar>
              <w:top w:w="100" w:type="dxa"/>
              <w:start w:w="120" w:type="dxa"/>
              <w:bottom w:w="100" w:type="dxa"/>
              <w:end w:w="120" w:type="dxa"/>
            </w:tcMar>
          </w:tcPr>
          <w:p>
            <w:r>
              <w:t>2.0</w:t>
            </w:r>
          </w:p>
        </w:tc>
      </w:tr>
      <w:tr>
        <w:trPr>
          <w:cantSplit/>
        </w:trP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Date</w:t>
            </w:r>
          </w:p>
        </w:tc>
        <w:tc>
          <w:tcPr>
            <w:tcW w:type="dxa" w:w="5040"/>
            <w:vAlign w:val="center"/>
            <w:tcMar>
              <w:top w:w="100" w:type="dxa"/>
              <w:start w:w="120" w:type="dxa"/>
              <w:bottom w:w="100" w:type="dxa"/>
              <w:end w:w="120" w:type="dxa"/>
            </w:tcMar>
          </w:tcPr>
          <w:p>
            <w:pPr>
              <w:spacing w:after="0" w:before="0"/>
              <w:jc w:val="left"/>
            </w:pPr>
            <w:r/>
            <w:r>
              <w:rPr>
                <w:rFonts w:ascii="Aptos" w:hAnsi="Aptos"/>
                <w:b w:val="0"/>
                <w:color w:val="222222"/>
                <w:sz w:val="19"/>
              </w:rPr>
              <w:t>2 October 2026</w:t>
            </w:r>
          </w:p>
        </w:tc>
      </w:tr>
      <w:tr>
        <w:trPr>
          <w:cantSplit/>
        </w:trP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Document type</w:t>
            </w:r>
          </w:p>
        </w:tc>
        <w:tc>
          <w:tcPr>
            <w:tcW w:type="dxa" w:w="5040"/>
            <w:vAlign w:val="center"/>
            <w:tcMar>
              <w:top w:w="100" w:type="dxa"/>
              <w:start w:w="120" w:type="dxa"/>
              <w:bottom w:w="100" w:type="dxa"/>
              <w:end w:w="120" w:type="dxa"/>
            </w:tcMar>
          </w:tcPr>
          <w:p>
            <w:r>
              <w:t>Master BRD + FRD + HLD + LLD + Architecture Constitution + AI build contract</w:t>
            </w:r>
          </w:p>
        </w:tc>
      </w:tr>
      <w:tr>
        <w:trPr>
          <w:cantSplit/>
        </w:trP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Intended users</w:t>
            </w:r>
          </w:p>
        </w:tc>
        <w:tc>
          <w:tcPr>
            <w:tcW w:type="dxa" w:w="5040"/>
            <w:vAlign w:val="center"/>
            <w:tcMar>
              <w:top w:w="100" w:type="dxa"/>
              <w:start w:w="120" w:type="dxa"/>
              <w:bottom w:w="100" w:type="dxa"/>
              <w:end w:w="120" w:type="dxa"/>
            </w:tcMar>
          </w:tcPr>
          <w:p>
            <w:pPr>
              <w:spacing w:after="0" w:before="0"/>
              <w:jc w:val="left"/>
            </w:pPr>
            <w:r/>
            <w:r>
              <w:rPr>
                <w:rFonts w:ascii="Aptos" w:hAnsi="Aptos"/>
                <w:b w:val="0"/>
                <w:color w:val="222222"/>
                <w:sz w:val="19"/>
              </w:rPr>
              <w:t>Product, policy, architecture, engineering, QA, security, operations and AI coding agents</w:t>
            </w:r>
          </w:p>
        </w:tc>
      </w:tr>
      <w:tr>
        <w:trPr>
          <w:cantSplit/>
        </w:trPr>
        <w:tc>
          <w:tcPr>
            <w:tcW w:type="dxa" w:w="5040"/>
            <w:vAlign w:val="center"/>
            <w:tcMar>
              <w:top w:w="100" w:type="dxa"/>
              <w:start w:w="120" w:type="dxa"/>
              <w:bottom w:w="100" w:type="dxa"/>
              <w:end w:w="120" w:type="dxa"/>
            </w:tcMar>
            <w:shd w:fill="EEF3F8"/>
          </w:tcPr>
          <w:p>
            <w:pPr>
              <w:spacing w:after="0" w:before="0"/>
              <w:jc w:val="left"/>
            </w:pPr>
            <w:r/>
            <w:r>
              <w:rPr>
                <w:rFonts w:ascii="Aptos" w:hAnsi="Aptos"/>
                <w:b/>
                <w:color w:val="17365D"/>
                <w:sz w:val="19"/>
              </w:rPr>
              <w:t>Companion registry</w:t>
            </w:r>
          </w:p>
        </w:tc>
        <w:tc>
          <w:tcPr>
            <w:tcW w:type="dxa" w:w="5040"/>
            <w:vAlign w:val="center"/>
            <w:tcMar>
              <w:top w:w="100" w:type="dxa"/>
              <w:start w:w="120" w:type="dxa"/>
              <w:bottom w:w="100" w:type="dxa"/>
              <w:end w:w="120" w:type="dxa"/>
            </w:tcMar>
          </w:tcPr>
          <w:p>
            <w:pPr>
              <w:spacing w:after="0" w:before="0"/>
              <w:jc w:val="left"/>
            </w:pPr>
            <w:r/>
            <w:r>
              <w:rPr>
                <w:rFonts w:ascii="Aptos" w:hAnsi="Aptos"/>
                <w:b w:val="0"/>
                <w:color w:val="222222"/>
                <w:sz w:val="19"/>
              </w:rPr>
              <w:t>460 normalized service/certificate definitions and state alias mapping</w:t>
            </w:r>
          </w:p>
        </w:tc>
      </w:tr>
    </w:tbl>
    <w:p>
      <w:r>
        <w:br w:type="page"/>
      </w:r>
    </w:p>
    <w:p>
      <w:pPr>
        <w:pStyle w:val="Heading1"/>
      </w:pPr>
      <w:r>
        <w:t>Document Map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464"/>
            <w:vAlign w:val="center"/>
            <w:tcMar>
              <w:top w:w="25" w:type="dxa"/>
              <w:start w:w="25" w:type="dxa"/>
              <w:bottom w:w="25" w:type="dxa"/>
              <w:end w:w="25" w:type="dxa"/>
            </w:tcMar>
            <w:shd w:fill="17365D"/>
          </w:tcPr>
          <w:p>
            <w:pPr>
              <w:spacing w:after="0" w:before="0" w:line="221" w:lineRule="auto"/>
              <w:jc w:val="center"/>
            </w:pPr>
            <w:r>
              <w:rPr>
                <w:b/>
                <w:color w:val="FFFFFF"/>
                <w:sz w:val="15"/>
              </w:rPr>
            </w:r>
            <w:r>
              <w:rPr>
                <w:rFonts w:ascii="Aptos" w:hAnsi="Aptos"/>
                <w:b/>
                <w:color w:val="FFFFFF"/>
                <w:sz w:val="15"/>
              </w:rPr>
              <w:t>Sections 1-18</w:t>
            </w:r>
          </w:p>
        </w:tc>
        <w:tc>
          <w:tcPr>
            <w:tcW w:type="dxa" w:w="4464"/>
            <w:vAlign w:val="center"/>
            <w:tcMar>
              <w:top w:w="25" w:type="dxa"/>
              <w:start w:w="25" w:type="dxa"/>
              <w:bottom w:w="25" w:type="dxa"/>
              <w:end w:w="25" w:type="dxa"/>
            </w:tcMar>
            <w:shd w:fill="17365D"/>
          </w:tcPr>
          <w:p>
            <w:pPr>
              <w:spacing w:after="0" w:before="0" w:line="221" w:lineRule="auto"/>
            </w:pPr>
            <w:r>
              <w:rPr>
                <w:b/>
                <w:color w:val="FFFFFF"/>
                <w:sz w:val="15"/>
              </w:rPr>
              <w:t>Sections 19-41</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 Executive Summary</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19. Privacy and DPDP-by-Design</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 Product Principles and Scope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20. Accessibility, Language and Inclusive Delivery</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3. Actor Model and Government Hierarchy</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21. Search, Knowledge and Recommendation Architecture</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4. Multi-Tenant Architecture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22. Notifications, Communications and Appointments</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5. Canonical Service Registry and Local Service Offerings</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23. Observability, Reliability and Disaster Recovery</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6. Citizen Experience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24. CI/CD, Environments and AI-Assisted SDLC</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7. Dynamic Form Engine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25. Functional Requirements Catalogue</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8. Eligibility and Rules Engine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26. End-to-End Golden Path: Residence Certificate</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9. Workflow and Case Management Engine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27. Authoring Studio</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10. Application, Evidence and Case Record</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28. Analytics and Governance</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11. Credential, Certificate and Verification Framework</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29. Implementation Roadmap</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12. Integrations and Government Digital Public Infrastructure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30. AI Coding Agent Build Contract</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13. AI Architecture and Agent Responsibilities</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31. Acceptance Test Matrix</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14. Logical and Runtime Architecture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32. Service Definition - Complete Manifest Skeleton</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15. Data Architecture</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33. Reference Standards and Source Basis</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16. Event Architecture</w:t>
            </w:r>
          </w:p>
        </w:tc>
        <w:tc>
          <w:tcPr>
            <w:tcW w:type="dxa" w:w="4464"/>
            <w:vAlign w:val="center"/>
            <w:tcMar>
              <w:top w:w="25" w:type="dxa"/>
              <w:start w:w="25" w:type="dxa"/>
              <w:bottom w:w="25" w:type="dxa"/>
              <w:end w:w="25" w:type="dxa"/>
            </w:tcMar>
          </w:tcPr>
          <w:p>
            <w:pPr>
              <w:spacing w:after="0" w:before="0" w:line="221" w:lineRule="auto"/>
              <w:jc w:val="left"/>
            </w:pPr>
            <w:r>
              <w:t>34. Architectural Decision Topics</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17. API Contract</w:t>
            </w:r>
          </w:p>
        </w:tc>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35. Final Build Readiness Checklist</w:t>
            </w:r>
          </w:p>
        </w:tc>
      </w:tr>
      <w:tr>
        <w:trPr>
          <w:cantSplit/>
        </w:trPr>
        <w:tc>
          <w:tcPr>
            <w:tcW w:type="dxa" w:w="4464"/>
            <w:vAlign w:val="center"/>
            <w:tcMar>
              <w:top w:w="25" w:type="dxa"/>
              <w:start w:w="25" w:type="dxa"/>
              <w:bottom w:w="25" w:type="dxa"/>
              <w:end w:w="25" w:type="dxa"/>
            </w:tcMar>
          </w:tcPr>
          <w:p>
            <w:pPr>
              <w:spacing w:after="0" w:before="0" w:line="221" w:lineRule="auto"/>
              <w:jc w:val="left"/>
            </w:pPr>
            <w:r>
              <w:rPr>
                <w:sz w:val="14"/>
              </w:rPr>
            </w:r>
            <w:r>
              <w:rPr>
                <w:rFonts w:ascii="Aptos" w:hAnsi="Aptos"/>
                <w:b w:val="0"/>
                <w:color w:val="222222"/>
                <w:sz w:val="14"/>
              </w:rPr>
              <w:t>18. Security Architecture</w:t>
            </w:r>
          </w:p>
        </w:tc>
        <w:tc>
          <w:tcPr>
            <w:tcW w:type="dxa" w:w="4464"/>
            <w:vAlign w:val="center"/>
            <w:tcMar>
              <w:top w:w="25" w:type="dxa"/>
              <w:start w:w="25" w:type="dxa"/>
              <w:bottom w:w="25" w:type="dxa"/>
              <w:end w:w="25" w:type="dxa"/>
            </w:tcMar>
          </w:tcPr>
          <w:p>
            <w:pPr>
              <w:spacing w:after="0" w:before="0" w:line="221" w:lineRule="auto"/>
            </w:pPr>
            <w:r>
              <w:rPr>
                <w:sz w:val="14"/>
              </w:rPr>
              <w:t>36. Architecture Constitution</w:t>
            </w:r>
          </w:p>
        </w:tc>
      </w:tr>
      <w:tr>
        <w:trPr>
          <w:cantSplit/>
        </w:trPr>
        <w:tc>
          <w:tcPr>
            <w:tcW w:type="dxa" w:w="4464"/>
            <w:vAlign w:val="center"/>
            <w:tcMar>
              <w:top w:w="25" w:type="dxa"/>
              <w:start w:w="25" w:type="dxa"/>
              <w:bottom w:w="25" w:type="dxa"/>
              <w:end w:w="25" w:type="dxa"/>
            </w:tcMar>
          </w:tcPr>
          <w:p>
            <w:pPr>
              <w:spacing w:after="0" w:before="0" w:line="221" w:lineRule="auto"/>
            </w:pPr>
            <w:r>
              <w:rPr>
                <w:sz w:val="14"/>
              </w:rPr>
            </w:r>
          </w:p>
        </w:tc>
        <w:tc>
          <w:tcPr>
            <w:tcW w:type="dxa" w:w="4464"/>
            <w:vAlign w:val="center"/>
            <w:tcMar>
              <w:top w:w="25" w:type="dxa"/>
              <w:start w:w="25" w:type="dxa"/>
              <w:bottom w:w="25" w:type="dxa"/>
              <w:end w:w="25" w:type="dxa"/>
            </w:tcMar>
          </w:tcPr>
          <w:p>
            <w:pPr>
              <w:spacing w:after="0" w:before="0" w:line="221" w:lineRule="auto"/>
            </w:pPr>
            <w:r>
              <w:rPr>
                <w:sz w:val="14"/>
              </w:rPr>
              <w:t>37. AI Agent Operating Model - Cursor and GitHub Copilot</w:t>
            </w:r>
          </w:p>
        </w:tc>
      </w:tr>
      <w:tr>
        <w:trPr>
          <w:cantSplit/>
        </w:trPr>
        <w:tc>
          <w:tcPr>
            <w:tcW w:type="dxa" w:w="4464"/>
            <w:vAlign w:val="center"/>
            <w:tcMar>
              <w:top w:w="25" w:type="dxa"/>
              <w:start w:w="25" w:type="dxa"/>
              <w:bottom w:w="25" w:type="dxa"/>
              <w:end w:w="25" w:type="dxa"/>
            </w:tcMar>
          </w:tcPr>
          <w:p>
            <w:pPr>
              <w:spacing w:after="0" w:before="0" w:line="221" w:lineRule="auto"/>
            </w:pPr>
            <w:r>
              <w:rPr>
                <w:sz w:val="14"/>
              </w:rPr>
            </w:r>
          </w:p>
        </w:tc>
        <w:tc>
          <w:tcPr>
            <w:tcW w:type="dxa" w:w="4464"/>
            <w:vAlign w:val="center"/>
            <w:tcMar>
              <w:top w:w="25" w:type="dxa"/>
              <w:start w:w="25" w:type="dxa"/>
              <w:bottom w:w="25" w:type="dxa"/>
              <w:end w:w="25" w:type="dxa"/>
            </w:tcMar>
          </w:tcPr>
          <w:p>
            <w:pPr>
              <w:spacing w:after="0" w:before="0" w:line="221" w:lineRule="auto"/>
            </w:pPr>
            <w:r>
              <w:rPr>
                <w:sz w:val="14"/>
              </w:rPr>
              <w:t>38. Requirements-to-Code Traceability Contract</w:t>
            </w:r>
          </w:p>
        </w:tc>
      </w:tr>
      <w:tr>
        <w:trPr>
          <w:cantSplit/>
        </w:trPr>
        <w:tc>
          <w:tcPr>
            <w:tcW w:type="dxa" w:w="4464"/>
            <w:vAlign w:val="center"/>
            <w:tcMar>
              <w:top w:w="25" w:type="dxa"/>
              <w:start w:w="25" w:type="dxa"/>
              <w:bottom w:w="25" w:type="dxa"/>
              <w:end w:w="25" w:type="dxa"/>
            </w:tcMar>
          </w:tcPr>
          <w:p>
            <w:pPr>
              <w:spacing w:after="0" w:before="0" w:line="221" w:lineRule="auto"/>
            </w:pPr>
            <w:r>
              <w:rPr>
                <w:sz w:val="14"/>
              </w:rPr>
            </w:r>
          </w:p>
        </w:tc>
        <w:tc>
          <w:tcPr>
            <w:tcW w:type="dxa" w:w="4464"/>
            <w:vAlign w:val="center"/>
            <w:tcMar>
              <w:top w:w="25" w:type="dxa"/>
              <w:start w:w="25" w:type="dxa"/>
              <w:bottom w:w="25" w:type="dxa"/>
              <w:end w:w="25" w:type="dxa"/>
            </w:tcMar>
          </w:tcPr>
          <w:p>
            <w:pPr>
              <w:spacing w:after="0" w:before="0" w:line="221" w:lineRule="auto"/>
            </w:pPr>
            <w:r>
              <w:rPr>
                <w:sz w:val="14"/>
              </w:rPr>
              <w:t>39. Reference Implementation Decisions</w:t>
            </w:r>
          </w:p>
        </w:tc>
      </w:tr>
      <w:tr>
        <w:trPr>
          <w:cantSplit/>
        </w:trPr>
        <w:tc>
          <w:tcPr>
            <w:tcW w:type="dxa" w:w="4464"/>
            <w:vAlign w:val="center"/>
            <w:tcMar>
              <w:top w:w="25" w:type="dxa"/>
              <w:start w:w="25" w:type="dxa"/>
              <w:bottom w:w="25" w:type="dxa"/>
              <w:end w:w="25" w:type="dxa"/>
            </w:tcMar>
          </w:tcPr>
          <w:p>
            <w:pPr>
              <w:spacing w:after="0" w:before="0" w:line="221" w:lineRule="auto"/>
            </w:pPr>
            <w:r>
              <w:rPr>
                <w:sz w:val="14"/>
              </w:rPr>
            </w:r>
          </w:p>
        </w:tc>
        <w:tc>
          <w:tcPr>
            <w:tcW w:type="dxa" w:w="4464"/>
            <w:vAlign w:val="center"/>
            <w:tcMar>
              <w:top w:w="25" w:type="dxa"/>
              <w:start w:w="25" w:type="dxa"/>
              <w:bottom w:w="25" w:type="dxa"/>
              <w:end w:w="25" w:type="dxa"/>
            </w:tcMar>
          </w:tcPr>
          <w:p>
            <w:pPr>
              <w:spacing w:after="0" w:before="0" w:line="221" w:lineRule="auto"/>
            </w:pPr>
            <w:r>
              <w:rPr>
                <w:sz w:val="14"/>
              </w:rPr>
              <w:t>40. Autonomous Build Quality Gates</w:t>
            </w:r>
          </w:p>
        </w:tc>
      </w:tr>
      <w:tr>
        <w:trPr>
          <w:cantSplit/>
        </w:trPr>
        <w:tc>
          <w:tcPr>
            <w:tcW w:type="dxa" w:w="4464"/>
            <w:vAlign w:val="center"/>
            <w:tcMar>
              <w:top w:w="25" w:type="dxa"/>
              <w:start w:w="25" w:type="dxa"/>
              <w:bottom w:w="25" w:type="dxa"/>
              <w:end w:w="25" w:type="dxa"/>
            </w:tcMar>
          </w:tcPr>
          <w:p>
            <w:pPr>
              <w:spacing w:after="0" w:before="0" w:line="221" w:lineRule="auto"/>
            </w:pPr>
            <w:r>
              <w:rPr>
                <w:sz w:val="14"/>
              </w:rPr>
            </w:r>
          </w:p>
        </w:tc>
        <w:tc>
          <w:tcPr>
            <w:tcW w:type="dxa" w:w="4464"/>
            <w:vAlign w:val="center"/>
            <w:tcMar>
              <w:top w:w="25" w:type="dxa"/>
              <w:start w:w="25" w:type="dxa"/>
              <w:bottom w:w="25" w:type="dxa"/>
              <w:end w:w="25" w:type="dxa"/>
            </w:tcMar>
          </w:tcPr>
          <w:p>
            <w:pPr>
              <w:spacing w:after="0" w:before="0" w:line="221" w:lineRule="auto"/>
            </w:pPr>
            <w:r>
              <w:rPr>
                <w:sz w:val="14"/>
              </w:rPr>
              <w:t>41. Production Readiness and Controlled Autonomy</w:t>
            </w:r>
          </w:p>
        </w:tc>
      </w:tr>
    </w:tbl>
    <w:p>
      <w:pPr>
        <w:spacing w:after="0"/>
      </w:pPr>
    </w:p>
    <w:p>
      <w:r>
        <w:t>The document is deliberately structured from policy/product concepts through reusable engines, runtime architecture, detailed contracts, requirements, implementation and acceptance. Coding agents should use requirement IDs in Section 25 together with the schemas and invariants in the corresponding domain sections.</w:t>
      </w:r>
    </w:p>
    <w:p>
      <w:r>
        <w:br w:type="page"/>
      </w:r>
    </w:p>
    <w:p>
      <w:pPr>
        <w:pStyle w:val="Heading1"/>
      </w:pPr>
      <w:r>
        <w:t>1. Executive Summary</w:t>
      </w:r>
    </w:p>
    <w:p>
      <w:r>
        <w:t>Government Service OS is a configurable, multi-tenant government service delivery platform intended to let any authorized government entity publish, operate and continuously improve citizen services without building a new application for every certificate, licence, permission, benefit or local-body service. The core product is a declarative runtime: service definitions, forms, evidence rules, eligibility rules, fees, SLAs, workflows, provider jurisdictions, decision templates and credentials are versioned metadata executed by common platform engines.</w:t>
      </w:r>
    </w:p>
    <w:p>
      <w:r>
        <w:t>The platform serves two equally important sides. Citizens receive one place to discover relevant services, sign in, maintain a progressive profile, reuse verified information with consent, complete adaptive forms, track applications and receive verifiable outputs. Government organizations receive a governed low-code authoring environment, jurisdiction-aware workflow and work queues, integration adapters, auditability, analytics, certificate issuance and AI assistance.</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8F5E9"/>
            <w:tcMar>
              <w:top w:w="140" w:type="dxa"/>
              <w:start w:w="170" w:type="dxa"/>
              <w:bottom w:w="140" w:type="dxa"/>
              <w:end w:w="170" w:type="dxa"/>
            </w:tcMar>
          </w:tcPr>
          <w:p>
            <w:r/>
            <w:r>
              <w:rPr>
                <w:b/>
                <w:color w:val="17365D"/>
                <w:sz w:val="21"/>
              </w:rPr>
              <w:t>Non-negotiable architecture rule</w:t>
              <w:br/>
            </w:r>
            <w:r>
              <w:rPr>
                <w:sz w:val="19"/>
              </w:rPr>
              <w:t>A service must be deployable by publishing metadata. Code changes are reserved for new reusable platform capabilities, not for normal creation of a new certificate, scheme, permission or municipal service.</w:t>
            </w:r>
          </w:p>
        </w:tc>
      </w:tr>
    </w:tbl>
    <w:p>
      <w:pPr>
        <w:spacing w:after="0"/>
      </w:pPr>
    </w:p>
    <w:p>
      <w:pPr>
        <w:keepNext/>
        <w:jc w:val="center"/>
      </w:pPr>
      <w:r>
        <w:drawing>
          <wp:inline xmlns:a="http://schemas.openxmlformats.org/drawingml/2006/main" xmlns:pic="http://schemas.openxmlformats.org/drawingml/2006/picture">
            <wp:extent cx="6217920" cy="3246333"/>
            <wp:docPr id="1" name="Picture 1"/>
            <wp:cNvGraphicFramePr>
              <a:graphicFrameLocks noChangeAspect="1"/>
            </wp:cNvGraphicFramePr>
            <a:graphic>
              <a:graphicData uri="http://schemas.openxmlformats.org/drawingml/2006/picture">
                <pic:pic>
                  <pic:nvPicPr>
                    <pic:cNvPr id="0" name="01_context.png"/>
                    <pic:cNvPicPr/>
                  </pic:nvPicPr>
                  <pic:blipFill>
                    <a:blip r:embed="rId10"/>
                    <a:stretch>
                      <a:fillRect/>
                    </a:stretch>
                  </pic:blipFill>
                  <pic:spPr>
                    <a:xfrm>
                      <a:off x="0" y="0"/>
                      <a:ext cx="6217920" cy="3246333"/>
                    </a:xfrm>
                    <a:prstGeom prst="rect"/>
                  </pic:spPr>
                </pic:pic>
              </a:graphicData>
            </a:graphic>
          </wp:inline>
        </w:drawing>
      </w:r>
    </w:p>
    <w:p>
      <w:pPr>
        <w:pStyle w:val="FigureCaption"/>
        <w:keepNext w:val="0"/>
      </w:pPr>
      <w:r>
        <w:t>Figure 1. System context: one platform serving citizens, assisted channels, officials, tenant administrators and government integrations.</w:t>
      </w:r>
    </w:p>
    <w:p>
      <w:pPr>
        <w:pStyle w:val="Heading2"/>
      </w:pPr>
      <w:r>
        <w:t>1.1 Outcomes</w:t>
      </w:r>
    </w:p>
    <w:p>
      <w:pPr>
        <w:pStyle w:val="ListBullet"/>
      </w:pPr>
      <w:r>
        <w:t>One citizen experience across government levels while preserving the legal authority and workflow of each issuing organization.</w:t>
      </w:r>
    </w:p>
    <w:p>
      <w:pPr>
        <w:pStyle w:val="ListBullet"/>
      </w:pPr>
      <w:r>
        <w:t>A canonical national service vocabulary mapped to state/local names, with local rules preserved rather than flattened.</w:t>
      </w:r>
    </w:p>
    <w:p>
      <w:pPr>
        <w:pStyle w:val="ListBullet"/>
      </w:pPr>
      <w:r>
        <w:t>A reusable form and workflow runtime capable of thousands of services and millions of applications.</w:t>
      </w:r>
    </w:p>
    <w:p>
      <w:pPr>
        <w:pStyle w:val="ListBullet"/>
      </w:pPr>
      <w:r>
        <w:t>Progressive citizen profile and verified-claim reuse so citizens are not repeatedly asked for the same information.</w:t>
      </w:r>
    </w:p>
    <w:p>
      <w:pPr>
        <w:pStyle w:val="ListBullet"/>
      </w:pPr>
      <w:r>
        <w:t>Personalized discovery and recommendations that are explainable, consent-aware and based on deterministic eligibility rules.</w:t>
      </w:r>
    </w:p>
    <w:p>
      <w:pPr>
        <w:pStyle w:val="ListBullet"/>
      </w:pPr>
      <w:r>
        <w:t>Digitally signed, QR-verifiable outputs and wallet-ready credentials, with DigiLocker integration where applicable.</w:t>
      </w:r>
    </w:p>
    <w:p>
      <w:pPr>
        <w:pStyle w:val="ListBullet"/>
      </w:pPr>
      <w:r>
        <w:t>AI-assisted service configuration, testing and citizen support with human accountability for administrative decisions.</w:t>
      </w:r>
    </w:p>
    <w:p>
      <w:pPr>
        <w:pStyle w:val="ListBullet"/>
      </w:pPr>
      <w:r>
        <w:t>Secure, observable, resilient operations with strict tenant isolation and complete audit trails.</w:t>
      </w:r>
    </w:p>
    <w:p>
      <w:pPr>
        <w:pStyle w:val="Heading2"/>
      </w:pPr>
      <w:r>
        <w:t>1.2 Current ecosystem context and design baseline</w:t>
      </w:r>
    </w:p>
    <w:p>
      <w:r>
        <w:t>ServicePlus demonstrates the feasibility of metadata-based electronic service delivery at national scale and, as of September 2026, reported more than 4,800 launched services across all 36 States/UTs. It provides low-code service building, process management, profile-based eligibility search and integrations such as DigiLocker, Aadhaar/eSign and other government systems [S1][S2]. Government Service OS should preserve these proven principles while adding a stronger canonical service registry, hierarchical multi-tenancy, modern citizen personalization, reusable verified claims, richer API/event contracts, verifiable credentials, AI-assisted configuration and cell-based scalability.</w:t>
      </w:r>
    </w:p>
    <w:p>
      <w:r>
        <w:t>The design is also informed by international public-service patterns: GOV.UK emphasizes solving the whole user problem and joined-up services [S7]; Singapore LifeSG explicitly personalizes and anticipates relevant government services [S8]; Login.gov provides a single secure account across participating US government services [S9]; and the EU Digital Identity Wallet framework emphasizes user-controlled, privacy-preserving sharing of identity attributes and credentials [S10].</w:t>
      </w:r>
    </w:p>
    <w:p>
      <w:pPr>
        <w:pStyle w:val="Heading1"/>
      </w:pPr>
      <w:r>
        <w:t>2. Product Principles and Scope</w:t>
      </w:r>
    </w:p>
    <w:p>
      <w:pPr>
        <w:pStyle w:val="Heading2"/>
      </w:pPr>
      <w:r>
        <w:t>2.1 Product principles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tcMar>
              <w:top w:w="100" w:type="dxa"/>
              <w:start w:w="120" w:type="dxa"/>
              <w:bottom w:w="100" w:type="dxa"/>
              <w:end w:w="120" w:type="dxa"/>
            </w:tcMar>
            <w:shd w:fill="1F4E78"/>
          </w:tcPr>
          <w:p>
            <w:pPr>
              <w:spacing w:after="0" w:before="0"/>
              <w:jc w:val="center"/>
            </w:pPr>
            <w:r/>
            <w:r>
              <w:rPr>
                <w:rFonts w:ascii="Aptos" w:hAnsi="Aptos"/>
                <w:b/>
                <w:color w:val="FFFFFF"/>
                <w:sz w:val="17"/>
              </w:rPr>
              <w:t>Principle</w:t>
            </w:r>
          </w:p>
        </w:tc>
        <w:tc>
          <w:tcPr>
            <w:tcW w:type="dxa" w:w="6768"/>
            <w:vAlign w:val="center"/>
            <w:tcMar>
              <w:top w:w="100" w:type="dxa"/>
              <w:start w:w="120" w:type="dxa"/>
              <w:bottom w:w="100" w:type="dxa"/>
              <w:end w:w="120" w:type="dxa"/>
            </w:tcMar>
            <w:shd w:fill="1F4E78"/>
          </w:tcPr>
          <w:p>
            <w:pPr>
              <w:spacing w:after="0" w:before="0"/>
              <w:jc w:val="center"/>
            </w:pPr>
            <w:r/>
            <w:r>
              <w:rPr>
                <w:rFonts w:ascii="Aptos" w:hAnsi="Aptos"/>
                <w:b/>
                <w:color w:val="FFFFFF"/>
                <w:sz w:val="17"/>
              </w:rPr>
              <w:t>Implementation consequence</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Citizen outcome, not departmental page</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Organize discovery around what the citizen is trying to achieve, while retaining authoritative department ownership.</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Configure before coding</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Forms, rules, workflow, notifications, certificates and provider bindings are versioned configuration.</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Jurisdiction is data</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State, district, subdivision, block, ULB, ward, gram panchayat and village are modeled as data and can vary by state.</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One verified fact, reusable many times</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Store provenance and freshness of verified claims and request consent before reuse.</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Deterministic decisions</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Eligibility and approval rules execute deterministically; AI can assist but cannot silently decide.</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Privacy by design</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Collect the minimum data for an explicit purpose, enforce retention and make access auditable.</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API/event first</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Every UI capability has an API contract; material state changes produce domain events.</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Accessible and multilingual by default</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Meet GIGW 3.0/WCAG requirements and design for Indian languages, assisted channels and low bandwidth.</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Open standards and portability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Use OpenAPI, JSON Schema, interoperable identity patterns and W3C VC 2.0 where useful.</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7"/>
              </w:rPr>
              <w:t>Version everything</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7"/>
              </w:rPr>
              <w:t>Service definitions, forms, workflows, rules, templates, prompts and integration mappings are immutable once published.</w:t>
            </w:r>
          </w:p>
        </w:tc>
      </w:tr>
    </w:tbl>
    <w:p>
      <w:pPr>
        <w:spacing w:after="0"/>
      </w:pPr>
    </w:p>
    <w:p>
      <w:pPr>
        <w:pStyle w:val="Heading2"/>
      </w:pPr>
      <w:r>
        <w:t>2.2 In scope</w:t>
      </w:r>
    </w:p>
    <w:p>
      <w:pPr>
        <w:pStyle w:val="ListBullet"/>
      </w:pPr>
      <w:r>
        <w:t>Citizen onboarding, sign-in, profile, family/delegation and assisted access</w:t>
      </w:r>
    </w:p>
    <w:p>
      <w:pPr>
        <w:pStyle w:val="ListBullet"/>
      </w:pPr>
      <w:r>
        <w:t>Service catalogue, aliases, jurisdiction/provider binding and search</w:t>
      </w:r>
    </w:p>
    <w:p>
      <w:pPr>
        <w:pStyle w:val="ListBullet"/>
      </w:pPr>
      <w:r>
        <w:t>Eligibility, recommendation and life-event discovery</w:t>
      </w:r>
    </w:p>
    <w:p>
      <w:pPr>
        <w:pStyle w:val="ListBullet"/>
      </w:pPr>
      <w:r>
        <w:t>Dynamic multilingual forms, document/evidence management and draft/resume</w:t>
      </w:r>
    </w:p>
    <w:p>
      <w:pPr>
        <w:pStyle w:val="ListBullet"/>
      </w:pPr>
      <w:r>
        <w:t>Workflow, work queues, field verification, inspection, hearing, payment, approval/rejection, appeal and SLA escalation</w:t>
      </w:r>
    </w:p>
    <w:p>
      <w:pPr>
        <w:pStyle w:val="ListBullet"/>
      </w:pPr>
      <w:r>
        <w:t>Notifications, appointments and citizen communication</w:t>
      </w:r>
    </w:p>
    <w:p>
      <w:pPr>
        <w:pStyle w:val="ListBullet"/>
      </w:pPr>
      <w:r>
        <w:t>Certificate/licence/permit/benefit output generation, signature, QR verification, status/revocation and DigiLocker integration</w:t>
      </w:r>
    </w:p>
    <w:p>
      <w:pPr>
        <w:pStyle w:val="ListBullet"/>
      </w:pPr>
      <w:r>
        <w:t>Tenant, organization, office, jurisdiction, role, delegation and policy administration</w:t>
      </w:r>
    </w:p>
    <w:p>
      <w:pPr>
        <w:pStyle w:val="ListBullet"/>
      </w:pPr>
      <w:r>
        <w:t>API/integration hub, webhooks and event platform</w:t>
      </w:r>
    </w:p>
    <w:p>
      <w:pPr>
        <w:pStyle w:val="ListBullet"/>
      </w:pPr>
      <w:r>
        <w:t>AI agents for authoring, testing, support and casework assistance</w:t>
      </w:r>
    </w:p>
    <w:p>
      <w:pPr>
        <w:pStyle w:val="ListBullet"/>
      </w:pPr>
      <w:r>
        <w:t>Analytics, audit, observability, SRE, DR and compliance controls</w:t>
      </w:r>
    </w:p>
    <w:p>
      <w:pPr>
        <w:pStyle w:val="Heading2"/>
      </w:pPr>
      <w:r>
        <w:t>2.3 Out of scope / controlled boundaries</w:t>
      </w:r>
    </w:p>
    <w:p>
      <w:pPr>
        <w:pStyle w:val="ListBullet"/>
      </w:pPr>
      <w:r>
        <w:t>The platform does not redefine statutory eligibility or replace the competent authority; it implements rules approved by that authority.</w:t>
      </w:r>
    </w:p>
    <w:p>
      <w:pPr>
        <w:pStyle w:val="ListBullet"/>
      </w:pPr>
      <w:r>
        <w:t>Aadhaar is not assumed as a mandatory identifier. Any use must have an appropriate legal basis, purpose and approved integration pattern.</w:t>
      </w:r>
    </w:p>
    <w:p>
      <w:pPr>
        <w:pStyle w:val="ListBullet"/>
      </w:pPr>
      <w:r>
        <w:t>The AI layer must not autonomously approve, reject, penalize or deprive a person of an entitlement.</w:t>
      </w:r>
    </w:p>
    <w:p>
      <w:pPr>
        <w:pStyle w:val="ListBullet"/>
      </w:pPr>
      <w:r>
        <w:t>The canonical service taxonomy does not make state/local legal concepts identical; mappings retain equivalence type, local name and local rule version.</w:t>
      </w:r>
    </w:p>
    <w:p>
      <w:pPr>
        <w:pStyle w:val="Heading1"/>
      </w:pPr>
      <w:r>
        <w:t>3. Actor Model and Government Hierarchy</w:t>
      </w:r>
    </w:p>
    <w:p>
      <w:pPr>
        <w:pStyle w:val="Heading2"/>
      </w:pPr>
      <w:r>
        <w:t>3.1 Actors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736"/>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Actor</w:t>
            </w:r>
          </w:p>
        </w:tc>
        <w:tc>
          <w:tcPr>
            <w:tcW w:type="dxa" w:w="6912"/>
            <w:vAlign w:val="center"/>
            <w:tcMar>
              <w:top w:w="100" w:type="dxa"/>
              <w:start w:w="120" w:type="dxa"/>
              <w:bottom w:w="100" w:type="dxa"/>
              <w:end w:w="120" w:type="dxa"/>
            </w:tcMar>
            <w:shd w:fill="1F4E78"/>
          </w:tcPr>
          <w:p>
            <w:pPr>
              <w:spacing w:after="0" w:before="0"/>
              <w:jc w:val="center"/>
            </w:pPr>
            <w:r/>
            <w:r>
              <w:rPr>
                <w:rFonts w:ascii="Aptos" w:hAnsi="Aptos"/>
                <w:b/>
                <w:color w:val="FFFFFF"/>
                <w:sz w:val="17"/>
              </w:rPr>
              <w:t>Primary responsibilities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Citizen / applicant</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Discover, assess eligibility, apply, pay, consent, track, respond, receive output, appeal.</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Authorized representative / family delegate</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Act for another person within explicit delegation/guardianship scope.</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CSC / assisted-service operator</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Assist an applicant with explicit acknowledgement; cannot impersonate the citizen invisibly.</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Front-office official</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Scrutinize, request clarification, verify evidence and route cases.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Field verifier / inspector</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Conduct location/field checks; capture signed observations, media and geolocation only where authorized.</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Approving authority</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Make authorized administrative decisions and digitally sign/issue outputs.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Appellate / supervisory authority</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Review appeal/escalation and override only with recorded authority and reasons.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Service designer / department admin</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Configure service, forms, rules, fees, workflow, templates and provider bindings.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Tenant administrator</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Manage organizations, offices, roles, integrations and tenant policies.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Platform operator</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Operate shared platform; no routine access to tenant case data.</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Auditor / grievance / vigilance</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Read scoped audit records and evidence without changing case history.</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7"/>
              </w:rPr>
              <w:t>AI agent</w:t>
            </w:r>
          </w:p>
        </w:tc>
        <w:tc>
          <w:tcPr>
            <w:tcW w:type="dxa" w:w="6912"/>
            <w:vAlign w:val="center"/>
            <w:tcMar>
              <w:top w:w="100" w:type="dxa"/>
              <w:start w:w="120" w:type="dxa"/>
              <w:bottom w:w="100" w:type="dxa"/>
              <w:end w:w="120" w:type="dxa"/>
            </w:tcMar>
          </w:tcPr>
          <w:p>
            <w:pPr>
              <w:spacing w:after="0" w:before="0"/>
              <w:jc w:val="left"/>
            </w:pPr>
            <w:r/>
            <w:r>
              <w:rPr>
                <w:rFonts w:ascii="Aptos" w:hAnsi="Aptos"/>
                <w:b w:val="0"/>
                <w:color w:val="222222"/>
                <w:sz w:val="17"/>
              </w:rPr>
              <w:t>Acts only through explicitly permitted tools, with provenance and audit; never receives blanket database privileges.</w:t>
            </w:r>
          </w:p>
        </w:tc>
      </w:tr>
    </w:tbl>
    <w:p>
      <w:pPr>
        <w:spacing w:after="0"/>
      </w:pPr>
    </w:p>
    <w:p>
      <w:pPr>
        <w:pStyle w:val="Heading2"/>
      </w:pPr>
      <w:r>
        <w:t>3.2 Hierarchy model</w:t>
      </w:r>
    </w:p>
    <w:p>
      <w:pPr>
        <w:keepNext/>
        <w:jc w:val="center"/>
      </w:pPr>
      <w:r>
        <w:drawing>
          <wp:inline xmlns:a="http://schemas.openxmlformats.org/drawingml/2006/main" xmlns:pic="http://schemas.openxmlformats.org/drawingml/2006/picture">
            <wp:extent cx="6217920" cy="3466554"/>
            <wp:docPr id="2" name="Picture 2"/>
            <wp:cNvGraphicFramePr>
              <a:graphicFrameLocks noChangeAspect="1"/>
            </wp:cNvGraphicFramePr>
            <a:graphic>
              <a:graphicData uri="http://schemas.openxmlformats.org/drawingml/2006/picture">
                <pic:pic>
                  <pic:nvPicPr>
                    <pic:cNvPr id="0" name="02_hierarchy.png"/>
                    <pic:cNvPicPr/>
                  </pic:nvPicPr>
                  <pic:blipFill>
                    <a:blip r:embed="rId11"/>
                    <a:stretch>
                      <a:fillRect/>
                    </a:stretch>
                  </pic:blipFill>
                  <pic:spPr>
                    <a:xfrm>
                      <a:off x="0" y="0"/>
                      <a:ext cx="6217920" cy="3466554"/>
                    </a:xfrm>
                    <a:prstGeom prst="rect"/>
                  </pic:spPr>
                </pic:pic>
              </a:graphicData>
            </a:graphic>
          </wp:inline>
        </w:drawing>
      </w:r>
    </w:p>
    <w:p>
      <w:pPr>
        <w:pStyle w:val="FigureCaption"/>
        <w:keepNext w:val="0"/>
      </w:pPr>
      <w:r>
        <w:t>Figure 2. Organization and jurisdiction are separate hierarchies joined by provider bindings. This avoids hard-coding one state administrative structure.</w:t>
      </w:r>
    </w:p>
    <w:p>
      <w:r>
        <w:t>The data model must not assume that every state uses the same terms or levels. Administrative units are typed nodes with parent-child relationships. A state can therefore configure Tehsil, Taluk, Mandal, Circle or another equivalent level without schema changes. Urban and rural branches can coexist. Service availability is computed from a service offering that binds a canonical service and local version to an organization/office, jurisdiction selector and validity period.</w:t>
      </w:r>
    </w:p>
    <w:p>
      <w:pPr>
        <w:pStyle w:val="Heading3"/>
      </w:pPr>
      <w:r>
        <w:t>3.2.1 Required jurisdiction types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Type code</w:t>
            </w:r>
          </w:p>
        </w:tc>
        <w:tc>
          <w:tcPr>
            <w:tcW w:type="dxa" w:w="61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Meaning</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COUNTRY</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India</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STATE_UT</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State or Union Territory</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DIVISION</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Optional administrative division</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DISTRICT</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District</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SUBDIVISION</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Sub-division / sub-district</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TEHSIL_TALUK_MANDAL_CIRCLE</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State-defined revenue/administrative unit</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BLOCK</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Development block</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ULB</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Municipal corporation / municipality / nagar panchayat / other ULB</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WARD</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Urban ward</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GRAM_PANCHAYAT</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Gram Panchayat</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VILLAGE</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Village / revenue village</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6"/>
              </w:rPr>
              <w:t>CUSTOM</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6"/>
              </w:rPr>
              <w:t>State-defined additional level</w:t>
            </w:r>
          </w:p>
        </w:tc>
      </w:tr>
    </w:tbl>
    <w:p>
      <w:pPr>
        <w:spacing w:after="0"/>
      </w:pPr>
    </w:p>
    <w:p>
      <w:pPr>
        <w:pStyle w:val="Heading3"/>
      </w:pPr>
      <w:r>
        <w:t>3.2.2 Organization and office model</w:t>
      </w:r>
    </w:p>
    <w:p>
      <w:r>
        <w:t>Organization nodes represent legal/administrative bodies; office nodes represent places or units that actually deliver work. A service may be owned by a State department but processed by district or block offices. An office can serve one jurisdiction, multiple jurisdictions or a rule-based jurisdiction set. The platform must support temporary delegations, additional charge, vacancies, transfers and acting authorities without changing the workflow definition.</w:t>
      </w:r>
    </w:p>
    <w:p>
      <w:pPr>
        <w:pStyle w:val="Heading1"/>
      </w:pPr>
      <w:r>
        <w:t>4. Multi-Tenant Architecture</w:t>
      </w:r>
    </w:p>
    <w:p>
      <w:pPr>
        <w:pStyle w:val="Heading2"/>
      </w:pPr>
      <w:r>
        <w:t>4.1 Tenant model</w:t>
      </w:r>
    </w:p>
    <w:p>
      <w:r>
        <w:t>Use hierarchical multi-tenancy with a root platform operator and independently governed government tenants. Small organizations may share a pooled data plane with strict tenant partitioning; large or regulated tenants may receive a dedicated schema, database, storage bucket or full cell. The same application code and metadata contracts must work across all isolation tiers.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vAlign w:val="center"/>
            <w:tcMar>
              <w:top w:w="100" w:type="dxa"/>
              <w:start w:w="120" w:type="dxa"/>
              <w:bottom w:w="100" w:type="dxa"/>
              <w:end w:w="120" w:type="dxa"/>
            </w:tcMar>
            <w:shd w:fill="1F4E78"/>
          </w:tcPr>
          <w:p>
            <w:pPr>
              <w:spacing w:after="0" w:before="0"/>
              <w:jc w:val="center"/>
            </w:pPr>
            <w:r/>
            <w:r>
              <w:rPr>
                <w:rFonts w:ascii="Aptos" w:hAnsi="Aptos"/>
                <w:b/>
                <w:color w:val="FFFFFF"/>
                <w:sz w:val="17"/>
              </w:rPr>
              <w:t>Isolation tier</w:t>
            </w:r>
          </w:p>
        </w:tc>
        <w:tc>
          <w:tcPr>
            <w:tcW w:type="dxa" w:w="2304"/>
            <w:vAlign w:val="center"/>
            <w:tcMar>
              <w:top w:w="100" w:type="dxa"/>
              <w:start w:w="120" w:type="dxa"/>
              <w:bottom w:w="100" w:type="dxa"/>
              <w:end w:w="120" w:type="dxa"/>
            </w:tcMar>
            <w:shd w:fill="1F4E78"/>
          </w:tcPr>
          <w:p>
            <w:pPr>
              <w:spacing w:after="0" w:before="0"/>
              <w:jc w:val="center"/>
            </w:pPr>
            <w:r/>
            <w:r>
              <w:rPr>
                <w:rFonts w:ascii="Aptos" w:hAnsi="Aptos"/>
                <w:b/>
                <w:color w:val="FFFFFF"/>
                <w:sz w:val="17"/>
              </w:rPr>
              <w:t>Typical use</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Controls</w:t>
            </w:r>
          </w:p>
        </w:tc>
      </w:tr>
      <w:tr>
        <w:trPr>
          <w:cantSplit/>
        </w:trPr>
        <w:tc>
          <w:tcPr>
            <w:tcW w:type="dxa" w:w="1728"/>
            <w:vAlign w:val="center"/>
            <w:tcMar>
              <w:top w:w="100" w:type="dxa"/>
              <w:start w:w="120" w:type="dxa"/>
              <w:bottom w:w="100" w:type="dxa"/>
              <w:end w:w="120" w:type="dxa"/>
            </w:tcMar>
          </w:tcPr>
          <w:p>
            <w:pPr>
              <w:spacing w:after="0" w:before="0"/>
              <w:jc w:val="left"/>
            </w:pPr>
            <w:r/>
            <w:r>
              <w:rPr>
                <w:rFonts w:ascii="Aptos" w:hAnsi="Aptos"/>
                <w:b w:val="0"/>
                <w:color w:val="222222"/>
                <w:sz w:val="16"/>
              </w:rPr>
              <w:t>Pooled</w:t>
            </w:r>
          </w:p>
        </w:tc>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Many small tenants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6"/>
              </w:rPr>
              <w:t>Shared DB with tenant_id + PostgreSQL RLS; tenant-aware cache/storage/search keys; per-tenant encryption context.</w:t>
            </w:r>
          </w:p>
        </w:tc>
      </w:tr>
      <w:tr>
        <w:trPr>
          <w:cantSplit/>
        </w:trPr>
        <w:tc>
          <w:tcPr>
            <w:tcW w:type="dxa" w:w="1728"/>
            <w:vAlign w:val="center"/>
            <w:tcMar>
              <w:top w:w="100" w:type="dxa"/>
              <w:start w:w="120" w:type="dxa"/>
              <w:bottom w:w="100" w:type="dxa"/>
              <w:end w:w="120" w:type="dxa"/>
            </w:tcMar>
          </w:tcPr>
          <w:p>
            <w:pPr>
              <w:spacing w:after="0" w:before="0"/>
              <w:jc w:val="left"/>
            </w:pPr>
            <w:r/>
            <w:r>
              <w:rPr>
                <w:rFonts w:ascii="Aptos" w:hAnsi="Aptos"/>
                <w:b w:val="0"/>
                <w:color w:val="222222"/>
                <w:sz w:val="16"/>
              </w:rPr>
              <w:t>Partitioned cell</w:t>
            </w:r>
          </w:p>
        </w:tc>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State / large programme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6"/>
              </w:rPr>
              <w:t>Dedicated application cell and database cluster; shared control plane; limits blast radius.</w:t>
            </w:r>
          </w:p>
        </w:tc>
      </w:tr>
      <w:tr>
        <w:trPr>
          <w:cantSplit/>
        </w:trPr>
        <w:tc>
          <w:tcPr>
            <w:tcW w:type="dxa" w:w="1728"/>
            <w:vAlign w:val="center"/>
            <w:tcMar>
              <w:top w:w="100" w:type="dxa"/>
              <w:start w:w="120" w:type="dxa"/>
              <w:bottom w:w="100" w:type="dxa"/>
              <w:end w:w="120" w:type="dxa"/>
            </w:tcMar>
          </w:tcPr>
          <w:p>
            <w:pPr>
              <w:spacing w:after="0" w:before="0"/>
              <w:jc w:val="left"/>
            </w:pPr>
            <w:r/>
            <w:r>
              <w:rPr>
                <w:rFonts w:ascii="Aptos" w:hAnsi="Aptos"/>
                <w:b w:val="0"/>
                <w:color w:val="222222"/>
                <w:sz w:val="16"/>
              </w:rPr>
              <w:t>Dedicated</w:t>
            </w:r>
          </w:p>
        </w:tc>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High sensitivity / very large tenant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6"/>
              </w:rPr>
              <w:t>Dedicated database/storage/key hierarchy and optional dedicated runtime cell.</w:t>
            </w:r>
          </w:p>
        </w:tc>
      </w:tr>
    </w:tbl>
    <w:p>
      <w:pPr>
        <w:spacing w:after="0"/>
      </w:pPr>
    </w:p>
    <w:p>
      <w:pPr>
        <w:pStyle w:val="Heading2"/>
      </w:pPr>
      <w:r>
        <w:t>4.2 Tenant invariants</w:t>
      </w:r>
    </w:p>
    <w:p>
      <w:pPr>
        <w:pStyle w:val="ListBullet"/>
      </w:pPr>
      <w:r>
        <w:t>Every domain record carries tenant_id or is explicitly classified as global reference data.</w:t>
      </w:r>
    </w:p>
    <w:p>
      <w:pPr>
        <w:pStyle w:val="ListBullet"/>
      </w:pPr>
      <w:r>
        <w:t>Every request has resolved tenant, organization and actor context before domain code executes.</w:t>
      </w:r>
    </w:p>
    <w:p>
      <w:pPr>
        <w:pStyle w:val="ListBullet"/>
      </w:pPr>
      <w:r>
        <w:t>Database Row Level Security or equivalent enforcement supplements, not replaces, application authorization.</w:t>
      </w:r>
    </w:p>
    <w:p>
      <w:pPr>
        <w:pStyle w:val="ListBullet"/>
      </w:pPr>
      <w:r>
        <w:t>Cache keys, search indexes, object-storage prefixes, event topics/partitions and logs are tenant-aware.</w:t>
      </w:r>
    </w:p>
    <w:p>
      <w:pPr>
        <w:pStyle w:val="ListBullet"/>
      </w:pPr>
      <w:r>
        <w:t>Platform operators use break-glass, time-bound, audited elevation for production tenant data.</w:t>
      </w:r>
    </w:p>
    <w:p>
      <w:pPr>
        <w:pStyle w:val="ListBullet"/>
      </w:pPr>
      <w:r>
        <w:t>Cross-tenant analytics consumes de-identified or explicitly authorized aggregates through a separate analytics plane.</w:t>
      </w:r>
    </w:p>
    <w:p>
      <w:pPr>
        <w:pStyle w:val="ListBullet"/>
      </w:pPr>
      <w:r>
        <w:t>Tenant export and exit must be supported using documented open formats.</w:t>
      </w:r>
    </w:p>
    <w:p>
      <w:pPr>
        <w:pStyle w:val="Heading2"/>
      </w:pPr>
      <w:r>
        <w:t>4.3 Tenant-aware identifiers</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tenant_id        UUID   -- security boundary</w:t>
              <w:br/>
              <w:t>organization_id  UUID   -- owning government entity</w:t>
              <w:br/>
              <w:t>office_id        UUID   -- processing/service delivery unit</w:t>
              <w:br/>
              <w:t>jurisdiction_id  UUID   -- geographic/administrative scope</w:t>
              <w:br/>
              <w:t>service_id       UUID   -- global canonical service definition</w:t>
              <w:br/>
              <w:t>offering_id      UUID   -- local service version + provider + jurisdiction</w:t>
              <w:br/>
              <w:t>application_id   UUIDv7 -- citizen case instance</w:t>
            </w:r>
          </w:p>
        </w:tc>
      </w:tr>
    </w:tbl>
    <w:p>
      <w:pPr>
        <w:spacing w:after="0"/>
      </w:pPr>
    </w:p>
    <w:p>
      <w:pPr>
        <w:pStyle w:val="Heading1"/>
      </w:pPr>
      <w:r>
        <w:t>5. Canonical Service Registry and Local Service Offerings</w:t>
      </w:r>
    </w:p>
    <w:p>
      <w:pPr>
        <w:pStyle w:val="Heading2"/>
      </w:pPr>
      <w:r>
        <w:t>5.1 Registry architecture</w:t>
      </w:r>
    </w:p>
    <w:p>
      <w:r>
        <w:t>The existing companion catalogue contains 460 normalized national definitions. These act as canonical concepts for discovery, analytics and interoperability. Each real service offering remains a local, versioned implementation containing the authoritative state/department name and rules. A mapping records whether the relationship is exact, near-equivalent, broader, narrower, combined or state-specific.</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Catalogue category</w:t>
            </w:r>
          </w:p>
        </w:tc>
        <w:tc>
          <w:tcPr>
            <w:tcW w:type="dxa" w:w="2016"/>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Canonical definitions</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Land, Revenue &amp; Property</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45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Agriculture, Rural Development &amp; Fisheries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Residence, Community &amp; Socioeconomic Status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Social Welfare, Pension &amp; Citizen Benefits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Education &amp; Student Services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30</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Employment, Labour &amp; Skills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30</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Transport &amp; Mobility</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30</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Urban Local Body, Building &amp; Civic Services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30</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Business, Trade &amp; Professional Citizen Services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Civil Registration &amp; Personal Identity</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Family, Relationship &amp; Personal Status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Health, Disability &amp; Public Health</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Food, Ration &amp; Consumer Services</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20</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Police, Home &amp; Public Safety</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20</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Environment, Forest &amp; Wildlife</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15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Utilities &amp; Infrastructure</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15</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Disaster, Relief &amp; Compensation</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10</w:t>
            </w:r>
          </w:p>
        </w:tc>
      </w:tr>
      <w:tr>
        <w:trPr>
          <w:cantSplit/>
        </w:trPr>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Special Status, Government Employee &amp; Ex-Servicemen</w:t>
            </w:r>
          </w:p>
        </w:tc>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6"/>
              </w:rPr>
              <w:t>10</w:t>
            </w:r>
          </w:p>
        </w:tc>
      </w:tr>
    </w:tbl>
    <w:p>
      <w:pPr>
        <w:spacing w:after="0"/>
      </w:pPr>
    </w:p>
    <w:p>
      <w:pPr>
        <w:pStyle w:val="Heading2"/>
      </w:pPr>
      <w:r>
        <w:t>5.2 Canonical service object</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w:t>
              <w:br/>
              <w:t xml:space="preserve">  "canonicalServiceId": "IND-RES-001",</w:t>
              <w:br/>
              <w:t xml:space="preserve">  "name": "Residence Certificate",</w:t>
              <w:br/>
              <w:t xml:space="preserve">  "category": "Residence, Community &amp; Socioeconomic Status",</w:t>
              <w:br/>
              <w:t xml:space="preserve">  "outcomeType": "CERTIFICATE",</w:t>
              <w:br/>
              <w:t xml:space="preserve">  "credentialProfile": "residence-certificate/v1",</w:t>
              <w:br/>
              <w:t xml:space="preserve">  "keywords": ["resident", "residential", "local residence"],</w:t>
              <w:br/>
              <w:t xml:space="preserve">  "lifeEvents": ["MOVE_HOME", "EDUCATION", "EMPLOYMENT"],</w:t>
              <w:br/>
              <w:t xml:space="preserve">  "status": "ACTIVE"</w:t>
              <w:br/>
              <w:t>}</w:t>
            </w:r>
          </w:p>
        </w:tc>
      </w:tr>
    </w:tbl>
    <w:p>
      <w:pPr>
        <w:spacing w:after="0"/>
      </w:pPr>
    </w:p>
    <w:p>
      <w:pPr>
        <w:pStyle w:val="Heading2"/>
      </w:pPr>
      <w:r>
        <w:t>5.3 Local offering object</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w:t>
              <w:br/>
              <w:t xml:space="preserve">  "offeringId": "odisha.revenue.resident-certificate.2026-01",</w:t>
              <w:br/>
              <w:t xml:space="preserve">  "canonicalServiceId": "IND-RES-001",</w:t>
              <w:br/>
              <w:t xml:space="preserve">  "tenantId": "...",</w:t>
              <w:br/>
              <w:t xml:space="preserve">  "localName": "Resident Certificate",</w:t>
              <w:br/>
              <w:t xml:space="preserve">  "providerOrganizationId": "...",</w:t>
              <w:br/>
              <w:t xml:space="preserve">  "providerOfficeSelector": {"jurisdictionType": ["TAHASIL"]},</w:t>
              <w:br/>
              <w:t xml:space="preserve">  "applicantJurisdictionRule": "RESIDENCE_ADDRESS",</w:t>
              <w:br/>
              <w:t xml:space="preserve">  "formVersionId": "form:resident:7",</w:t>
              <w:br/>
              <w:t xml:space="preserve">  "eligibilityRuleSetId": "rules:resident:4",</w:t>
              <w:br/>
              <w:t xml:space="preserve">  "workflowVersionId": "workflow:resident:9",</w:t>
              <w:br/>
              <w:t xml:space="preserve">  "evidencePolicyId": "evidence:resident:5",</w:t>
              <w:br/>
              <w:t xml:space="preserve">  "feeScheduleId": "fee:resident:3",</w:t>
              <w:br/>
              <w:t xml:space="preserve">  "slaPolicyId": "sla:resident:2",</w:t>
              <w:br/>
              <w:t xml:space="preserve">  "outputTemplateId": "template:resident:6",</w:t>
              <w:br/>
              <w:t xml:space="preserve">  "effectiveFrom": "2026-10-01",</w:t>
              <w:br/>
              <w:t xml:space="preserve">  "status": "PUBLISHED"</w:t>
              <w:br/>
              <w:t>}</w:t>
            </w:r>
          </w:p>
        </w:tc>
      </w:tr>
    </w:tbl>
    <w:p>
      <w:pPr>
        <w:spacing w:after="0"/>
      </w:pPr>
    </w:p>
    <w:p>
      <w:pPr>
        <w:pStyle w:val="Heading2"/>
      </w:pPr>
      <w:r>
        <w:t>5.4 Service lifecycle</w:t>
      </w:r>
    </w:p>
    <w:p>
      <w:pPr>
        <w:keepNext/>
        <w:jc w:val="center"/>
      </w:pPr>
      <w:r>
        <w:drawing>
          <wp:inline xmlns:a="http://schemas.openxmlformats.org/drawingml/2006/main" xmlns:pic="http://schemas.openxmlformats.org/drawingml/2006/picture">
            <wp:extent cx="6217920" cy="475733"/>
            <wp:docPr id="3" name="Picture 3"/>
            <wp:cNvGraphicFramePr>
              <a:graphicFrameLocks noChangeAspect="1"/>
            </wp:cNvGraphicFramePr>
            <a:graphic>
              <a:graphicData uri="http://schemas.openxmlformats.org/drawingml/2006/picture">
                <pic:pic>
                  <pic:nvPicPr>
                    <pic:cNvPr id="0" name="03_service_lifecycle.png"/>
                    <pic:cNvPicPr/>
                  </pic:nvPicPr>
                  <pic:blipFill>
                    <a:blip r:embed="rId12"/>
                    <a:stretch>
                      <a:fillRect/>
                    </a:stretch>
                  </pic:blipFill>
                  <pic:spPr>
                    <a:xfrm>
                      <a:off x="0" y="0"/>
                      <a:ext cx="6217920" cy="475733"/>
                    </a:xfrm>
                    <a:prstGeom prst="rect"/>
                  </pic:spPr>
                </pic:pic>
              </a:graphicData>
            </a:graphic>
          </wp:inline>
        </w:drawing>
      </w:r>
    </w:p>
    <w:p>
      <w:pPr>
        <w:pStyle w:val="FigureCaption"/>
        <w:keepNext w:val="0"/>
      </w:pPr>
      <w:r>
        <w:t>Figure 3. Versioned service lifecycle from authoritative policy through AI-assisted configuration, human approval, runtime operation and continuous improvement.</w:t>
      </w:r>
    </w:p>
    <w:p>
      <w:pPr>
        <w:pStyle w:val="Heading1"/>
      </w:pPr>
      <w:r>
        <w:t>6. Citizen Experience</w:t>
      </w:r>
    </w:p>
    <w:p>
      <w:pPr>
        <w:pStyle w:val="Heading2"/>
      </w:pPr>
      <w:r>
        <w:t>6.1 Citizen home: “My Government”</w:t>
      </w:r>
    </w:p>
    <w:p>
      <w:r>
        <w:t>After sign-in, the home experience should prioritize unfinished work and relevant outcomes rather than departmental navigation. It should show active applications, actions due, appointments, fees due, issued credentials, expiring licences/certificates, recently used services and explainable recommendations. Search remains available for citizens who know the service name.</w:t>
      </w:r>
    </w:p>
    <w:p>
      <w:pPr>
        <w:keepNext/>
        <w:jc w:val="center"/>
      </w:pPr>
      <w:r>
        <w:drawing>
          <wp:inline xmlns:a="http://schemas.openxmlformats.org/drawingml/2006/main" xmlns:pic="http://schemas.openxmlformats.org/drawingml/2006/picture">
            <wp:extent cx="6217920" cy="416994"/>
            <wp:docPr id="4" name="Picture 4"/>
            <wp:cNvGraphicFramePr>
              <a:graphicFrameLocks noChangeAspect="1"/>
            </wp:cNvGraphicFramePr>
            <a:graphic>
              <a:graphicData uri="http://schemas.openxmlformats.org/drawingml/2006/picture">
                <pic:pic>
                  <pic:nvPicPr>
                    <pic:cNvPr id="0" name="04_citizen_journey.png"/>
                    <pic:cNvPicPr/>
                  </pic:nvPicPr>
                  <pic:blipFill>
                    <a:blip r:embed="rId13"/>
                    <a:stretch>
                      <a:fillRect/>
                    </a:stretch>
                  </pic:blipFill>
                  <pic:spPr>
                    <a:xfrm>
                      <a:off x="0" y="0"/>
                      <a:ext cx="6217920" cy="416994"/>
                    </a:xfrm>
                    <a:prstGeom prst="rect"/>
                  </pic:spPr>
                </pic:pic>
              </a:graphicData>
            </a:graphic>
          </wp:inline>
        </w:drawing>
      </w:r>
    </w:p>
    <w:p>
      <w:pPr>
        <w:pStyle w:val="FigureCaption"/>
        <w:keepNext w:val="0"/>
      </w:pPr>
      <w:r>
        <w:t>Figure 4. Citizen journey: discovery, identity, explainable eligibility, verified prefill, adaptive application, tracking and reusable credentials.</w:t>
      </w:r>
    </w:p>
    <w:p>
      <w:pPr>
        <w:pStyle w:val="Heading2"/>
      </w:pPr>
      <w:r>
        <w:t>6.2 Onboarding and identity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Level</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Capability</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Guest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Browse/search service catalogue, view requirements, simulate eligibility with user-entered answers. No persistent sensitive profile.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Basic account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Mobile/email verified account; drafts and notifications.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Federated government sign-in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MeriPehchaan / approved identity provider; link identities only after controlled account-linking.</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DigiLocker connection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With consent, fetch eligible issued documents/claims; do not assume DigiLocker data is a general-purpose citizen profile.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7"/>
              </w:rPr>
              <w:t>High-assurance verification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7"/>
              </w:rPr>
              <w:t>Only where the specific service needs it; step-up authentication based on risk and legal requirement.</w:t>
            </w:r>
          </w:p>
        </w:tc>
      </w:tr>
    </w:tbl>
    <w:p>
      <w:pPr>
        <w:spacing w:after="0"/>
      </w:pPr>
    </w:p>
    <w:p>
      <w:pPr>
        <w:pStyle w:val="Heading2"/>
      </w:pPr>
      <w:r>
        <w:t>6.3 Progressive citizen profile</w:t>
      </w:r>
    </w:p>
    <w:p>
      <w:r>
        <w:t>The profile is a set of claims, not one mutable “master record”. Every claim records value, source, verification status, freshness, purpose constraints and last-confirmed date. A self-declared address and an address verified from a government credential can coexist. Forms select the claim that satisfies the service evidence policy and always show the citizen what will be reused.</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profile_claim {</w:t>
              <w:br/>
              <w:t xml:space="preserve">  claim_type, value_encrypted, source_type, source_reference,</w:t>
              <w:br/>
              <w:t xml:space="preserve">  verification_level, issued_at, verified_at, expires_at,</w:t>
              <w:br/>
              <w:t xml:space="preserve">  jurisdiction, consent_reference, supersedes_claim_id</w:t>
              <w:br/>
              <w:t>}</w:t>
            </w:r>
          </w:p>
        </w:tc>
      </w:tr>
    </w:tbl>
    <w:p>
      <w:pPr>
        <w:spacing w:after="0"/>
      </w:pPr>
    </w:p>
    <w:p>
      <w:pPr>
        <w:pStyle w:val="Heading2"/>
      </w:pPr>
      <w:r>
        <w:t>6.4 Family, representative and assisted access</w:t>
      </w:r>
    </w:p>
    <w:p>
      <w:pPr>
        <w:pStyle w:val="ListBullet"/>
      </w:pPr>
      <w:r>
        <w:t>Allow parent/guardian, authorized representative and family-member relationships as explicit, revocable delegations.</w:t>
      </w:r>
    </w:p>
    <w:p>
      <w:pPr>
        <w:pStyle w:val="ListBullet"/>
      </w:pPr>
      <w:r>
        <w:t>An assisted operator starts an assisted session; the citizen/representative is visible in the audit trail and reviews the submission summary.</w:t>
      </w:r>
    </w:p>
    <w:p>
      <w:pPr>
        <w:pStyle w:val="ListBullet"/>
      </w:pPr>
      <w:r>
        <w:t>Delegation is service-scoped, time-bound and purpose-bound where feasible.</w:t>
      </w:r>
    </w:p>
    <w:p>
      <w:pPr>
        <w:pStyle w:val="ListBullet"/>
      </w:pPr>
      <w:r>
        <w:t>Minor/guardian flows and legally mandated representative flows are service-policy configurations, not informal account sharing.</w:t>
      </w:r>
    </w:p>
    <w:p>
      <w:pPr>
        <w:pStyle w:val="Heading2"/>
      </w:pPr>
      <w:r>
        <w:t>6.5 Discovery and recommendation</w:t>
      </w:r>
    </w:p>
    <w:p>
      <w:r>
        <w:t>Discovery uses multiple layers: exact/fuzzy search, synonym and state-alias search, category navigation, life-event journeys, geography-aware availability, and semantic retrieval. Recommendations are generated from verified/declarative profile facts and deterministic eligibility rules. AI may rank and explain candidates, but it must never invent eligibility or hide rule failures.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Component</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Rule eligibility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Authoritative yes/no/needs-more-information result from versioned rules.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Recommendation score</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Non-binding relevance score using user intent, location, life event, prior actions and available verified claims.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Why shown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Human-readable explanation such as “Available in your district; your age and occupation match the published criteria.”</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Privacy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Do not infer sensitive attributes from unrelated behavior. Use only declared/verified facts permitted for recommendation purpose.</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7"/>
              </w:rPr>
              <w:t>Feedback</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7"/>
              </w:rPr>
              <w:t>Not relevant / already received / remind later / hide category; feed only into personalization, not statutory eligibility.</w:t>
            </w:r>
          </w:p>
        </w:tc>
      </w:tr>
    </w:tbl>
    <w:p>
      <w:pPr>
        <w:spacing w:after="0"/>
      </w:pPr>
    </w:p>
    <w:p>
      <w:pPr>
        <w:pStyle w:val="Heading1"/>
      </w:pPr>
      <w:r>
        <w:t>7. Dynamic Form Engine</w:t>
      </w:r>
    </w:p>
    <w:p>
      <w:pPr>
        <w:pStyle w:val="Heading2"/>
      </w:pPr>
      <w:r>
        <w:t>7.1 Form model</w:t>
      </w:r>
    </w:p>
    <w:p>
      <w:r>
        <w:t>Forms are JSON-schema-backed, versioned UI definitions. Store submission answers as a versioned JSON document plus indexed materialized fields required for search/reporting. Avoid a generic EAV database for all form answers. The rendering engine must be identical in citizen preview, admin preview and runtime.</w:t>
      </w:r>
    </w:p>
    <w:p>
      <w:pPr>
        <w:pStyle w:val="Heading2"/>
      </w:pPr>
      <w:r>
        <w:t>7.2 Required field/component library</w:t>
      </w:r>
    </w:p>
    <w:p>
      <w:pPr>
        <w:pStyle w:val="ListBullet"/>
      </w:pPr>
      <w:r>
        <w:t>Text / textarea / rich guidance</w:t>
      </w:r>
    </w:p>
    <w:p>
      <w:pPr>
        <w:pStyle w:val="ListBullet"/>
      </w:pPr>
      <w:r>
        <w:t>Integer / decimal / currency / percentage</w:t>
      </w:r>
    </w:p>
    <w:p>
      <w:pPr>
        <w:pStyle w:val="ListBullet"/>
      </w:pPr>
      <w:r>
        <w:t>Date / time / date range</w:t>
      </w:r>
    </w:p>
    <w:p>
      <w:pPr>
        <w:pStyle w:val="ListBullet"/>
      </w:pPr>
      <w:r>
        <w:t>Mobile / email / OTP verification</w:t>
      </w:r>
    </w:p>
    <w:p>
      <w:pPr>
        <w:pStyle w:val="ListBullet"/>
      </w:pPr>
      <w:r>
        <w:t>Address with jurisdiction resolver</w:t>
      </w:r>
    </w:p>
    <w:p>
      <w:pPr>
        <w:pStyle w:val="ListBullet"/>
      </w:pPr>
      <w:r>
        <w:t>Name with multilingual/native-script support</w:t>
      </w:r>
    </w:p>
    <w:p>
      <w:pPr>
        <w:pStyle w:val="ListBullet"/>
      </w:pPr>
      <w:r>
        <w:t>Select / multi-select / radio / checkbox</w:t>
      </w:r>
    </w:p>
    <w:p>
      <w:pPr>
        <w:pStyle w:val="ListBullet"/>
      </w:pPr>
      <w:r>
        <w:t>Yes/no/tri-state</w:t>
      </w:r>
    </w:p>
    <w:p>
      <w:pPr>
        <w:pStyle w:val="ListBullet"/>
      </w:pPr>
      <w:r>
        <w:t>Document upload / camera capture / DigiLocker document selector</w:t>
      </w:r>
    </w:p>
    <w:p>
      <w:pPr>
        <w:pStyle w:val="ListBullet"/>
      </w:pPr>
      <w:r>
        <w:t>Photo / signature / geo point where lawful</w:t>
      </w:r>
    </w:p>
    <w:p>
      <w:pPr>
        <w:pStyle w:val="ListBullet"/>
      </w:pPr>
      <w:r>
        <w:t>Person / family-member repeat group</w:t>
      </w:r>
    </w:p>
    <w:p>
      <w:pPr>
        <w:pStyle w:val="ListBullet"/>
      </w:pPr>
      <w:r>
        <w:t>Property / land parcel / vehicle / organization reference</w:t>
      </w:r>
    </w:p>
    <w:p>
      <w:pPr>
        <w:pStyle w:val="ListBullet"/>
      </w:pPr>
      <w:r>
        <w:t>Bank account with masked display and optional verification</w:t>
      </w:r>
    </w:p>
    <w:p>
      <w:pPr>
        <w:pStyle w:val="ListBullet"/>
      </w:pPr>
      <w:r>
        <w:t>Calculated / derived read-only value</w:t>
      </w:r>
    </w:p>
    <w:p>
      <w:pPr>
        <w:pStyle w:val="ListBullet"/>
      </w:pPr>
      <w:r>
        <w:t>Declaration / consent / undertaking</w:t>
      </w:r>
    </w:p>
    <w:p>
      <w:pPr>
        <w:pStyle w:val="ListBullet"/>
      </w:pPr>
      <w:r>
        <w:t>Appointment slot</w:t>
      </w:r>
    </w:p>
    <w:p>
      <w:pPr>
        <w:pStyle w:val="ListBullet"/>
      </w:pPr>
      <w:r>
        <w:t>Payment summary</w:t>
      </w:r>
    </w:p>
    <w:p>
      <w:pPr>
        <w:pStyle w:val="ListBullet"/>
      </w:pPr>
      <w:r>
        <w:t>Custom reusable compound component</w:t>
      </w:r>
    </w:p>
    <w:p>
      <w:pPr>
        <w:pStyle w:val="Heading2"/>
      </w:pPr>
      <w:r>
        <w:t>7.3 Form behavior</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Capability</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Contract</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Conditional visibility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JSONLogic-like expression; hidden fields are not submitted unless policy explicitly retains them.</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Validation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Client and server share the same schema; server is authoritative.</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Prefill</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Profile/API/document claims include source badge and freshness; citizen can correct unless field is authoritative/read-only.</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Autosave</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Encrypted draft autosave with optimistic concurrency and resumable upload.</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Multilingual</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Labels/help/errors/content versioned per locale; data values keep language/script semantics.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Accessibility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Keyboard operation, programmatic labels, error summary, focus management, contrast and screen-reader semantics.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Low bandwidth</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Progressive loading, image compression, resumable upload, minimal JS fallback for critical flows.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Print/assisted</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Generate review summary suitable for assisted service centres and receipt acknowledgement.</w:t>
            </w:r>
          </w:p>
        </w:tc>
      </w:tr>
    </w:tbl>
    <w:p>
      <w:pPr>
        <w:spacing w:after="0"/>
      </w:pPr>
    </w:p>
    <w:p>
      <w:pPr>
        <w:pStyle w:val="Heading2"/>
      </w:pPr>
      <w:r>
        <w:t>7.4 Example form fragment</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w:t>
              <w:br/>
              <w:t xml:space="preserve">  "schemaVersion": "1.0",</w:t>
              <w:br/>
              <w:t xml:space="preserve">  "sections": [{</w:t>
              <w:br/>
              <w:t xml:space="preserve">    "id": "applicant",</w:t>
              <w:br/>
              <w:t xml:space="preserve">    "titleKey": "section.applicant",</w:t>
              <w:br/>
              <w:t xml:space="preserve">    "fields": [{</w:t>
              <w:br/>
              <w:t xml:space="preserve">      "id": "fullName", "type": "personName", "required": true,</w:t>
              <w:br/>
              <w:t xml:space="preserve">      "prefill": [{"claim": "person.legal_name", "minVerification": "VERIFIED"}]</w:t>
              <w:br/>
              <w:t xml:space="preserve">    }, {</w:t>
              <w:br/>
              <w:t xml:space="preserve">      "id": "residenceAddress", "type": "address", "required": true,</w:t>
              <w:br/>
              <w:t xml:space="preserve">      "jurisdictionResolution": true</w:t>
              <w:br/>
              <w:t xml:space="preserve">    }, {</w:t>
              <w:br/>
              <w:t xml:space="preserve">      "id": "yearsAtAddress", "type": "integer", "min": 0,</w:t>
              <w:br/>
              <w:t xml:space="preserve">      "visibleWhen": {"&gt;": [{"var":"applicant.age"}, 17]}</w:t>
              <w:br/>
              <w:t xml:space="preserve">    }]</w:t>
              <w:br/>
              <w:t xml:space="preserve">  }]</w:t>
              <w:br/>
              <w:t>}</w:t>
            </w:r>
          </w:p>
        </w:tc>
      </w:tr>
    </w:tbl>
    <w:p>
      <w:pPr>
        <w:spacing w:after="0"/>
      </w:pPr>
    </w:p>
    <w:p>
      <w:pPr>
        <w:pStyle w:val="Heading1"/>
      </w:pPr>
      <w:r>
        <w:t>8. Eligibility and Rules Engine</w:t>
      </w:r>
    </w:p>
    <w:p>
      <w:pPr>
        <w:pStyle w:val="Heading2"/>
      </w:pPr>
      <w:r>
        <w:t>8.1 Rule classes</w:t>
      </w:r>
    </w:p>
    <w:p>
      <w:pPr>
        <w:pStyle w:val="ListBullet"/>
      </w:pPr>
      <w:r>
        <w:t>Applicant eligibility rules</w:t>
      </w:r>
    </w:p>
    <w:p>
      <w:pPr>
        <w:pStyle w:val="ListBullet"/>
      </w:pPr>
      <w:r>
        <w:t>Jurisdiction/service availability rules</w:t>
      </w:r>
    </w:p>
    <w:p>
      <w:pPr>
        <w:pStyle w:val="ListBullet"/>
      </w:pPr>
      <w:r>
        <w:t>Evidence/document rules</w:t>
      </w:r>
    </w:p>
    <w:p>
      <w:pPr>
        <w:pStyle w:val="ListBullet"/>
      </w:pPr>
      <w:r>
        <w:t>Fee and exemption rules</w:t>
      </w:r>
    </w:p>
    <w:p>
      <w:pPr>
        <w:pStyle w:val="ListBullet"/>
      </w:pPr>
      <w:r>
        <w:t>SLA/due-date rules</w:t>
      </w:r>
    </w:p>
    <w:p>
      <w:pPr>
        <w:pStyle w:val="ListBullet"/>
      </w:pPr>
      <w:r>
        <w:t>Workflow routing rules</w:t>
      </w:r>
    </w:p>
    <w:p>
      <w:pPr>
        <w:pStyle w:val="ListBullet"/>
      </w:pPr>
      <w:r>
        <w:t>Decision support validation rules</w:t>
      </w:r>
    </w:p>
    <w:p>
      <w:pPr>
        <w:pStyle w:val="ListBullet"/>
      </w:pPr>
      <w:r>
        <w:t>Output validity/renewal rules</w:t>
      </w:r>
    </w:p>
    <w:p>
      <w:pPr>
        <w:pStyle w:val="ListBullet"/>
      </w:pPr>
      <w:r>
        <w:t>Notification trigger rules</w:t>
      </w:r>
    </w:p>
    <w:p>
      <w:pPr>
        <w:pStyle w:val="ListBullet"/>
      </w:pPr>
      <w:r>
        <w:t>Delegation/authority rules</w:t>
      </w:r>
    </w:p>
    <w:p>
      <w:pPr>
        <w:pStyle w:val="Heading2"/>
      </w:pPr>
      <w:r>
        <w:t>8.2 Rule contract</w:t>
      </w:r>
    </w:p>
    <w:p>
      <w:r>
        <w:t>Rules must be deterministic, explainable, versioned, testable and executable without an LLM. Each rule returns outcome, reason code, human explanation key, evidence used and source reference. A service publish gate requires rule tests for positive, negative and boundary cases.</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w:t>
              <w:br/>
              <w:t xml:space="preserve">  "ruleId": "income.max.family.annual",</w:t>
              <w:br/>
              <w:t xml:space="preserve">  "sourceRef": "GR-2026-17#clause-4.2",</w:t>
              <w:br/>
              <w:t xml:space="preserve">  "when": {"and": [</w:t>
              <w:br/>
              <w:t xml:space="preserve">    {"&lt;=": [{"var":"profile.familyAnnualIncome"}, 800000]},</w:t>
              <w:br/>
              <w:t xml:space="preserve">    {"in": [{"var":"jurisdiction.state"}, ["XX"]]}</w:t>
              <w:br/>
              <w:t xml:space="preserve">  ]},</w:t>
              <w:br/>
              <w:t xml:space="preserve">  "onTrue": {"result":"PASS", "reason":"INCOME_WITHIN_LIMIT"},</w:t>
              <w:br/>
              <w:t xml:space="preserve">  "onFalse": {"result":"FAIL", "reason":"INCOME_ABOVE_LIMIT"}</w:t>
              <w:br/>
              <w:t>}</w:t>
            </w:r>
          </w:p>
        </w:tc>
      </w:tr>
    </w:tbl>
    <w:p>
      <w:pPr>
        <w:spacing w:after="0"/>
      </w:pPr>
    </w:p>
    <w:p>
      <w:pPr>
        <w:pStyle w:val="Heading1"/>
      </w:pPr>
      <w:r>
        <w:t>9. Workflow and Case Management Engine</w:t>
      </w:r>
    </w:p>
    <w:p>
      <w:pPr>
        <w:pStyle w:val="Heading2"/>
      </w:pPr>
      <w:r>
        <w:t>9.1 Workflow design</w:t>
      </w:r>
    </w:p>
    <w:p>
      <w:r>
        <w:t>The workflow runtime executes a versioned directed graph. Nodes are typed tasks and edges have deterministic conditions. A running application is pinned to the workflow version used at submission unless an approved migration explicitly moves it. This ensures auditability when policies change mid-process.</w:t>
      </w:r>
    </w:p>
    <w:p>
      <w:pPr>
        <w:pStyle w:val="Heading2"/>
      </w:pPr>
      <w:r>
        <w:t>9.2 Required node types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vAlign w:val="center"/>
            <w:tcMar>
              <w:top w:w="100" w:type="dxa"/>
              <w:start w:w="120" w:type="dxa"/>
              <w:bottom w:w="100" w:type="dxa"/>
              <w:end w:w="120" w:type="dxa"/>
            </w:tcMar>
            <w:shd w:fill="1F4E78"/>
          </w:tcPr>
          <w:p>
            <w:pPr>
              <w:spacing w:after="0" w:before="0"/>
              <w:jc w:val="center"/>
            </w:pPr>
            <w:r/>
            <w:r>
              <w:rPr>
                <w:rFonts w:ascii="Aptos" w:hAnsi="Aptos"/>
                <w:b/>
                <w:color w:val="FFFFFF"/>
                <w:sz w:val="17"/>
              </w:rPr>
              <w:t>Node type</w:t>
            </w:r>
          </w:p>
        </w:tc>
        <w:tc>
          <w:tcPr>
            <w:tcW w:type="dxa" w:w="6480"/>
            <w:vAlign w:val="center"/>
            <w:tcMar>
              <w:top w:w="100" w:type="dxa"/>
              <w:start w:w="120" w:type="dxa"/>
              <w:bottom w:w="100" w:type="dxa"/>
              <w:end w:w="120" w:type="dxa"/>
            </w:tcMar>
            <w:shd w:fill="1F4E78"/>
          </w:tcPr>
          <w:p>
            <w:pPr>
              <w:spacing w:after="0" w:before="0"/>
              <w:jc w:val="center"/>
            </w:pPr>
            <w:r/>
            <w:r>
              <w:rPr>
                <w:rFonts w:ascii="Aptos" w:hAnsi="Aptos"/>
                <w:b/>
                <w:color w:val="FFFFFF"/>
                <w:sz w:val="17"/>
              </w:rPr>
              <w:t>Purpose</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START / END</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Lifecycle boundary.</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APPLICANT_TASK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Clarification, additional evidence, correction, hearing response.</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HUMAN_TASK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Scrutiny, verification, recommendation, approval, rejection.</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DECISION</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Rule-based branching; deterministic expression.</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PARALLEL_FORK / JOIN</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Independent verification paths.</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API_TASK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Synchronous external API call with idempotency and timeout.</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ASYNC_INTEGRATION</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Long-running external request/callback.</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PAYMENT_TASK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Fee demand, payment, refund/waiver.</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INSPECTION_TASK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Field/site inspection with assignment and report.</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APPOINTMENT_TASK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Slot booking and attendance.</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SIGN_TASK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Digital signature/seal operation.</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DOCUMENT_TASK</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Generate intermediate/final document.</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TIMER</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SLA, reminder, auto-escalation, wait-until-date.</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NOTIFICATION</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Template-based event communication.</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SUBWORKFLOW</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Reusable process fragment.</w:t>
            </w:r>
          </w:p>
        </w:tc>
      </w:tr>
      <w:tr>
        <w:trPr>
          <w:cantSplit/>
        </w:trPr>
        <w:tc>
          <w:tcPr>
            <w:tcW w:type="dxa" w:w="3168"/>
            <w:vAlign w:val="center"/>
            <w:tcMar>
              <w:top w:w="100" w:type="dxa"/>
              <w:start w:w="120" w:type="dxa"/>
              <w:bottom w:w="100" w:type="dxa"/>
              <w:end w:w="120" w:type="dxa"/>
            </w:tcMar>
          </w:tcPr>
          <w:p>
            <w:pPr>
              <w:spacing w:after="0" w:before="0"/>
              <w:jc w:val="left"/>
            </w:pPr>
            <w:r/>
            <w:r>
              <w:rPr>
                <w:rFonts w:ascii="Aptos" w:hAnsi="Aptos"/>
                <w:b w:val="0"/>
                <w:color w:val="222222"/>
                <w:sz w:val="16"/>
              </w:rPr>
              <w:t>APPEAL / REVIEW</w:t>
            </w:r>
          </w:p>
        </w:tc>
        <w:tc>
          <w:tcPr>
            <w:tcW w:type="dxa" w:w="6480"/>
            <w:vAlign w:val="center"/>
            <w:tcMar>
              <w:top w:w="100" w:type="dxa"/>
              <w:start w:w="120" w:type="dxa"/>
              <w:bottom w:w="100" w:type="dxa"/>
              <w:end w:w="120" w:type="dxa"/>
            </w:tcMar>
          </w:tcPr>
          <w:p>
            <w:pPr>
              <w:spacing w:after="0" w:before="0"/>
              <w:jc w:val="left"/>
            </w:pPr>
            <w:r/>
            <w:r>
              <w:rPr>
                <w:rFonts w:ascii="Aptos" w:hAnsi="Aptos"/>
                <w:b w:val="0"/>
                <w:color w:val="222222"/>
                <w:sz w:val="16"/>
              </w:rPr>
              <w:t>Configured appellate path with authority constraints.</w:t>
            </w:r>
          </w:p>
        </w:tc>
      </w:tr>
    </w:tbl>
    <w:p>
      <w:pPr>
        <w:spacing w:after="0"/>
      </w:pPr>
    </w:p>
    <w:p>
      <w:pPr>
        <w:pStyle w:val="Heading2"/>
      </w:pPr>
      <w:r>
        <w:t>9.3 Assignment engine</w:t>
      </w:r>
    </w:p>
    <w:p>
      <w:r>
        <w:t>A workflow definition specifies required capability/role, not a named officer. At runtime, assignment considers office jurisdiction, role, workload, roster, delegation, leave/vacancy, conflict-of-interest rules and escalation. Named-person assignment is an exception and must be time-bound.</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assignment_policy {</w:t>
              <w:br/>
              <w:t xml:space="preserve">  required_role: "REVENUE_VERIFIER",</w:t>
              <w:br/>
              <w:t xml:space="preserve">  office_selector: "APPLICANT_RESIDENCE.TEHSIL_OFFICE",</w:t>
              <w:br/>
              <w:t xml:space="preserve">  strategy: "LEAST_OPEN_TASKS",</w:t>
              <w:br/>
              <w:t xml:space="preserve">  fallback: ["PARENT_OFFICE", "SUPERVISOR_POOL"],</w:t>
              <w:br/>
              <w:t xml:space="preserve">  claim_ttl_minutes: 30</w:t>
              <w:br/>
              <w:t>}</w:t>
            </w:r>
          </w:p>
        </w:tc>
      </w:tr>
    </w:tbl>
    <w:p>
      <w:pPr>
        <w:spacing w:after="0"/>
      </w:pPr>
    </w:p>
    <w:p>
      <w:pPr>
        <w:pStyle w:val="Heading2"/>
      </w:pPr>
      <w:r>
        <w:t>9.4 SLA clock</w:t>
      </w:r>
    </w:p>
    <w:p>
      <w:pPr>
        <w:pStyle w:val="ListBullet"/>
      </w:pPr>
      <w:r>
        <w:t>Maintain statutory SLA and internal operational SLA separately.</w:t>
      </w:r>
    </w:p>
    <w:p>
      <w:pPr>
        <w:pStyle w:val="ListBullet"/>
      </w:pPr>
      <w:r>
        <w:t>Support business calendars, public holidays and jurisdiction calendars.</w:t>
      </w:r>
    </w:p>
    <w:p>
      <w:pPr>
        <w:pStyle w:val="ListBullet"/>
      </w:pPr>
      <w:r>
        <w:t>Pause clocks only on explicitly configured applicant-pending states.</w:t>
      </w:r>
    </w:p>
    <w:p>
      <w:pPr>
        <w:pStyle w:val="ListBullet"/>
      </w:pPr>
      <w:r>
        <w:t>Generate due-soon, breached and escalated events.</w:t>
      </w:r>
    </w:p>
    <w:p>
      <w:pPr>
        <w:pStyle w:val="ListBullet"/>
      </w:pPr>
      <w:r>
        <w:t>Never modify historical SLA calculation after calendar/rule changes; recalculate only prospective cases if policy requires.</w:t>
      </w:r>
    </w:p>
    <w:p>
      <w:pPr>
        <w:pStyle w:val="Heading2"/>
      </w:pPr>
      <w:r>
        <w:t>9.5 Workflow definition example</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w:t>
              <w:br/>
              <w:t xml:space="preserve">  "workflowId": "resident-certificate/v9",</w:t>
              <w:br/>
              <w:t xml:space="preserve">  "nodes": [</w:t>
              <w:br/>
              <w:t xml:space="preserve">    {"id":"submit","type":"START"},</w:t>
              <w:br/>
              <w:t xml:space="preserve">    {"id":"scrutiny","type":"HUMAN_TASK","role":"REVENUE_SCRUTINIZER","sla":"P2D"},</w:t>
              <w:br/>
              <w:t xml:space="preserve">    {"id":"needsFieldCheck","type":"DECISION","rule":"rules:field-check:2"},</w:t>
              <w:br/>
              <w:t xml:space="preserve">    {"id":"inspect","type":"INSPECTION_TASK","role":"FIELD_VERIFIER","sla":"P3D"},</w:t>
              <w:br/>
              <w:t xml:space="preserve">    {"id":"approve","type":"HUMAN_TASK","role":"APPROVING_AUTHORITY","makerChecker":true},</w:t>
              <w:br/>
              <w:t xml:space="preserve">    {"id":"issue","type":"DOCUMENT_TASK","action":"ISSUE_CREDENTIAL"},</w:t>
              <w:br/>
              <w:t xml:space="preserve">    {"id":"end","type":"END"}</w:t>
              <w:br/>
              <w:t xml:space="preserve">  ],</w:t>
              <w:br/>
              <w:t xml:space="preserve">  "edges": [</w:t>
              <w:br/>
              <w:t xml:space="preserve">    ["submit","scrutiny"], ["scrutiny","needsFieldCheck"],</w:t>
              <w:br/>
              <w:t xml:space="preserve">    ["needsFieldCheck","inspect",{"when":"FIELD_CHECK_REQUIRED"}],</w:t>
              <w:br/>
              <w:t xml:space="preserve">    ["needsFieldCheck","approve",{"when":"FIELD_CHECK_NOT_REQUIRED"}],</w:t>
              <w:br/>
              <w:t xml:space="preserve">    ["inspect","approve"], ["approve","issue",{"when":"APPROVED"}], ["issue","end"]</w:t>
              <w:br/>
              <w:t xml:space="preserve">  ]</w:t>
              <w:br/>
              <w:t>}</w:t>
            </w:r>
          </w:p>
        </w:tc>
      </w:tr>
    </w:tbl>
    <w:p>
      <w:pPr>
        <w:spacing w:after="0"/>
      </w:pPr>
    </w:p>
    <w:p>
      <w:pPr>
        <w:pStyle w:val="Heading1"/>
      </w:pPr>
      <w:r>
        <w:t>10. Application, Evidence and Case Record</w:t>
      </w:r>
    </w:p>
    <w:p>
      <w:pPr>
        <w:pStyle w:val="Heading2"/>
      </w:pPr>
      <w:r>
        <w:t>10.1 Application state model</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DRAFT -&gt; SUBMITTED -&gt; UNDER_SCRUTINY -&gt; (APPLICANT_ACTION | VERIFICATION | INSPECTION)*</w:t>
              <w:br/>
              <w:t xml:space="preserve">      -&gt; DECISION_PENDING -&gt; APPROVED | REJECTED | WITHDRAWN</w:t>
              <w:br/>
              <w:t>APPROVED -&gt; OUTPUT_ISSUED -&gt; CLOSED</w:t>
              <w:br/>
              <w:t>REJECTED -&gt; APPEAL_ELIGIBLE -&gt; APPEAL_IN_PROGRESS -&gt; APPEAL_DECIDED</w:t>
            </w:r>
          </w:p>
        </w:tc>
      </w:tr>
    </w:tbl>
    <w:p>
      <w:pPr>
        <w:spacing w:after="0"/>
      </w:pPr>
    </w:p>
    <w:p>
      <w:r>
        <w:t>Specific workflows can expose friendlier status labels, but platform-level states remain stable for analytics and interoperability.</w:t>
      </w:r>
    </w:p>
    <w:p>
      <w:pPr>
        <w:pStyle w:val="Heading2"/>
      </w:pPr>
      <w:r>
        <w:t>10.2 Evidence model</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Evidence type</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Required handling</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Uploaded document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Citizen/official upload; malware scan, MIME verification, checksum and metadata extraction.</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DigiLocker document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Consent-based reference/fetch with issuer/document metadata and verification result.</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API-verified fact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Structured result from authoritative source via API Setu or direct approved integration.</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Self declaration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Explicit declaration with timestamp, text/version and applicant acknowledgement.</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Field verification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Structured inspection/verification record with officer identity and evidence.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Derived evidence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Result of deterministic rules from verified facts; source chain retained.</w:t>
            </w:r>
          </w:p>
        </w:tc>
      </w:tr>
    </w:tbl>
    <w:p>
      <w:pPr>
        <w:spacing w:after="0"/>
      </w:pPr>
    </w:p>
    <w:p>
      <w:pPr>
        <w:pStyle w:val="Heading2"/>
      </w:pPr>
      <w:r>
        <w:t>10.3 Immutable case timeline</w:t>
      </w:r>
    </w:p>
    <w:p>
      <w:r>
        <w:t>Every material action generates an audit/event record: actor, acting-on-behalf-of, tenant, application, action, previous/new state, reason, timestamp, request correlation ID, source IP/device risk metadata where appropriate, and hashes of changed artifacts. Corrections append new records; they do not rewrite history.</w:t>
      </w:r>
    </w:p>
    <w:p>
      <w:pPr>
        <w:pStyle w:val="Heading1"/>
      </w:pPr>
      <w:r>
        <w:t>11. Credential, Certificate and Verification Framework</w:t>
      </w:r>
    </w:p>
    <w:p>
      <w:pPr>
        <w:pStyle w:val="Heading2"/>
      </w:pPr>
      <w:r>
        <w:t>11.1 Output architecture</w:t>
      </w:r>
    </w:p>
    <w:p>
      <w:pPr>
        <w:keepNext/>
        <w:jc w:val="center"/>
      </w:pPr>
      <w:r>
        <w:drawing>
          <wp:inline xmlns:a="http://schemas.openxmlformats.org/drawingml/2006/main" xmlns:pic="http://schemas.openxmlformats.org/drawingml/2006/picture">
            <wp:extent cx="6217920" cy="849782"/>
            <wp:docPr id="5" name="Picture 5"/>
            <wp:cNvGraphicFramePr>
              <a:graphicFrameLocks noChangeAspect="1"/>
            </wp:cNvGraphicFramePr>
            <a:graphic>
              <a:graphicData uri="http://schemas.openxmlformats.org/drawingml/2006/picture">
                <pic:pic>
                  <pic:nvPicPr>
                    <pic:cNvPr id="0" name="07_credential_flow.png"/>
                    <pic:cNvPicPr/>
                  </pic:nvPicPr>
                  <pic:blipFill>
                    <a:blip r:embed="rId14"/>
                    <a:stretch>
                      <a:fillRect/>
                    </a:stretch>
                  </pic:blipFill>
                  <pic:spPr>
                    <a:xfrm>
                      <a:off x="0" y="0"/>
                      <a:ext cx="6217920" cy="849782"/>
                    </a:xfrm>
                    <a:prstGeom prst="rect"/>
                  </pic:spPr>
                </pic:pic>
              </a:graphicData>
            </a:graphic>
          </wp:inline>
        </w:drawing>
      </w:r>
    </w:p>
    <w:p>
      <w:pPr>
        <w:pStyle w:val="FigureCaption"/>
        <w:keepNext w:val="0"/>
      </w:pPr>
      <w:r>
        <w:t>Figure 5. Credential issuance separates decision, canonical payload, cryptographic signing, human-readable PDF, machine-verifiable credential and status verification.</w:t>
      </w:r>
    </w:p>
    <w:p>
      <w:r>
        <w:t>For certificate-type outcomes, create one canonical structured payload and render multiple representations from it. The human-readable PDF and QR verification page are required where appropriate. A W3C Verifiable Credentials Data Model 2.0 representation can be issued for interoperable machine verification; W3C published VC 2.0 as a Recommendation in May 2025 [S11].</w:t>
      </w:r>
    </w:p>
    <w:p>
      <w:pPr>
        <w:pStyle w:val="Heading2"/>
      </w:pPr>
      <w:r>
        <w:t>11.2 Credential minimum fields</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credential_id, canonical_service_id, local_service_name, issuer_org_id, issuer_office_id,</w:t>
              <w:br/>
              <w:t>issuer_authority, subject_reference, claims, jurisdiction, issue_time, valid_from, valid_until,</w:t>
              <w:br/>
              <w:t>service_version, decision_reference, signature/seal metadata, status_endpoint, qr_verification_url</w:t>
            </w:r>
          </w:p>
        </w:tc>
      </w:tr>
    </w:tbl>
    <w:p>
      <w:pPr>
        <w:spacing w:after="0"/>
      </w:pPr>
    </w:p>
    <w:p>
      <w:pPr>
        <w:pStyle w:val="Heading2"/>
      </w:pPr>
      <w:r>
        <w:t>11.3 Verification</w:t>
      </w:r>
    </w:p>
    <w:p>
      <w:pPr>
        <w:pStyle w:val="ListBullet"/>
      </w:pPr>
      <w:r>
        <w:t>Public QR verification exposes only minimum necessary fields and certificate status.</w:t>
      </w:r>
    </w:p>
    <w:p>
      <w:pPr>
        <w:pStyle w:val="ListBullet"/>
      </w:pPr>
      <w:r>
        <w:t>Authenticated verifier API may expose more data only with legal basis/consent.</w:t>
      </w:r>
    </w:p>
    <w:p>
      <w:pPr>
        <w:pStyle w:val="ListBullet"/>
      </w:pPr>
      <w:r>
        <w:t>Support VALID, SUSPENDED, REVOKED, EXPIRED and SUPERSEDED states.</w:t>
      </w:r>
    </w:p>
    <w:p>
      <w:pPr>
        <w:pStyle w:val="ListBullet"/>
      </w:pPr>
      <w:r>
        <w:t>Never encode sensitive personal data directly into a QR code; encode an opaque signed reference or compact signed status token.</w:t>
      </w:r>
    </w:p>
    <w:p>
      <w:pPr>
        <w:pStyle w:val="ListBullet"/>
      </w:pPr>
      <w:r>
        <w:t>DigiLocker issuer integration should publish authoritative issued documents when the service is eligible and onboarded.</w:t>
      </w:r>
    </w:p>
    <w:p>
      <w:pPr>
        <w:pStyle w:val="Heading1"/>
      </w:pPr>
      <w:r>
        <w:t>12. Integrations and Government Digital Public Infrastructure</w:t>
      </w:r>
    </w:p>
    <w:p>
      <w:pPr>
        <w:pStyle w:val="Heading2"/>
      </w:pPr>
      <w:r>
        <w:t>12.1 Integration hub</w:t>
      </w:r>
    </w:p>
    <w:p>
      <w:r>
        <w:t>All external dependencies are accessed through a tenant-aware integration hub with connector contracts, credentials/secrets isolation, idempotency keys, circuit breakers, retry policy, rate limits, schema validation, audit and observability. Domain services should not embed provider-specific SDK logic.</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Integration</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Use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MeriPehchaan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National SSO/federated citizen sign-in where approved.</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DigiLocker</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Consent-based requester flows and issuer flows for authoritative documents.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API Setu</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Discovery and consumption/publication of government APIs; API Setu promotes an API-first, interoperable model [S3][S4].</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eSign / DSC</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Electronic signing/sealing of approved outputs using approved trust services.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Payments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Pluggable government-approved payment gateway/treasury integration, receipts and reconciliation.</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Bhashini / language services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Translation, transliteration, ASR/TTS where approved; human-reviewed official content remains authoritative.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SMS / email / push</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Multi-provider notification gateway with templates, consent/preferences and delivery receipts.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UMANG / external channels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Expose service APIs/BFFs for additional citizen channels rather than duplicating business logic.</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myScheme / discovery</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Cross-link scheme/service discovery and eligibility metadata where appropriate.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GIS / address / land / departmental systems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Connector-specific verified facts and transaction APIs; source-of-truth remains with owning system.</w:t>
            </w:r>
          </w:p>
        </w:tc>
      </w:tr>
    </w:tbl>
    <w:p>
      <w:pPr>
        <w:spacing w:after="0"/>
      </w:pPr>
    </w:p>
    <w:p>
      <w:pPr>
        <w:pStyle w:val="Heading2"/>
      </w:pPr>
      <w:r>
        <w:t>12.2 API standards</w:t>
      </w:r>
    </w:p>
    <w:p>
      <w:pPr>
        <w:pStyle w:val="ListBullet"/>
      </w:pPr>
      <w:r>
        <w:t>REST/JSON with OpenAPI 3.1 for public and partner APIs; JSON Schema for payloads.</w:t>
      </w:r>
    </w:p>
    <w:p>
      <w:pPr>
        <w:pStyle w:val="ListBullet"/>
      </w:pPr>
      <w:r>
        <w:t>OAuth 2.1/OIDC patterns, mTLS or signed requests for machine-to-machine integrations as applicable.</w:t>
      </w:r>
    </w:p>
    <w:p>
      <w:pPr>
        <w:pStyle w:val="ListBullet"/>
      </w:pPr>
      <w:r>
        <w:t>Idempotency-Key for create/payment/external-effect operations.</w:t>
      </w:r>
    </w:p>
    <w:p>
      <w:pPr>
        <w:pStyle w:val="ListBullet"/>
      </w:pPr>
      <w:r>
        <w:t>RFC 9457-style problem details for errors.</w:t>
      </w:r>
    </w:p>
    <w:p>
      <w:pPr>
        <w:pStyle w:val="ListBullet"/>
      </w:pPr>
      <w:r>
        <w:t>Cursor pagination, filtering and stable sort semantics.</w:t>
      </w:r>
    </w:p>
    <w:p>
      <w:pPr>
        <w:pStyle w:val="ListBullet"/>
      </w:pPr>
      <w:r>
        <w:t>Webhook signatures, replay protection and delivery retry/DLQ.</w:t>
      </w:r>
    </w:p>
    <w:p>
      <w:pPr>
        <w:pStyle w:val="ListBullet"/>
      </w:pPr>
      <w:r>
        <w:t>Versioned APIs with compatibility policy; no unannounced breaking changes.</w:t>
      </w:r>
    </w:p>
    <w:p>
      <w:pPr>
        <w:pStyle w:val="Heading1"/>
      </w:pPr>
      <w:r>
        <w:t>13. AI Architecture and Agent Responsibilities</w:t>
      </w:r>
    </w:p>
    <w:p>
      <w:pPr>
        <w:keepNext/>
        <w:jc w:val="center"/>
      </w:pPr>
      <w:r>
        <w:drawing>
          <wp:inline xmlns:a="http://schemas.openxmlformats.org/drawingml/2006/main" xmlns:pic="http://schemas.openxmlformats.org/drawingml/2006/picture">
            <wp:extent cx="6217920" cy="2464350"/>
            <wp:docPr id="6" name="Picture 6"/>
            <wp:cNvGraphicFramePr>
              <a:graphicFrameLocks noChangeAspect="1"/>
            </wp:cNvGraphicFramePr>
            <a:graphic>
              <a:graphicData uri="http://schemas.openxmlformats.org/drawingml/2006/picture">
                <pic:pic>
                  <pic:nvPicPr>
                    <pic:cNvPr id="0" name="06_ai_agents.png"/>
                    <pic:cNvPicPr/>
                  </pic:nvPicPr>
                  <pic:blipFill>
                    <a:blip r:embed="rId15"/>
                    <a:stretch>
                      <a:fillRect/>
                    </a:stretch>
                  </pic:blipFill>
                  <pic:spPr>
                    <a:xfrm>
                      <a:off x="0" y="0"/>
                      <a:ext cx="6217920" cy="2464350"/>
                    </a:xfrm>
                    <a:prstGeom prst="rect"/>
                  </pic:spPr>
                </pic:pic>
              </a:graphicData>
            </a:graphic>
          </wp:inline>
        </w:drawing>
      </w:r>
    </w:p>
    <w:p>
      <w:pPr>
        <w:pStyle w:val="FigureCaption"/>
        <w:keepNext w:val="0"/>
      </w:pPr>
      <w:r>
        <w:t>Figure 6. AI agents are grounded through authoritative sources and a governed AI gateway; official decisions remain human/deterministic.</w:t>
      </w:r>
    </w:p>
    <w:p>
      <w:pPr>
        <w:pStyle w:val="Heading2"/>
      </w:pPr>
      <w:r>
        <w:t>13.1 AI gateway</w:t>
      </w:r>
    </w:p>
    <w:p>
      <w:r>
        <w:t>All generative AI calls pass through one AI gateway that applies tenant policy, model routing, prompt/version registry, PII minimization, retrieval constraints, tool permissions, token/cost limits, structured-output validation, safety checks and audit logging. Domain services do not call arbitrary model endpoints directly.</w:t>
      </w:r>
    </w:p>
    <w:p>
      <w:pPr>
        <w:pStyle w:val="Heading2"/>
      </w:pPr>
      <w:r>
        <w:t>13.2 Agent catalogue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Agent</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Allowed role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Policy-to-Service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Reads approved policy/order/manual, extracts candidate service metadata, eligibility, evidence, fees, SLA and citations. Output is DRAFT only.</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Normalization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Maps local service names to canonical definitions and proposes equivalence type with confidence and source evidence.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Form Designer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Generates form schema, conditional sections, reusable fields, help text and multilingual content plan.</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Workflow Designer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Generates workflow graph, roles, assignment rules, timers, escalations, appeal path and exception cases.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Integration Mapping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Suggests authoritative APIs/documents needed and maps payload fields into verified claims.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Test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Generates positive/negative/boundary rule tests, form tests, workflow path tests, API contract tests and regression fixtures.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Accessibility/UX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Evaluates form/content against platform design system and accessibility rules; proposes corrections.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Citizen Copilot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Explains services, asks minimal questions, helps search/complete forms, translates and summarizes; cannot claim approval.</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Caseworker Copilot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Summarizes case file, highlights missing evidence and applicable clauses; every assertion links to source/case evidence.</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Operations Agent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Explains incidents/anomalies from telemetry and runbooks; remediation actions require approved tool permissions.</w:t>
            </w:r>
          </w:p>
        </w:tc>
      </w:tr>
    </w:tbl>
    <w:p>
      <w:pPr>
        <w:spacing w:after="0"/>
      </w:pPr>
    </w:p>
    <w:p>
      <w:pPr>
        <w:pStyle w:val="Heading2"/>
      </w:pPr>
      <w:r>
        <w:t>13.3 AI prohibitions</w:t>
      </w:r>
    </w:p>
    <w:p>
      <w:pPr>
        <w:pStyle w:val="ListBullet"/>
      </w:pPr>
      <w:r>
        <w:t>No autonomous approval, rejection, penalty, benefit denial or adverse administrative decision.</w:t>
      </w:r>
    </w:p>
    <w:p>
      <w:pPr>
        <w:pStyle w:val="ListBullet"/>
      </w:pPr>
      <w:r>
        <w:t>No invention of policy clauses, documents, fees, deadlines or issuing authority.</w:t>
      </w:r>
    </w:p>
    <w:p>
      <w:pPr>
        <w:pStyle w:val="ListBullet"/>
      </w:pPr>
      <w:r>
        <w:t>No training/fine-tuning on tenant citizen data without explicit governance and legal approval.</w:t>
      </w:r>
    </w:p>
    <w:p>
      <w:pPr>
        <w:pStyle w:val="ListBullet"/>
      </w:pPr>
      <w:r>
        <w:t>No cross-tenant retrieval.</w:t>
      </w:r>
    </w:p>
    <w:p>
      <w:pPr>
        <w:pStyle w:val="ListBullet"/>
      </w:pPr>
      <w:r>
        <w:t>No unrestricted database or shell credentials for conversational agents.</w:t>
      </w:r>
    </w:p>
    <w:p>
      <w:pPr>
        <w:pStyle w:val="ListBullet"/>
      </w:pPr>
      <w:r>
        <w:t>No hidden sensitive-attribute inference for recommendation or prioritization.</w:t>
      </w:r>
    </w:p>
    <w:p>
      <w:pPr>
        <w:pStyle w:val="ListBullet"/>
      </w:pPr>
      <w:r>
        <w:t>No automatic publication of AI-generated service definitions without maker-checker approval and tests.</w:t>
      </w:r>
    </w:p>
    <w:p>
      <w:pPr>
        <w:pStyle w:val="Heading2"/>
      </w:pPr>
      <w:r>
        <w:t>13.4 AI evaluation gates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Gate</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Release criterion</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Grounding</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&gt;= 99% of policy assertions in authoring/caseworker outputs have valid source references in evaluation set.</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Structured output</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&gt;= 99.5% schema-valid outputs after bounded retry; otherwise fail closed.</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Rule fidelity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100% deterministic test suite pass before publish; AI is not in runtime decision path.</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PII leakage</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Zero known cross-tenant leakage in red-team suite.</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Citizen assistant</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Must explicitly separate guidance from official status/decision; hallucination tests on fees/SLA/documents.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Accessibility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Generated citizen text must meet plain-language and screen-reader checks before publication.</w:t>
            </w:r>
          </w:p>
        </w:tc>
      </w:tr>
    </w:tbl>
    <w:p>
      <w:pPr>
        <w:spacing w:after="0"/>
      </w:pPr>
    </w:p>
    <w:p>
      <w:pPr>
        <w:pStyle w:val="Heading1"/>
      </w:pPr>
      <w:r>
        <w:t>14. Logical and Runtime Architecture</w:t>
      </w:r>
    </w:p>
    <w:p>
      <w:pPr>
        <w:keepNext/>
        <w:jc w:val="center"/>
      </w:pPr>
      <w:r>
        <w:drawing>
          <wp:inline xmlns:a="http://schemas.openxmlformats.org/drawingml/2006/main" xmlns:pic="http://schemas.openxmlformats.org/drawingml/2006/picture">
            <wp:extent cx="6217920" cy="1913442"/>
            <wp:docPr id="7" name="Picture 7"/>
            <wp:cNvGraphicFramePr>
              <a:graphicFrameLocks noChangeAspect="1"/>
            </wp:cNvGraphicFramePr>
            <a:graphic>
              <a:graphicData uri="http://schemas.openxmlformats.org/drawingml/2006/picture">
                <pic:pic>
                  <pic:nvPicPr>
                    <pic:cNvPr id="0" name="05_runtime_architecture.png"/>
                    <pic:cNvPicPr/>
                  </pic:nvPicPr>
                  <pic:blipFill>
                    <a:blip r:embed="rId16"/>
                    <a:stretch>
                      <a:fillRect/>
                    </a:stretch>
                  </pic:blipFill>
                  <pic:spPr>
                    <a:xfrm>
                      <a:off x="0" y="0"/>
                      <a:ext cx="6217920" cy="1913442"/>
                    </a:xfrm>
                    <a:prstGeom prst="rect"/>
                  </pic:spPr>
                </pic:pic>
              </a:graphicData>
            </a:graphic>
          </wp:inline>
        </w:drawing>
      </w:r>
    </w:p>
    <w:p>
      <w:pPr>
        <w:pStyle w:val="FigureCaption"/>
        <w:keepNext w:val="0"/>
      </w:pPr>
      <w:r>
        <w:t>Figure 7. Reference runtime architecture. Domain boundaries are API/event contracts; deployment can begin with fewer processes and split by load/ownership.</w:t>
      </w:r>
    </w:p>
    <w:p>
      <w:pPr>
        <w:pStyle w:val="Heading2"/>
      </w:pPr>
      <w:r>
        <w:t>14.1 Reference implementation stack</w:t>
      </w:r>
    </w:p>
    <w:p>
      <w:r>
        <w:t>The reference implementation uses Fastify on Node.js for backend services, React + Next.js for web applications and Flutter for mobile. PostgreSQL is the system of record; Redis provides cache/ephemeral coordination; object storage holds documents; OpenSearch supports service/case search; an event bus/queue supports asynchronous processing; and OpenTelemetry-compatible telemetry feeds centralized observability. Exact product versions are pinned through architecture decision records and supported-version policy, not hard-coded into service definitions.</w:t>
      </w:r>
    </w:p>
    <w:p>
      <w:pPr>
        <w:pStyle w:val="Heading2"/>
      </w:pPr>
      <w:r>
        <w:t>14.2 Domain services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Domain</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Responsibility</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Identity &amp; Access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citizen federation, official identities, sessions, step-up auth, role/delegation context</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Tenant &amp; Organization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tenant, org, office, jurisdiction, provider bindings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Service Registry</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canonical taxonomy, aliases, offerings, versions, publication</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Form Engine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form schema, rendering metadata, drafts, validation, prefill</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Rules Engine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eligibility, evidence, fee, SLA and routing evaluation</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Application/Case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application aggregate, parties, state, timeline, attachments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Workflow</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tasks, assignments, transitions, timers, escalations, appeals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Profile &amp; Consent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claims, provenance, purpose, consent receipts, delegations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Evidence &amp; Documents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uploads, scans, document metadata, verified facts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Payment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demand, transaction, receipt, reconciliation, waiver/refund</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Credential</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payload, templates, signing, QR, VC, status/revocation</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Notification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templates, preferences, multi-channel delivery</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Search &amp; Recommendation</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catalogue index, semantic search, life-event ranking</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Integration Hub</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connectors, API credentials, webhooks, mapping, retries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AI Gateway</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models, retrieval, prompts, tools, evaluation, audit</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Audit &amp; Analytics</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immutable audit, operational metrics, de-identified analytics</w:t>
            </w:r>
          </w:p>
        </w:tc>
      </w:tr>
    </w:tbl>
    <w:p>
      <w:pPr>
        <w:spacing w:after="0"/>
      </w:pPr>
    </w:p>
    <w:p>
      <w:pPr>
        <w:pStyle w:val="Heading2"/>
      </w:pPr>
      <w:r>
        <w:t>14.3 Modular deployment strategy</w:t>
      </w:r>
    </w:p>
    <w:p>
      <w:r>
        <w:t>Do not begin with dozens of microservices solely for architectural appearance. Preserve the domain contracts above in code and data ownership, then deploy initially as a small number of independently scalable services (for example: citizen/API, authoring/admin, workflow/worker, document/credential, integration/notification, AI/search). Split further when load, security boundary or team ownership justifies it.</w:t>
      </w:r>
    </w:p>
    <w:p>
      <w:pPr>
        <w:pStyle w:val="Heading1"/>
      </w:pPr>
      <w:r>
        <w:t>15. Data Architecture</w:t>
      </w:r>
    </w:p>
    <w:p>
      <w:pPr>
        <w:pStyle w:val="Heading2"/>
      </w:pPr>
      <w:r>
        <w:t>15.1 Core relational entities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Entity group</w:t>
            </w:r>
          </w:p>
        </w:tc>
        <w:tc>
          <w:tcPr>
            <w:tcW w:type="dxa" w:w="61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Purpose</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tenants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tenant metadata, isolation tier, policy profile</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organizations / offices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government structure and delivery units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jurisdictions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typed geographic/administrative hierarchy</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org_jurisdiction_bindings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which organization/office serves which jurisdiction</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canonical_services / service_aliases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normalized taxonomy and local terminology</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service_offerings / service_versions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local publishable service definitions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form_definitions / form_versions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schema and UI metadata</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rule_sets / rule_versions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deterministic policy rules and test vectors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workflow_definitions / workflow_versions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workflow graph and node configuration</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citizen_profiles / profile_claims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progressive claims with provenance/freshness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consent_records / delegations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purpose-bound data access and representation</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applications / application_parties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case aggregate and applicants/beneficiaries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application_answers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versioned answer JSON and selected indexed fields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evidence_items / documents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document/API/self-declaration/field evidence</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workflow_instances / tasks / assignments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runtime workflow and work queues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decisions / decision_reasons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official decision record and reasons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payments / receipts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financial transactions and reconciliation</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issued_credentials / credential_status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issued output and lifecycle status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communications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notifications and delivery state</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audit_events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append-only privileged/material actions</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integration_transactions</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outbound/inbound call state and idempotency</w:t>
            </w:r>
          </w:p>
        </w:tc>
      </w:tr>
      <w:tr>
        <w:trPr>
          <w:cantSplit/>
        </w:trPr>
        <w:tc>
          <w:tcPr>
            <w:tcW w:type="dxa" w:w="3456"/>
            <w:vAlign w:val="center"/>
            <w:tcMar>
              <w:top w:w="100" w:type="dxa"/>
              <w:start w:w="120" w:type="dxa"/>
              <w:bottom w:w="100" w:type="dxa"/>
              <w:end w:w="120" w:type="dxa"/>
            </w:tcMar>
          </w:tcPr>
          <w:p>
            <w:pPr>
              <w:spacing w:after="0" w:before="0"/>
              <w:jc w:val="left"/>
            </w:pPr>
            <w:r/>
            <w:r>
              <w:rPr>
                <w:rFonts w:ascii="Aptos" w:hAnsi="Aptos"/>
                <w:b w:val="0"/>
                <w:color w:val="222222"/>
                <w:sz w:val="15"/>
              </w:rPr>
              <w:t>ai_runs / ai_feedback</w:t>
            </w:r>
          </w:p>
        </w:tc>
        <w:tc>
          <w:tcPr>
            <w:tcW w:type="dxa" w:w="6192"/>
            <w:vAlign w:val="center"/>
            <w:tcMar>
              <w:top w:w="100" w:type="dxa"/>
              <w:start w:w="120" w:type="dxa"/>
              <w:bottom w:w="100" w:type="dxa"/>
              <w:end w:w="120" w:type="dxa"/>
            </w:tcMar>
          </w:tcPr>
          <w:p>
            <w:pPr>
              <w:spacing w:after="0" w:before="0"/>
              <w:jc w:val="left"/>
            </w:pPr>
            <w:r/>
            <w:r>
              <w:rPr>
                <w:rFonts w:ascii="Aptos" w:hAnsi="Aptos"/>
                <w:b w:val="0"/>
                <w:color w:val="222222"/>
                <w:sz w:val="15"/>
              </w:rPr>
              <w:t>prompt/model/source/tool/audit metadata</w:t>
            </w:r>
          </w:p>
        </w:tc>
      </w:tr>
    </w:tbl>
    <w:p>
      <w:pPr>
        <w:spacing w:after="0"/>
      </w:pPr>
    </w:p>
    <w:p>
      <w:pPr>
        <w:pStyle w:val="Heading2"/>
      </w:pPr>
      <w:r>
        <w:t>15.2 Data design rules</w:t>
      </w:r>
    </w:p>
    <w:p>
      <w:pPr>
        <w:pStyle w:val="ListBullet"/>
      </w:pPr>
      <w:r>
        <w:t>Prefer normalized relational columns for identity, status, security and query-critical attributes; use JSONB for versioned service/form/workflow metadata and application answer payloads.</w:t>
      </w:r>
    </w:p>
    <w:p>
      <w:pPr>
        <w:pStyle w:val="ListBullet"/>
      </w:pPr>
      <w:r>
        <w:t>Use UUIDv7 or sortable unique IDs for high-volume entities.</w:t>
      </w:r>
    </w:p>
    <w:p>
      <w:pPr>
        <w:pStyle w:val="ListBullet"/>
      </w:pPr>
      <w:r>
        <w:t>Partition very large application/audit/event tables by tenant/cell and time where operationally justified.</w:t>
      </w:r>
    </w:p>
    <w:p>
      <w:pPr>
        <w:pStyle w:val="ListBullet"/>
      </w:pPr>
      <w:r>
        <w:t>Use transactional outbox/inbox to guarantee domain event publication and idempotent consumption.</w:t>
      </w:r>
    </w:p>
    <w:p>
      <w:pPr>
        <w:pStyle w:val="ListBullet"/>
      </w:pPr>
      <w:r>
        <w:t>Documents are stored in object storage; relational DB stores metadata, hash, status and access policy.</w:t>
      </w:r>
    </w:p>
    <w:p>
      <w:pPr>
        <w:pStyle w:val="ListBullet"/>
      </w:pPr>
      <w:r>
        <w:t>Search index is derived and rebuildable; it is never the system of record.</w:t>
      </w:r>
    </w:p>
    <w:p>
      <w:pPr>
        <w:pStyle w:val="ListBullet"/>
      </w:pPr>
      <w:r>
        <w:t>Encryption keys and sensitive-field policies are classified by data domain and tenant.</w:t>
      </w:r>
    </w:p>
    <w:p>
      <w:pPr>
        <w:pStyle w:val="Heading2"/>
      </w:pPr>
      <w:r>
        <w:t>15.3 Representative application aggregate</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application(</w:t>
              <w:br/>
              <w:t xml:space="preserve">  application_id, tenant_id, offering_id, service_version_id,</w:t>
              <w:br/>
              <w:t xml:space="preserve">  applicant_profile_id, jurisdiction_id, provider_office_id,</w:t>
              <w:br/>
              <w:t xml:space="preserve">  state, submitted_at, statutory_due_at, internal_due_at,</w:t>
              <w:br/>
              <w:t xml:space="preserve">  current_workflow_instance_id, version, created_at, updated_at</w:t>
              <w:br/>
              <w:t>)</w:t>
              <w:br/>
              <w:br/>
              <w:t>application_answers(</w:t>
              <w:br/>
              <w:t xml:space="preserve">  application_id, form_version_id, answers_jsonb, schema_hash,</w:t>
              <w:br/>
              <w:t xml:space="preserve">  submitted_snapshot_hash, updated_at</w:t>
              <w:br/>
              <w:t>)</w:t>
            </w:r>
          </w:p>
        </w:tc>
      </w:tr>
    </w:tbl>
    <w:p>
      <w:pPr>
        <w:spacing w:after="0"/>
      </w:pPr>
    </w:p>
    <w:p>
      <w:pPr>
        <w:pStyle w:val="Heading2"/>
      </w:pPr>
      <w:r>
        <w:t>15.4 Key-table low-level design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vAlign w:val="center"/>
            <w:tcMar>
              <w:top w:w="100" w:type="dxa"/>
              <w:start w:w="120" w:type="dxa"/>
              <w:bottom w:w="100" w:type="dxa"/>
              <w:end w:w="120" w:type="dxa"/>
            </w:tcMar>
            <w:shd w:fill="1F4E78"/>
          </w:tcPr>
          <w:p>
            <w:pPr>
              <w:spacing w:after="0" w:before="0"/>
              <w:jc w:val="center"/>
            </w:pPr>
            <w:r/>
            <w:r>
              <w:rPr>
                <w:rFonts w:ascii="Aptos" w:hAnsi="Aptos"/>
                <w:b/>
                <w:color w:val="FFFFFF"/>
                <w:sz w:val="17"/>
              </w:rPr>
              <w:t>Table</w:t>
            </w:r>
          </w:p>
        </w:tc>
        <w:tc>
          <w:tcPr>
            <w:tcW w:type="dxa" w:w="52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Core columns</w:t>
            </w:r>
          </w:p>
        </w:tc>
        <w:tc>
          <w:tcPr>
            <w:tcW w:type="dxa" w:w="2448"/>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Constraints / indexes</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tenants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tenant_id PK; code UNIQUE; isolation_tier; status; policy_profile_json; created_at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Global code unique; no citizen PII.</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organizations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organization_id PK; tenant_id; parent_id; type; code; name; status</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UNIQUE(tenant_id,code); parent must share tenant.</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offices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office_id PK; tenant_id; organization_id; parent_office_id; code; name; status</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UNIQUE(tenant_id,code); indexed organization/status.</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jurisdictions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jurisdiction_id PK; parent_id; type; code; name; path; valid_from/to</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UNIQUE(parent_id,type,code); tree/path index.</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service_offerings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offering_id PK; tenant_id; canonical_service_id; local_name; status; current_draft_version</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Published pointer never mutates historical versions.</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service_versions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service_version_id PK; offering_id; version_no; manifest_jsonb; manifest_hash; effective_from/to; state</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UNIQUE(offering_id,version_no); PUBLISHED rows immutable.</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citizen_profiles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profile_id PK; tenant_scope/global_profile_ref; subject_ref; status</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Subject reference pseudonymous where possible.</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profile_claims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claim_id PK; profile_id; claim_type; encrypted_value; source_type/ref; verification_level; issued/verified/expires_at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Index profile_id+claim_type+status; sensitive value not indexed in plaintext.</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consent_records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consent_id PK; subject_ref; purpose; data_categories; grantee; granted_at; withdrawn_at; notice_version</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Append lifecycle; current active state derived.</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applications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application_id UUIDv7 PK; tenant_id; offering_id; service_version_id; applicant_profile_id; jurisdiction_id; provider_office_id; state; version</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Index tenant+offering+state+submitted_at and provider_office+state+due_at.</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application_answers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application_id PK/FK; form_version_id; answers_jsonb; schema_hash; submission_hash; updated_at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No EAV; selected reporting fields materialized separately.</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evidence_items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evidence_id PK; application_id; evidence_type; source_ref; object_ref; sha256; verification_status; metadata_jsonb</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Object access always authorization-checked; hash immutable.</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tasks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task_id UUIDv7 PK; workflow_instance_id; node_id; required_role; office_id; assignee_id; state; lease_until; due_at; version</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Optimistic lock version; indexes for work queue and SLA aging.</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decisions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decision_id PK; application_id; decision_type; reason_codes; reason_text; actor_id; authority_context; decided_at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Append-only; reversal/supersession is a new decision.</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issued_credentials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credential_id PK; application_id; credential_type; payload_jsonb; payload_hash; template_version; issued_at; valid_until; status</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Status changes append credential_status events; signed payload hash immutable.</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audit_events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audit_id UUIDv7 PK; tenant_id; actor; action; resource_type/id; before_hash; after_hash; correlation_id; occurred_at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Append-only; separately protected; partition by time/cell.</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integration_transactions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txn_id UUIDv7 PK; tenant_id; connector; operation; idempotency_key; request_hash; state; attempt_count; next_retry_at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UNIQUE(tenant_id,connector,idempotency_key).</w:t>
            </w:r>
          </w:p>
        </w:tc>
      </w:tr>
      <w:tr>
        <w:trPr>
          <w:cantSplit/>
        </w:trPr>
        <w:tc>
          <w:tcPr>
            <w:tcW w:type="dxa" w:w="1944"/>
            <w:vAlign w:val="center"/>
            <w:tcMar>
              <w:top w:w="100" w:type="dxa"/>
              <w:start w:w="120" w:type="dxa"/>
              <w:bottom w:w="100" w:type="dxa"/>
              <w:end w:w="120" w:type="dxa"/>
            </w:tcMar>
          </w:tcPr>
          <w:p>
            <w:pPr>
              <w:spacing w:after="0" w:before="0"/>
              <w:jc w:val="left"/>
            </w:pPr>
            <w:r/>
            <w:r>
              <w:rPr>
                <w:rFonts w:ascii="Aptos" w:hAnsi="Aptos"/>
                <w:b w:val="0"/>
                <w:color w:val="222222"/>
                <w:sz w:val="13"/>
              </w:rPr>
              <w:t>ai_runs</w:t>
            </w:r>
          </w:p>
        </w:tc>
        <w:tc>
          <w:tcPr>
            <w:tcW w:type="dxa" w:w="5256"/>
            <w:vAlign w:val="center"/>
            <w:tcMar>
              <w:top w:w="100" w:type="dxa"/>
              <w:start w:w="120" w:type="dxa"/>
              <w:bottom w:w="100" w:type="dxa"/>
              <w:end w:w="120" w:type="dxa"/>
            </w:tcMar>
          </w:tcPr>
          <w:p>
            <w:pPr>
              <w:spacing w:after="0" w:before="0"/>
              <w:jc w:val="left"/>
            </w:pPr>
            <w:r/>
            <w:r>
              <w:rPr>
                <w:rFonts w:ascii="Aptos" w:hAnsi="Aptos"/>
                <w:b w:val="0"/>
                <w:color w:val="222222"/>
                <w:sz w:val="13"/>
              </w:rPr>
              <w:t>run_id UUIDv7 PK; tenant_id; agent_type; model_id; prompt_version; source_refs; tool_calls; output_hash; evaluation_flags; created_at</w:t>
            </w:r>
          </w:p>
        </w:tc>
        <w:tc>
          <w:tcPr>
            <w:tcW w:type="dxa" w:w="2448"/>
            <w:vAlign w:val="center"/>
            <w:tcMar>
              <w:top w:w="100" w:type="dxa"/>
              <w:start w:w="120" w:type="dxa"/>
              <w:bottom w:w="100" w:type="dxa"/>
              <w:end w:w="120" w:type="dxa"/>
            </w:tcMar>
          </w:tcPr>
          <w:p>
            <w:pPr>
              <w:spacing w:after="0" w:before="0"/>
              <w:jc w:val="left"/>
            </w:pPr>
            <w:r/>
            <w:r>
              <w:rPr>
                <w:rFonts w:ascii="Aptos" w:hAnsi="Aptos"/>
                <w:b w:val="0"/>
                <w:color w:val="222222"/>
                <w:sz w:val="13"/>
              </w:rPr>
              <w:t>Never store unnecessary raw citizen content; retention policy by agent.</w:t>
            </w:r>
          </w:p>
        </w:tc>
      </w:tr>
    </w:tbl>
    <w:p>
      <w:pPr>
        <w:spacing w:after="0"/>
      </w:pPr>
    </w:p>
    <w:p>
      <w:pPr>
        <w:pStyle w:val="Heading2"/>
      </w:pPr>
      <w:r>
        <w:t>15.5 Transaction boundaries</w:t>
      </w:r>
    </w:p>
    <w:p>
      <w:pPr>
        <w:pStyle w:val="ListBullet"/>
      </w:pPr>
      <w:r>
        <w:t>Application submit: validate answers/evidence -&gt; persist immutable submission snapshot -&gt; create workflow instance -&gt; append outbox event in one database transaction.</w:t>
      </w:r>
    </w:p>
    <w:p>
      <w:pPr>
        <w:pStyle w:val="ListBullet"/>
      </w:pPr>
      <w:r>
        <w:t>Task complete: validate task lease/version and authority -&gt; persist task outcome/state transition -&gt; create next tasks/timers -&gt; append audit and outbox records atomically.</w:t>
      </w:r>
    </w:p>
    <w:p>
      <w:pPr>
        <w:pStyle w:val="ListBullet"/>
      </w:pPr>
      <w:r>
        <w:t>Decision: verify authority and required upstream tasks -&gt; persist structured decision -&gt; transition application -&gt; enqueue credential/notification actions through outbox.</w:t>
      </w:r>
    </w:p>
    <w:p>
      <w:pPr>
        <w:pStyle w:val="ListBullet"/>
      </w:pPr>
      <w:r>
        <w:t>External effects such as payment, DigiLocker push and signing use idempotent integration transactions and are never assumed successful merely because a request was sent.</w:t>
      </w:r>
    </w:p>
    <w:p>
      <w:pPr>
        <w:pStyle w:val="Heading1"/>
      </w:pPr>
      <w:r>
        <w:t>16. Event Architecture</w:t>
      </w:r>
    </w:p>
    <w:p>
      <w:pPr>
        <w:pStyle w:val="Heading2"/>
      </w:pPr>
      <w:r>
        <w:t>16.1 Domain events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vAlign w:val="center"/>
            <w:tcMar>
              <w:top w:w="100" w:type="dxa"/>
              <w:start w:w="120" w:type="dxa"/>
              <w:bottom w:w="100" w:type="dxa"/>
              <w:end w:w="120" w:type="dxa"/>
            </w:tcMar>
            <w:shd w:fill="1F4E78"/>
          </w:tcPr>
          <w:p>
            <w:pPr>
              <w:spacing w:after="0" w:before="0"/>
              <w:jc w:val="center"/>
            </w:pPr>
            <w:r/>
            <w:r>
              <w:rPr>
                <w:rFonts w:ascii="Aptos" w:hAnsi="Aptos"/>
                <w:b/>
                <w:color w:val="FFFFFF"/>
                <w:sz w:val="17"/>
              </w:rPr>
              <w:t>Event family</w:t>
            </w:r>
          </w:p>
        </w:tc>
        <w:tc>
          <w:tcPr>
            <w:tcW w:type="dxa" w:w="7632"/>
            <w:vAlign w:val="center"/>
            <w:tcMar>
              <w:top w:w="100" w:type="dxa"/>
              <w:start w:w="120" w:type="dxa"/>
              <w:bottom w:w="100" w:type="dxa"/>
              <w:end w:w="120" w:type="dxa"/>
            </w:tcMar>
            <w:shd w:fill="1F4E78"/>
          </w:tcPr>
          <w:p>
            <w:pPr>
              <w:spacing w:after="0" w:before="0"/>
              <w:jc w:val="center"/>
            </w:pPr>
            <w:r/>
            <w:r>
              <w:rPr>
                <w:rFonts w:ascii="Aptos" w:hAnsi="Aptos"/>
                <w:b/>
                <w:color w:val="FFFFFF"/>
                <w:sz w:val="17"/>
              </w:rPr>
              <w:t>Examples</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Application</w:t>
            </w:r>
          </w:p>
        </w:tc>
        <w:tc>
          <w:tcPr>
            <w:tcW w:type="dxa" w:w="7632"/>
            <w:vAlign w:val="center"/>
            <w:tcMar>
              <w:top w:w="100" w:type="dxa"/>
              <w:start w:w="120" w:type="dxa"/>
              <w:bottom w:w="100" w:type="dxa"/>
              <w:end w:w="120" w:type="dxa"/>
            </w:tcMar>
          </w:tcPr>
          <w:p>
            <w:pPr>
              <w:spacing w:after="0" w:before="0"/>
              <w:jc w:val="left"/>
            </w:pPr>
            <w:r/>
            <w:r>
              <w:rPr>
                <w:rFonts w:ascii="Aptos" w:hAnsi="Aptos"/>
                <w:b w:val="0"/>
                <w:color w:val="222222"/>
                <w:sz w:val="15"/>
              </w:rPr>
              <w:t>ApplicationDraftCreated, ApplicationSubmitted, EvidenceAdded, EligibilityEvaluated, TaskCreated, TaskClaimed, ApplicantActionRequested</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Transaction</w:t>
            </w:r>
          </w:p>
        </w:tc>
        <w:tc>
          <w:tcPr>
            <w:tcW w:type="dxa" w:w="7632"/>
            <w:vAlign w:val="center"/>
            <w:tcMar>
              <w:top w:w="100" w:type="dxa"/>
              <w:start w:w="120" w:type="dxa"/>
              <w:bottom w:w="100" w:type="dxa"/>
              <w:end w:w="120" w:type="dxa"/>
            </w:tcMar>
          </w:tcPr>
          <w:p>
            <w:pPr>
              <w:spacing w:after="0" w:before="0"/>
              <w:jc w:val="left"/>
            </w:pPr>
            <w:r/>
            <w:r>
              <w:rPr>
                <w:rFonts w:ascii="Aptos" w:hAnsi="Aptos"/>
                <w:b w:val="0"/>
                <w:color w:val="222222"/>
                <w:sz w:val="15"/>
              </w:rPr>
              <w:t>ApplicantResponseReceived, PaymentRequested, PaymentConfirmed, InspectionCompleted, DecisionRecorded</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Credential/SLA</w:t>
            </w:r>
          </w:p>
        </w:tc>
        <w:tc>
          <w:tcPr>
            <w:tcW w:type="dxa" w:w="7632"/>
            <w:vAlign w:val="center"/>
            <w:tcMar>
              <w:top w:w="100" w:type="dxa"/>
              <w:start w:w="120" w:type="dxa"/>
              <w:bottom w:w="100" w:type="dxa"/>
              <w:end w:w="120" w:type="dxa"/>
            </w:tcMar>
          </w:tcPr>
          <w:p>
            <w:pPr>
              <w:spacing w:after="0" w:before="0"/>
              <w:jc w:val="left"/>
            </w:pPr>
            <w:r/>
            <w:r>
              <w:rPr>
                <w:rFonts w:ascii="Aptos" w:hAnsi="Aptos"/>
                <w:b w:val="0"/>
                <w:color w:val="222222"/>
                <w:sz w:val="15"/>
              </w:rPr>
              <w:t>CredentialIssued, CredentialRevoked, SlaDueSoon, SlaBreached</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Platform</w:t>
            </w:r>
          </w:p>
        </w:tc>
        <w:tc>
          <w:tcPr>
            <w:tcW w:type="dxa" w:w="7632"/>
            <w:vAlign w:val="center"/>
            <w:tcMar>
              <w:top w:w="100" w:type="dxa"/>
              <w:start w:w="120" w:type="dxa"/>
              <w:bottom w:w="100" w:type="dxa"/>
              <w:end w:w="120" w:type="dxa"/>
            </w:tcMar>
          </w:tcPr>
          <w:p>
            <w:pPr>
              <w:spacing w:after="0" w:before="0"/>
              <w:jc w:val="left"/>
            </w:pPr>
            <w:r/>
            <w:r>
              <w:rPr>
                <w:rFonts w:ascii="Aptos" w:hAnsi="Aptos"/>
                <w:b w:val="0"/>
                <w:color w:val="222222"/>
                <w:sz w:val="15"/>
              </w:rPr>
              <w:t>NotificationRequested, IntegrationFailed, ServiceVersionPublished, ConsentGranted, ConsentRevoked</w:t>
            </w:r>
          </w:p>
        </w:tc>
      </w:tr>
    </w:tbl>
    <w:p>
      <w:pPr>
        <w:spacing w:after="0"/>
      </w:pPr>
    </w:p>
    <w:p>
      <w:pPr>
        <w:pStyle w:val="Heading2"/>
      </w:pPr>
      <w:r>
        <w:t>16.2 Event envelope</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w:t>
              <w:br/>
              <w:t xml:space="preserve">  "eventId":"uuidv7", "eventType":"ApplicationSubmitted", "eventVersion":1,</w:t>
              <w:br/>
              <w:t xml:space="preserve">  "occurredAt":"...", "tenantId":"...", "correlationId":"...",</w:t>
              <w:br/>
              <w:t xml:space="preserve">  "aggregateType":"application", "aggregateId":"...", "aggregateVersion":12,</w:t>
              <w:br/>
              <w:t xml:space="preserve">  "actor":{"type":"CITIZEN","id":"..."}, "data":{...}</w:t>
              <w:br/>
              <w:t>}</w:t>
            </w:r>
          </w:p>
        </w:tc>
      </w:tr>
    </w:tbl>
    <w:p>
      <w:pPr>
        <w:spacing w:after="0"/>
      </w:pPr>
    </w:p>
    <w:p>
      <w:pPr>
        <w:pStyle w:val="Heading1"/>
      </w:pPr>
      <w:r>
        <w:t>17. API Contract</w:t>
      </w:r>
    </w:p>
    <w:p>
      <w:pPr>
        <w:pStyle w:val="Heading2"/>
      </w:pPr>
      <w:r>
        <w:t>17.1 Citizen APIs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08"/>
            <w:vAlign w:val="center"/>
            <w:tcMar>
              <w:top w:w="100" w:type="dxa"/>
              <w:start w:w="120" w:type="dxa"/>
              <w:bottom w:w="100" w:type="dxa"/>
              <w:end w:w="120" w:type="dxa"/>
            </w:tcMar>
            <w:shd w:fill="1F4E78"/>
          </w:tcPr>
          <w:p>
            <w:pPr>
              <w:spacing w:after="0" w:before="0"/>
              <w:jc w:val="center"/>
            </w:pPr>
            <w:r/>
            <w:r>
              <w:rPr>
                <w:rFonts w:ascii="Aptos" w:hAnsi="Aptos"/>
                <w:b/>
                <w:color w:val="FFFFFF"/>
                <w:sz w:val="17"/>
              </w:rPr>
              <w:t>Method</w:t>
            </w:r>
          </w:p>
        </w:tc>
        <w:tc>
          <w:tcPr>
            <w:tcW w:type="dxa" w:w="38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Endpoint</w:t>
            </w:r>
          </w:p>
        </w:tc>
        <w:tc>
          <w:tcPr>
            <w:tcW w:type="dxa" w:w="4752"/>
            <w:vAlign w:val="center"/>
            <w:tcMar>
              <w:top w:w="100" w:type="dxa"/>
              <w:start w:w="120" w:type="dxa"/>
              <w:bottom w:w="100" w:type="dxa"/>
              <w:end w:w="120" w:type="dxa"/>
            </w:tcMar>
            <w:shd w:fill="1F4E78"/>
          </w:tcPr>
          <w:p>
            <w:pPr>
              <w:spacing w:after="0" w:before="0"/>
              <w:jc w:val="center"/>
            </w:pPr>
            <w:r/>
            <w:r>
              <w:rPr>
                <w:rFonts w:ascii="Aptos" w:hAnsi="Aptos"/>
                <w:b/>
                <w:color w:val="FFFFFF"/>
                <w:sz w:val="17"/>
              </w:rPr>
              <w:t>Purpose</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/v1/services/search</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Search by text, location, category, life event.</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/v1/eligibility/evaluations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Evaluate rules against supplied/authorized profile facts.</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/v1/recommendations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Explainable personalized recommendations.</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Create a draft for a service offering.</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PATCH</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/v1/applications/{id}/answers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Validate and save form answers with optimistic concurrency.</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/v1/applications/{id}/submit</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Freeze submission snapshot and start workflow.</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Citizen-safe case status and actions.</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/v1/applications/{id}/evidence</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Upload/link evidence.</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/v1/applications/{id}/actions/{actionId}</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Respond to clarification/payment/appointment action.</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3888"/>
            <w:vAlign w:val="center"/>
            <w:tcMar>
              <w:top w:w="100" w:type="dxa"/>
              <w:start w:w="120" w:type="dxa"/>
              <w:bottom w:w="100" w:type="dxa"/>
              <w:end w:w="120" w:type="dxa"/>
            </w:tcMar>
          </w:tcPr>
          <w:p>
            <w:pPr>
              <w:spacing w:after="0" w:before="0"/>
              <w:jc w:val="left"/>
            </w:pPr>
            <w:r/>
            <w:r>
              <w:rPr>
                <w:rFonts w:ascii="Aptos" w:hAnsi="Aptos"/>
                <w:b w:val="0"/>
                <w:color w:val="222222"/>
                <w:sz w:val="15"/>
              </w:rPr>
              <w:t>/v1/credentials</w:t>
            </w:r>
          </w:p>
        </w:tc>
        <w:tc>
          <w:tcPr>
            <w:tcW w:type="dxa" w:w="4752"/>
            <w:vAlign w:val="center"/>
            <w:tcMar>
              <w:top w:w="100" w:type="dxa"/>
              <w:start w:w="120" w:type="dxa"/>
              <w:bottom w:w="100" w:type="dxa"/>
              <w:end w:w="120" w:type="dxa"/>
            </w:tcMar>
          </w:tcPr>
          <w:p>
            <w:pPr>
              <w:spacing w:after="0" w:before="0"/>
              <w:jc w:val="left"/>
            </w:pPr>
            <w:r/>
            <w:r>
              <w:rPr>
                <w:rFonts w:ascii="Aptos" w:hAnsi="Aptos"/>
                <w:b w:val="0"/>
                <w:color w:val="222222"/>
                <w:sz w:val="15"/>
              </w:rPr>
              <w:t>List issued outputs available to the user.</w:t>
            </w:r>
          </w:p>
        </w:tc>
      </w:tr>
    </w:tbl>
    <w:p>
      <w:pPr>
        <w:spacing w:after="0"/>
      </w:pPr>
    </w:p>
    <w:p>
      <w:pPr>
        <w:pStyle w:val="Heading2"/>
      </w:pPr>
      <w:r>
        <w:t>17.2 Admin and official APIs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08"/>
            <w:vAlign w:val="center"/>
            <w:tcMar>
              <w:top w:w="100" w:type="dxa"/>
              <w:start w:w="120" w:type="dxa"/>
              <w:bottom w:w="100" w:type="dxa"/>
              <w:end w:w="120" w:type="dxa"/>
            </w:tcMar>
            <w:shd w:fill="1F4E78"/>
          </w:tcPr>
          <w:p>
            <w:pPr>
              <w:spacing w:after="0" w:before="0"/>
              <w:jc w:val="center"/>
            </w:pPr>
            <w:r/>
            <w:r>
              <w:rPr>
                <w:rFonts w:ascii="Aptos" w:hAnsi="Aptos"/>
                <w:b/>
                <w:color w:val="FFFFFF"/>
                <w:sz w:val="17"/>
              </w:rPr>
              <w:t>Method</w:t>
            </w:r>
          </w:p>
        </w:tc>
        <w:tc>
          <w:tcPr>
            <w:tcW w:type="dxa" w:w="4032"/>
            <w:vAlign w:val="center"/>
            <w:tcMar>
              <w:top w:w="100" w:type="dxa"/>
              <w:start w:w="120" w:type="dxa"/>
              <w:bottom w:w="100" w:type="dxa"/>
              <w:end w:w="120" w:type="dxa"/>
            </w:tcMar>
            <w:shd w:fill="1F4E78"/>
          </w:tcPr>
          <w:p>
            <w:pPr>
              <w:spacing w:after="0" w:before="0"/>
              <w:jc w:val="center"/>
            </w:pPr>
            <w:r/>
            <w:r>
              <w:rPr>
                <w:rFonts w:ascii="Aptos" w:hAnsi="Aptos"/>
                <w:b/>
                <w:color w:val="FFFFFF"/>
                <w:sz w:val="17"/>
              </w:rPr>
              <w:t>Endpoint</w:t>
            </w:r>
          </w:p>
        </w:tc>
        <w:tc>
          <w:tcPr>
            <w:tcW w:type="dxa" w:w="4608"/>
            <w:vAlign w:val="center"/>
            <w:tcMar>
              <w:top w:w="100" w:type="dxa"/>
              <w:start w:w="120" w:type="dxa"/>
              <w:bottom w:w="100" w:type="dxa"/>
              <w:end w:w="120" w:type="dxa"/>
            </w:tcMar>
            <w:shd w:fill="1F4E78"/>
          </w:tcPr>
          <w:p>
            <w:pPr>
              <w:spacing w:after="0" w:before="0"/>
              <w:jc w:val="center"/>
            </w:pPr>
            <w:r/>
            <w:r>
              <w:rPr>
                <w:rFonts w:ascii="Aptos" w:hAnsi="Aptos"/>
                <w:b/>
                <w:color w:val="FFFFFF"/>
                <w:sz w:val="17"/>
              </w:rPr>
              <w:t>Purpose</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/v1/admin/service-offerings</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Create draft offering.</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/v1/admin/service-offerings/{id}/validate</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Run schema, rules, workflow, accessibility and integration validation.</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/v1/admin/service-offerings/{id}/publish</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Maker-checker controlled publish.</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GET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/v1/work/tasks</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Role/jurisdiction-aware work queue.</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/v1/work/tasks/{id}/claim</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Claim/lease task.</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/v1/work/tasks/{id}/complete</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Complete with validated structured outcome.</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/v1/applications/{id}/decision</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Authorized decision with reason code and evidence references.</w:t>
            </w:r>
          </w:p>
        </w:tc>
      </w:tr>
      <w:tr>
        <w:trPr>
          <w:cantSplit/>
        </w:trPr>
        <w:tc>
          <w:tcPr>
            <w:tcW w:type="dxa" w:w="1008"/>
            <w:vAlign w:val="center"/>
            <w:tcMar>
              <w:top w:w="100" w:type="dxa"/>
              <w:start w:w="120" w:type="dxa"/>
              <w:bottom w:w="100" w:type="dxa"/>
              <w:end w:w="120" w:type="dxa"/>
            </w:tcMar>
          </w:tcPr>
          <w:p>
            <w:pPr>
              <w:spacing w:after="0" w:before="0"/>
              <w:jc w:val="left"/>
            </w:pPr>
            <w:r/>
            <w:r>
              <w:rPr>
                <w:rFonts w:ascii="Aptos" w:hAnsi="Aptos"/>
                <w:b w:val="0"/>
                <w:color w:val="222222"/>
                <w:sz w:val="15"/>
              </w:rPr>
              <w:t>POST</w:t>
            </w:r>
          </w:p>
        </w:tc>
        <w:tc>
          <w:tcPr>
            <w:tcW w:type="dxa" w:w="4032"/>
            <w:vAlign w:val="center"/>
            <w:tcMar>
              <w:top w:w="100" w:type="dxa"/>
              <w:start w:w="120" w:type="dxa"/>
              <w:bottom w:w="100" w:type="dxa"/>
              <w:end w:w="120" w:type="dxa"/>
            </w:tcMar>
          </w:tcPr>
          <w:p>
            <w:pPr>
              <w:spacing w:after="0" w:before="0"/>
              <w:jc w:val="left"/>
            </w:pPr>
            <w:r/>
            <w:r>
              <w:rPr>
                <w:rFonts w:ascii="Aptos" w:hAnsi="Aptos"/>
                <w:b w:val="0"/>
                <w:color w:val="222222"/>
                <w:sz w:val="15"/>
              </w:rPr>
              <w:t>/v1/credentials/{id}/revoke</w:t>
            </w:r>
          </w:p>
        </w:tc>
        <w:tc>
          <w:tcPr>
            <w:tcW w:type="dxa" w:w="4608"/>
            <w:vAlign w:val="center"/>
            <w:tcMar>
              <w:top w:w="100" w:type="dxa"/>
              <w:start w:w="120" w:type="dxa"/>
              <w:bottom w:w="100" w:type="dxa"/>
              <w:end w:w="120" w:type="dxa"/>
            </w:tcMar>
          </w:tcPr>
          <w:p>
            <w:pPr>
              <w:spacing w:after="0" w:before="0"/>
              <w:jc w:val="left"/>
            </w:pPr>
            <w:r/>
            <w:r>
              <w:rPr>
                <w:rFonts w:ascii="Aptos" w:hAnsi="Aptos"/>
                <w:b w:val="0"/>
                <w:color w:val="222222"/>
                <w:sz w:val="15"/>
              </w:rPr>
              <w:t>Authorized revocation/supersession.</w:t>
            </w:r>
          </w:p>
        </w:tc>
      </w:tr>
    </w:tbl>
    <w:p>
      <w:pPr>
        <w:spacing w:after="0"/>
      </w:pPr>
    </w:p>
    <w:p>
      <w:pPr>
        <w:pStyle w:val="Heading1"/>
      </w:pPr>
      <w:r>
        <w:t>18. Security Architecture</w:t>
      </w:r>
    </w:p>
    <w:p>
      <w:pPr>
        <w:pStyle w:val="Heading2"/>
      </w:pPr>
      <w:r>
        <w:t>18.1 Zero-trust controls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Control area</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Required control</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Identity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OIDC federation, MFA/step-up for officials, device/session risk and short-lived tokens.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Authorization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RBAC + ABAC using tenant, org, office, jurisdiction, role, service, action and case relationship.</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Delegation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Explicit acting-on-behalf-of context and time-bound authority.</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Network</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Private service-to-service paths where possible, mTLS/service identity, egress control.</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Secrets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Central secrets manager; no credentials in source, config maps, prompts or logs.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Encryption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TLS in transit; KMS-backed encryption at rest; field encryption/tokenization for high-risk data.</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Documents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Malware scan, content-type validation, immutable hash, signed URLs, download audit.</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Admin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Privileged access management, just-in-time elevation, maker-checker and break-glass audit.</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Application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OWASP ASVS-aligned secure coding, SAST/DAST/SCA, dependency/SBOM and secret scanning.</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Supply chain</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Signed build artifacts, provenance, protected branches, reviewed infrastructure-as-code.</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Audit</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Tamper-evident append-only audit with retention and independent access controls.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AI</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Tool allowlists, retrieval authorization, prompt-injection defenses, output schema validation and no secrets in model context.</w:t>
            </w:r>
          </w:p>
        </w:tc>
      </w:tr>
    </w:tbl>
    <w:p>
      <w:pPr>
        <w:spacing w:after="0"/>
      </w:pPr>
    </w:p>
    <w:p>
      <w:pPr>
        <w:pStyle w:val="Heading2"/>
      </w:pPr>
      <w:r>
        <w:t>18.2 Authorization example</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permit = actor.tenant_id == resource.tenant_id</w:t>
              <w:br/>
              <w:t xml:space="preserve">      AND actor.has_role("APPROVING_AUTHORITY")</w:t>
              <w:br/>
              <w:t xml:space="preserve">      AND actor.office_id IN resource.authorized_approval_offices</w:t>
              <w:br/>
              <w:t xml:space="preserve">      AND resource.service_id IN actor.service_scope</w:t>
              <w:br/>
              <w:t xml:space="preserve">      AND now() within actor.delegation_validity</w:t>
              <w:br/>
              <w:t xml:space="preserve">      AND NOT conflict_of_interest(actor, resource)</w:t>
            </w:r>
          </w:p>
        </w:tc>
      </w:tr>
    </w:tbl>
    <w:p>
      <w:pPr>
        <w:spacing w:after="0"/>
      </w:pPr>
    </w:p>
    <w:p>
      <w:pPr>
        <w:pStyle w:val="Heading1"/>
      </w:pPr>
      <w:r>
        <w:t>19. Privacy and DPDP-by-Design</w:t>
      </w:r>
    </w:p>
    <w:p>
      <w:r>
        <w:t>The Digital Personal Data Protection Rules, 2025 were notified on 14 November 2025, with an official enforcement timeline published by MeitY [S5]. The platform must therefore treat privacy controls as executable product capabilities rather than policy text alone.</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vAlign w:val="center"/>
            <w:tcMar>
              <w:top w:w="100" w:type="dxa"/>
              <w:start w:w="120" w:type="dxa"/>
              <w:bottom w:w="100" w:type="dxa"/>
              <w:end w:w="120" w:type="dxa"/>
            </w:tcMar>
            <w:shd w:fill="1F4E78"/>
          </w:tcPr>
          <w:p>
            <w:pPr>
              <w:spacing w:after="0" w:before="0"/>
              <w:jc w:val="center"/>
            </w:pPr>
            <w:r/>
            <w:r>
              <w:rPr>
                <w:rFonts w:ascii="Aptos" w:hAnsi="Aptos"/>
                <w:b/>
                <w:color w:val="FFFFFF"/>
                <w:sz w:val="17"/>
              </w:rPr>
              <w:t>Privacy capability</w:t>
            </w:r>
          </w:p>
        </w:tc>
        <w:tc>
          <w:tcPr>
            <w:tcW w:type="dxa" w:w="7344"/>
            <w:vAlign w:val="center"/>
            <w:tcMar>
              <w:top w:w="100" w:type="dxa"/>
              <w:start w:w="120" w:type="dxa"/>
              <w:bottom w:w="100" w:type="dxa"/>
              <w:end w:w="120" w:type="dxa"/>
            </w:tcMar>
            <w:shd w:fill="1F4E78"/>
          </w:tcPr>
          <w:p>
            <w:pPr>
              <w:spacing w:after="0" w:before="0"/>
              <w:jc w:val="center"/>
            </w:pPr>
            <w:r/>
            <w:r>
              <w:rPr>
                <w:rFonts w:ascii="Aptos" w:hAnsi="Aptos"/>
                <w:b/>
                <w:color w:val="FFFFFF"/>
                <w:sz w:val="17"/>
              </w:rPr>
              <w:t>Implementation</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Notice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Versioned purpose notice at collection; locale-specific; link each field/evidence request to service purpose.</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Consent</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Capture only where consent is the applicable basis; store granular receipt, scope, timestamp and withdrawal path.</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Data minimization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Service form schema explicitly marks purpose and necessity of each personal field.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Purpose limitation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Profile reuse checks allowed purpose and service context before prefill/API retrieval.</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Retention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Rule-driven retention schedule per artifact; legal hold overrides are explicit and audited.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Correction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Support correction of platform-held profile claims; authoritative source corrections route to source system where required.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Erasure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Execute when applicable while retaining legally required audit/decision records under documented retention basis.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Access logging</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Citizen-sensitive data views/downloads are auditable, not only edits.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Children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Age-aware flows and guardian/consent handling according to applicable requirements.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Breach response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Data inventory, affected-record query, incident workflow and notification support.</w:t>
            </w:r>
          </w:p>
        </w:tc>
      </w:tr>
    </w:tbl>
    <w:p>
      <w:pPr>
        <w:spacing w:after="0"/>
      </w:pPr>
    </w:p>
    <w:p>
      <w:pPr>
        <w:pStyle w:val="Heading1"/>
      </w:pPr>
      <w:r>
        <w:t>20. Accessibility, Language and Inclusive Delivery</w:t>
      </w:r>
    </w:p>
    <w:p>
      <w:r>
        <w:t>GIGW 3.0 applies to Indian government websites and apps at Central, State, district and local levels and incorporates WCAG 2.1 Level AA accessibility requirements [S6]. The platform design system and generated forms must make compliance the default rather than a per-service customization.</w:t>
      </w:r>
    </w:p>
    <w:p>
      <w:pPr>
        <w:pStyle w:val="ListBullet"/>
      </w:pPr>
      <w:r>
        <w:t>Keyboard-complete operation and logical focus order</w:t>
      </w:r>
    </w:p>
    <w:p>
      <w:pPr>
        <w:pStyle w:val="ListBullet"/>
      </w:pPr>
      <w:r>
        <w:t>Semantic headings, labels, landmarks and accessible names</w:t>
      </w:r>
    </w:p>
    <w:p>
      <w:pPr>
        <w:pStyle w:val="ListBullet"/>
      </w:pPr>
      <w:r>
        <w:t>Error summary linked to invalid fields and plain-language recovery instructions</w:t>
      </w:r>
    </w:p>
    <w:p>
      <w:pPr>
        <w:pStyle w:val="ListBullet"/>
      </w:pPr>
      <w:r>
        <w:t>No information conveyed by color alone; adequate contrast</w:t>
      </w:r>
    </w:p>
    <w:p>
      <w:pPr>
        <w:pStyle w:val="ListBullet"/>
      </w:pPr>
      <w:r>
        <w:t>Text zoom/reflow and responsive mobile forms</w:t>
      </w:r>
    </w:p>
    <w:p>
      <w:pPr>
        <w:pStyle w:val="ListBullet"/>
      </w:pPr>
      <w:r>
        <w:t>Accessible PDF/certificate templates and text alternatives</w:t>
      </w:r>
    </w:p>
    <w:p>
      <w:pPr>
        <w:pStyle w:val="ListBullet"/>
      </w:pPr>
      <w:r>
        <w:t>Screen-reader testing in CI plus manual assistive-technology acceptance tests</w:t>
      </w:r>
    </w:p>
    <w:p>
      <w:pPr>
        <w:pStyle w:val="ListBullet"/>
      </w:pPr>
      <w:r>
        <w:t>Indian-language font/script coverage and Unicode-safe validation</w:t>
      </w:r>
    </w:p>
    <w:p>
      <w:pPr>
        <w:pStyle w:val="ListBullet"/>
      </w:pPr>
      <w:r>
        <w:t>Voice/ASR/TTS as optional assistance, never the sole interaction method</w:t>
      </w:r>
    </w:p>
    <w:p>
      <w:pPr>
        <w:pStyle w:val="ListBullet"/>
      </w:pPr>
      <w:r>
        <w:t>Assisted digital journey for people with low digital literacy or limited connectivity</w:t>
      </w:r>
    </w:p>
    <w:p>
      <w:pPr>
        <w:pStyle w:val="Heading1"/>
      </w:pPr>
      <w:r>
        <w:t>21. Search, Knowledge and Recommendation Architecture</w:t>
      </w:r>
    </w:p>
    <w:p>
      <w:pPr>
        <w:pStyle w:val="Heading2"/>
      </w:pPr>
      <w:r>
        <w:t>21.1 Search index</w:t>
      </w:r>
    </w:p>
    <w:p>
      <w:r>
        <w:t>Index canonical names, local aliases, departments, outcomes, eligibility summaries, required documents, keywords, life events and jurisdiction availability. Apply tenant/jurisdiction filters before semantic ranking. Maintain a synonym dictionary for terms such as domicile/residence/nativity and state-specific names.</w:t>
      </w:r>
    </w:p>
    <w:p>
      <w:pPr>
        <w:pStyle w:val="Heading2"/>
      </w:pPr>
      <w:r>
        <w:t>21.2 Recommendation pipeline</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candidate services by jurisdiction</w:t>
              <w:br/>
              <w:t xml:space="preserve"> -&gt; deterministic eligibility pre-check</w:t>
              <w:br/>
              <w:t xml:space="preserve"> -&gt; remove already-completed / unavailable / disallowed-purpose items</w:t>
              <w:br/>
              <w:t xml:space="preserve"> -&gt; rank by stated goal + life event + profile relevance + urgency</w:t>
              <w:br/>
              <w:t xml:space="preserve"> -&gt; generate "why recommended" explanation from rule evidence</w:t>
              <w:br/>
              <w:t xml:space="preserve"> -&gt; citizen feedback and preference controls</w:t>
            </w:r>
          </w:p>
        </w:tc>
      </w:tr>
    </w:tbl>
    <w:p>
      <w:pPr>
        <w:spacing w:after="0"/>
      </w:pPr>
    </w:p>
    <w:p>
      <w:pPr>
        <w:pStyle w:val="Heading1"/>
      </w:pPr>
      <w:r>
        <w:t>22. Notifications, Communications and Appointments</w:t>
      </w:r>
    </w:p>
    <w:p>
      <w:pPr>
        <w:pStyle w:val="ListBullet"/>
      </w:pPr>
      <w:r>
        <w:t>Template registry with service/version, trigger, locale and channel.</w:t>
      </w:r>
    </w:p>
    <w:p>
      <w:pPr>
        <w:pStyle w:val="ListBullet"/>
      </w:pPr>
      <w:r>
        <w:t>Citizen preference centre with mandatory transactional-message exceptions defined by policy.</w:t>
      </w:r>
    </w:p>
    <w:p>
      <w:pPr>
        <w:pStyle w:val="ListBullet"/>
      </w:pPr>
      <w:r>
        <w:t>No sensitive detail in SMS/email; deep-link to authenticated portal for case details.</w:t>
      </w:r>
    </w:p>
    <w:p>
      <w:pPr>
        <w:pStyle w:val="ListBullet"/>
      </w:pPr>
      <w:r>
        <w:t>Delivery receipts and retry; duplicate suppression and idempotency.</w:t>
      </w:r>
    </w:p>
    <w:p>
      <w:pPr>
        <w:pStyle w:val="ListBullet"/>
      </w:pPr>
      <w:r>
        <w:t>Appointment capacity by office, service, counter/resource and holiday calendar.</w:t>
      </w:r>
    </w:p>
    <w:p>
      <w:pPr>
        <w:pStyle w:val="ListBullet"/>
      </w:pPr>
      <w:r>
        <w:t>All citizen requests for clarification show exactly what is needed, why, due date and consequences.</w:t>
      </w:r>
    </w:p>
    <w:p>
      <w:pPr>
        <w:pStyle w:val="Heading1"/>
      </w:pPr>
      <w:r>
        <w:t>23. Observability, Reliability and Disaster Recovery</w:t>
      </w:r>
    </w:p>
    <w:p>
      <w:pPr>
        <w:pStyle w:val="Heading2"/>
      </w:pPr>
      <w:r>
        <w:t>23.1 SLOs and performance targets</w:t>
      </w:r>
    </w:p>
    <w:p>
      <w:r>
        <w:t>Initial engineering targets should be validated by load tests and then tiered by service criticality. The architecture should sustain a baseline of approximately 1,000 transactions per second and scale toward 5,000 TPS through horizontal scaling/cell expansion, while citizen-facing end-to-end responses should normally remain within 3 seconds and server-side processing within about 1 second for non-external calls. Batch and external-integration paths use separate asynchronous SLOs.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vAlign w:val="center"/>
            <w:tcMar>
              <w:top w:w="100" w:type="dxa"/>
              <w:start w:w="120" w:type="dxa"/>
              <w:bottom w:w="100" w:type="dxa"/>
              <w:end w:w="120" w:type="dxa"/>
            </w:tcMar>
            <w:shd w:fill="1F4E78"/>
          </w:tcPr>
          <w:p>
            <w:pPr>
              <w:spacing w:after="0" w:before="0"/>
              <w:jc w:val="center"/>
            </w:pPr>
            <w:r/>
            <w:r>
              <w:rPr>
                <w:rFonts w:ascii="Aptos" w:hAnsi="Aptos"/>
                <w:b/>
                <w:color w:val="FFFFFF"/>
                <w:sz w:val="17"/>
              </w:rPr>
              <w:t>NFR</w:t>
            </w:r>
          </w:p>
        </w:tc>
        <w:tc>
          <w:tcPr>
            <w:tcW w:type="dxa" w:w="6768"/>
            <w:vAlign w:val="center"/>
            <w:tcMar>
              <w:top w:w="100" w:type="dxa"/>
              <w:start w:w="120" w:type="dxa"/>
              <w:bottom w:w="100" w:type="dxa"/>
              <w:end w:w="120" w:type="dxa"/>
            </w:tcMar>
            <w:shd w:fill="1F4E78"/>
          </w:tcPr>
          <w:p>
            <w:pPr>
              <w:spacing w:after="0" w:before="0"/>
              <w:jc w:val="center"/>
            </w:pPr>
            <w:r/>
            <w:r>
              <w:rPr>
                <w:rFonts w:ascii="Aptos" w:hAnsi="Aptos"/>
                <w:b/>
                <w:color w:val="FFFFFF"/>
                <w:sz w:val="17"/>
              </w:rPr>
              <w:t>Initial target</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Citizen/API availability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99.95% monthly for Tier-1 runtime; higher only with costed business requirement.</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Admin/authoring availability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99.9% monthly; authoring outage must not stop published runtime.</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RPO</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Tiered: &lt;=5 minutes for critical transactional state; lower tiers policy-defined.</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RTO</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Tiered: target &lt;=30 minutes for critical runtime where architecture/cost permits.</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Latency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P95 read &lt;=2s; P95 normal submit &lt;=3s excluding external/manual processes.</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Audit durability</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No acknowledged material state transition without durable DB commit and eventual audit/event publication.</w:t>
            </w:r>
          </w:p>
        </w:tc>
      </w:tr>
      <w:tr>
        <w:trPr>
          <w:cantSplit/>
        </w:trPr>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6"/>
              </w:rPr>
              <w:t>Backpressure</w:t>
            </w:r>
          </w:p>
        </w:tc>
        <w:tc>
          <w:tcPr>
            <w:tcW w:type="dxa" w:w="6768"/>
            <w:vAlign w:val="center"/>
            <w:tcMar>
              <w:top w:w="100" w:type="dxa"/>
              <w:start w:w="120" w:type="dxa"/>
              <w:bottom w:w="100" w:type="dxa"/>
              <w:end w:w="120" w:type="dxa"/>
            </w:tcMar>
          </w:tcPr>
          <w:p>
            <w:pPr>
              <w:spacing w:after="0" w:before="0"/>
              <w:jc w:val="left"/>
            </w:pPr>
            <w:r/>
            <w:r>
              <w:rPr>
                <w:rFonts w:ascii="Aptos" w:hAnsi="Aptos"/>
                <w:b w:val="0"/>
                <w:color w:val="222222"/>
                <w:sz w:val="16"/>
              </w:rPr>
              <w:t>Queues, rate limits and admission control prevent one tenant/service from exhausting a cell.</w:t>
            </w:r>
          </w:p>
        </w:tc>
      </w:tr>
    </w:tbl>
    <w:p>
      <w:pPr>
        <w:spacing w:after="0"/>
      </w:pPr>
    </w:p>
    <w:p>
      <w:pPr>
        <w:pStyle w:val="Heading2"/>
      </w:pPr>
      <w:r>
        <w:t>23.2 Telemetry</w:t>
      </w:r>
    </w:p>
    <w:p>
      <w:pPr>
        <w:pStyle w:val="ListBullet"/>
      </w:pPr>
      <w:r>
        <w:t>OpenTelemetry traces with correlation_id/application_id but no raw sensitive payloads.</w:t>
      </w:r>
    </w:p>
    <w:p>
      <w:pPr>
        <w:pStyle w:val="ListBullet"/>
      </w:pPr>
      <w:r>
        <w:t>Golden signals by service, tenant, dependency and cell: latency, traffic, errors, saturation.</w:t>
      </w:r>
    </w:p>
    <w:p>
      <w:pPr>
        <w:pStyle w:val="ListBullet"/>
      </w:pPr>
      <w:r>
        <w:t>Business telemetry: application funnel, SLA aging, clarification loops, rejection reason codes, abandonment and payment failures.</w:t>
      </w:r>
    </w:p>
    <w:p>
      <w:pPr>
        <w:pStyle w:val="ListBullet"/>
      </w:pPr>
      <w:r>
        <w:t>Synthetic service checks and integration probes.</w:t>
      </w:r>
    </w:p>
    <w:p>
      <w:pPr>
        <w:pStyle w:val="ListBullet"/>
      </w:pPr>
      <w:r>
        <w:t>Immutable security/admin audit separate from operational logs.</w:t>
      </w:r>
    </w:p>
    <w:p>
      <w:pPr>
        <w:pStyle w:val="Heading2"/>
      </w:pPr>
      <w:r>
        <w:t>23.3 DR</w:t>
      </w:r>
    </w:p>
    <w:p>
      <w:r>
        <w:t>Define service tiers with business-owned RTO/RPO. Maintain infrastructure-as-code, automated backups, point-in-time database recovery, replicated object storage, key-recovery procedures and regularly rehearsed failover. A DR environment that has never been exercised is not considered a DR capability.</w:t>
      </w:r>
    </w:p>
    <w:p>
      <w:pPr>
        <w:pStyle w:val="Heading1"/>
      </w:pPr>
      <w:r>
        <w:t>24. CI/CD, Environments and AI-Assisted SDLC</w:t>
      </w:r>
    </w:p>
    <w:p>
      <w:pPr>
        <w:keepNext/>
        <w:jc w:val="center"/>
      </w:pPr>
      <w:r>
        <w:drawing>
          <wp:inline xmlns:a="http://schemas.openxmlformats.org/drawingml/2006/main" xmlns:pic="http://schemas.openxmlformats.org/drawingml/2006/picture">
            <wp:extent cx="6217920" cy="366281"/>
            <wp:docPr id="8" name="Picture 8"/>
            <wp:cNvGraphicFramePr>
              <a:graphicFrameLocks noChangeAspect="1"/>
            </wp:cNvGraphicFramePr>
            <a:graphic>
              <a:graphicData uri="http://schemas.openxmlformats.org/drawingml/2006/picture">
                <pic:pic>
                  <pic:nvPicPr>
                    <pic:cNvPr id="0" name="08_cicd.png"/>
                    <pic:cNvPicPr/>
                  </pic:nvPicPr>
                  <pic:blipFill>
                    <a:blip r:embed="rId17"/>
                    <a:stretch>
                      <a:fillRect/>
                    </a:stretch>
                  </pic:blipFill>
                  <pic:spPr>
                    <a:xfrm>
                      <a:off x="0" y="0"/>
                      <a:ext cx="6217920" cy="366281"/>
                    </a:xfrm>
                    <a:prstGeom prst="rect"/>
                  </pic:spPr>
                </pic:pic>
              </a:graphicData>
            </a:graphic>
          </wp:inline>
        </w:drawing>
      </w:r>
    </w:p>
    <w:p>
      <w:pPr>
        <w:pStyle w:val="FigureCaption"/>
        <w:keepNext w:val="0"/>
      </w:pPr>
      <w:r>
        <w:t>Figure 8. AI-assisted development is bounded by automated quality/security gates and immutable artifact promotion.</w:t>
      </w:r>
    </w:p>
    <w:p>
      <w:pPr>
        <w:pStyle w:val="Heading2"/>
      </w:pPr>
      <w:r>
        <w:t>24.1 Environment model</w:t>
      </w:r>
    </w:p>
    <w:p>
      <w:pPr>
        <w:pStyle w:val="ListBullet"/>
      </w:pPr>
      <w:r>
        <w:t>Developer environments use synthetic/anonymized data only.</w:t>
      </w:r>
    </w:p>
    <w:p>
      <w:pPr>
        <w:pStyle w:val="ListBullet"/>
      </w:pPr>
      <w:r>
        <w:t>Ephemeral preview environment per pull request for web/form/workflow changes where cost-effective.</w:t>
      </w:r>
    </w:p>
    <w:p>
      <w:pPr>
        <w:pStyle w:val="ListBullet"/>
      </w:pPr>
      <w:r>
        <w:t>Integration environment uses contract simulators and approved sandbox endpoints.</w:t>
      </w:r>
    </w:p>
    <w:p>
      <w:pPr>
        <w:pStyle w:val="ListBullet"/>
      </w:pPr>
      <w:r>
        <w:t>Staging mirrors production topology at reduced scale; production credentials never appear outside production.</w:t>
      </w:r>
    </w:p>
    <w:p>
      <w:pPr>
        <w:pStyle w:val="ListBullet"/>
      </w:pPr>
      <w:r>
        <w:t>Production release uses progressive deployment, feature flags and rollback-capable migrations.</w:t>
      </w:r>
    </w:p>
    <w:p>
      <w:pPr>
        <w:pStyle w:val="Heading2"/>
      </w:pPr>
      <w:r>
        <w:t>24.2 Definition of Done for code</w:t>
      </w:r>
    </w:p>
    <w:p>
      <w:pPr>
        <w:pStyle w:val="ListBullet"/>
      </w:pPr>
      <w:r>
        <w:t>Requirement ID linked to implementation and tests.</w:t>
      </w:r>
    </w:p>
    <w:p>
      <w:pPr>
        <w:pStyle w:val="ListBullet"/>
      </w:pPr>
      <w:r>
        <w:t>Unit tests and contract tests pass.</w:t>
      </w:r>
    </w:p>
    <w:p>
      <w:pPr>
        <w:pStyle w:val="ListBullet"/>
      </w:pPr>
      <w:r>
        <w:t>Tenant-isolation tests pass for every new query/endpoint.</w:t>
      </w:r>
    </w:p>
    <w:p>
      <w:pPr>
        <w:pStyle w:val="ListBullet"/>
      </w:pPr>
      <w:r>
        <w:t>SAST/SCA/secret scan/SBOM policy passes.</w:t>
      </w:r>
    </w:p>
    <w:p>
      <w:pPr>
        <w:pStyle w:val="ListBullet"/>
      </w:pPr>
      <w:r>
        <w:t>API schema compatibility check passes.</w:t>
      </w:r>
    </w:p>
    <w:p>
      <w:pPr>
        <w:pStyle w:val="ListBullet"/>
      </w:pPr>
      <w:r>
        <w:t>Accessibility checks pass for citizen-facing UI changes.</w:t>
      </w:r>
    </w:p>
    <w:p>
      <w:pPr>
        <w:pStyle w:val="ListBullet"/>
      </w:pPr>
      <w:r>
        <w:t>Migration is backward compatible or has an approved rollout plan.</w:t>
      </w:r>
    </w:p>
    <w:p>
      <w:pPr>
        <w:pStyle w:val="ListBullet"/>
      </w:pPr>
      <w:r>
        <w:t>Telemetry, runbook and alert ownership exist for new operational behavior.</w:t>
      </w:r>
    </w:p>
    <w:p>
      <w:pPr>
        <w:pStyle w:val="ListBullet"/>
      </w:pPr>
      <w:r>
        <w:t>Human review required for AI-generated production code.</w:t>
      </w:r>
    </w:p>
    <w:p>
      <w:pPr>
        <w:pStyle w:val="Heading1"/>
      </w:pPr>
      <w:r>
        <w:t>25. Functional Requirements Catalogue</w:t>
      </w:r>
    </w:p>
    <w:p>
      <w:pPr>
        <w:pStyle w:val="Heading3"/>
      </w:pPr>
      <w:r>
        <w:t>TEN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Tenant creation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tenant with isolation tier, policy profile and key namespace.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Hierarchy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arbitrary organization/office trees without code changes.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Jurisdiction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Configure typed jurisdiction trees and state-specific administrative levels.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Provider binding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Bind service offering to provider organizations/offices and jurisdiction selectors.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Delegation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Model temporary acting authority and office delegation.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Branding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Tenant-level theme/logo/contact configuration without forking application code.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Policy inheritance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Allow root/state/tenant configuration inheritance with controlled override.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TEN-008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Tenant export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Export tenant configuration/data in documented formats.</w:t>
            </w:r>
          </w:p>
        </w:tc>
      </w:tr>
    </w:tbl>
    <w:p>
      <w:pPr>
        <w:spacing w:after="0"/>
      </w:pPr>
    </w:p>
    <w:p>
      <w:pPr>
        <w:pStyle w:val="Heading3"/>
      </w:pPr>
      <w:r>
        <w:t>CAT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Canonical registry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Maintain global canonical service identifiers and categories.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Alias mapping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Map local names with equivalence type and evidence source.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Versioning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Immutable published service versions with effective dates.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Draft review</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Maker-checker publish workflow for service definitions.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Dependency validation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Block publish when referenced form/rule/workflow/template version is missing.</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Jurisdiction availability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Resolve which offerings are available for a citizen location.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Life-event tags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Associate services with life events and search synonyms.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CAT-008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Deprecation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Supersede offerings without breaking historical applications.</w:t>
            </w:r>
          </w:p>
        </w:tc>
      </w:tr>
    </w:tbl>
    <w:p>
      <w:pPr>
        <w:spacing w:after="0"/>
      </w:pPr>
    </w:p>
    <w:p>
      <w:pPr>
        <w:pStyle w:val="Heading3"/>
      </w:pPr>
      <w:r>
        <w:t>CIT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Guest discovery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Allow public browsing/search before authentication.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Account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approved citizen federation and basic account pattern.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Profile claims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Store progressive claims with source and freshness.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Consent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Capture and enforce purpose-bound consent/reuse.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Delegation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Permit authorized representative/family flows.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Dashboard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Show active cases, actions, outputs and recommendations.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Preferences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Language, notification and recommendation controls.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CIT-008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Data transparency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Show source and verification status for prefilled data.</w:t>
            </w:r>
          </w:p>
        </w:tc>
      </w:tr>
    </w:tbl>
    <w:p>
      <w:pPr>
        <w:spacing w:after="0"/>
      </w:pPr>
    </w:p>
    <w:p>
      <w:pPr>
        <w:pStyle w:val="Heading3"/>
      </w:pPr>
      <w:r>
        <w:t>FORM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Schema</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Render versioned schema-driven forms.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Conditional logic</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show/hide/required/validation expressions.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Draft autosave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Resume drafts across sessions/devices.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Prefill</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Prefill from approved profile/API/document claims.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Evidence selector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upload, camera and DigiLocker/API evidence.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Repeat groups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family/property/line-item repeating structures.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Multilingual</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Version labels/help/errors per locale.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Accessibility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Enforce accessible field components and error handling.</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Server validation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Re-run all validation server-side.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FORM-010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Submission snapshot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Freeze form/evidence snapshot at submission.</w:t>
            </w:r>
          </w:p>
        </w:tc>
      </w:tr>
    </w:tbl>
    <w:p>
      <w:pPr>
        <w:spacing w:after="0"/>
      </w:pPr>
    </w:p>
    <w:p>
      <w:pPr>
        <w:pStyle w:val="Heading3"/>
      </w:pPr>
      <w:r>
        <w:t>RULE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Deterministic runtime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Execute eligibility/fee/evidence/SLA/routing rules without LLM.</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Explanation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Return reason codes and explanations.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Source reference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Bind rule to authoritative source clause.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Test vectors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Require positive/negative/boundary tests.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Version pinning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Application keeps submitted rule version unless migrated.</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Simulation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Admin can simulate rule outcomes before publish.</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Reusable rule blocks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Share common rule fragments with controlled versioning.</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RULE-008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Policy effective dates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Select rule set by service/application effective date.</w:t>
            </w:r>
          </w:p>
        </w:tc>
      </w:tr>
    </w:tbl>
    <w:p>
      <w:pPr>
        <w:spacing w:after="0"/>
      </w:pPr>
    </w:p>
    <w:p>
      <w:pPr>
        <w:pStyle w:val="Heading3"/>
      </w:pPr>
      <w:r>
        <w:t>WF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Graph runtime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Execute versioned workflow graph.</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Human task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role/jurisdiction-aware official task.</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Applicant task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Request structured citizen action with due date.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Decision node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Branch on deterministic rule.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Parallelism</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Fork/join independent tasks.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API task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Execute idempotent integration task.</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Timer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Schedule reminder, due date and escalation.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Assignment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Role/capability/workload/delegation-based assignment.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Lease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Claim/release task with concurrency controls.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Escalation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Escalate SLA breaches according to policy.</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WF-011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Appeal</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configured appeal/review path.</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WF-012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Migration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Controlled migration of active workflows when authorized.</w:t>
            </w:r>
          </w:p>
        </w:tc>
      </w:tr>
    </w:tbl>
    <w:p>
      <w:pPr>
        <w:spacing w:after="0"/>
      </w:pPr>
    </w:p>
    <w:p>
      <w:pPr>
        <w:pStyle w:val="Heading3"/>
      </w:pPr>
      <w:r>
        <w:t>CASE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Create application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draft from offering version.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Submit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Validate, snapshot and start workflow atomically.</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Timeline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Expose citizen-safe and official case timelines.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Clarification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Structured request/response loop.</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Inspection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Assign and capture field/site inspection.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Hearing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Schedule hearing/appointment where required.</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Decision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Record structured authorized decision and reasons.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Withdrawal</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Citizen withdrawal subject to service policy.</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Reopen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Authorized reopen/correction with audit.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CASE-010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Appeal linkage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Link appeal to original decision and evidence.</w:t>
            </w:r>
          </w:p>
        </w:tc>
      </w:tr>
    </w:tbl>
    <w:p>
      <w:pPr>
        <w:spacing w:after="0"/>
      </w:pPr>
    </w:p>
    <w:p>
      <w:pPr>
        <w:pStyle w:val="Heading3"/>
      </w:pPr>
      <w:r>
        <w:t>EVD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Upload security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Scan, validate MIME, checksum and quarantine malicious files.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Verified documents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Record DigiLocker/API source metadata.</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Evidence policy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Evaluate evidence sufficiency deterministically.</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Freshness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Enforce issue/expiry/freshness requirements.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Substitution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Configure acceptable alternative evidence.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Provenance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Retain chain from claim to source evidence.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EVD-007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Redaction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Provide controlled redaction/masking views where needed.</w:t>
            </w:r>
          </w:p>
        </w:tc>
      </w:tr>
    </w:tbl>
    <w:p>
      <w:pPr>
        <w:spacing w:after="0"/>
      </w:pPr>
    </w:p>
    <w:p>
      <w:pPr>
        <w:pStyle w:val="Heading3"/>
      </w:pPr>
      <w:r>
        <w:t>PAY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Demand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Generate fee demand from rule result.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Payment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idempotent gateway transaction.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Callback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Validate signed/as-authenticated callback.</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Receipt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Generate receipt and reconcile.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Waiver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policy-based exemption with evidence.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Refund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Workflow-approved refund where supported.</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PAY-007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Reconciliation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Daily automated reconciliation and exception queue.</w:t>
            </w:r>
          </w:p>
        </w:tc>
      </w:tr>
    </w:tbl>
    <w:p>
      <w:pPr>
        <w:spacing w:after="0"/>
      </w:pPr>
    </w:p>
    <w:p>
      <w:pPr>
        <w:pStyle w:val="Heading3"/>
      </w:pPr>
      <w:r>
        <w:t>CRED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Payload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Create canonical structured output payload.</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Template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Render accessible PDF/template version.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Signature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Digitally sign/seal through approved integration.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QR verify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Issue opaque/signed verification reference.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VC</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Optionally issue W3C VC 2.0 representation.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Status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Maintain validity/revocation/supersession status.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DigiLocker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Publish/fetch through approved issuer/requester flows.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CRED-008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Reissue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Reissue/correct while preserving lineage.</w:t>
            </w:r>
          </w:p>
        </w:tc>
      </w:tr>
    </w:tbl>
    <w:p>
      <w:pPr>
        <w:spacing w:after="0"/>
      </w:pPr>
    </w:p>
    <w:p>
      <w:pPr>
        <w:pStyle w:val="Heading3"/>
      </w:pPr>
      <w:r>
        <w:t>INT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Connector SDK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Standard connector interface for auth/map/retry/health.</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Idempotency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Prevent duplicate external effects.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Circuit breaker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Protect platform from failing dependencies.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Callback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Signed webhook/callback endpoint pattern.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Schema map</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Versioned field mapping/transformation.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Sandbox</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Per-connector sandbox configuration.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Secrets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Per-tenant/provider secret isolation.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INT-008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Observability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Metrics/traces and failure dashboards per integration.</w:t>
            </w:r>
          </w:p>
        </w:tc>
      </w:tr>
    </w:tbl>
    <w:p>
      <w:pPr>
        <w:spacing w:after="0"/>
      </w:pPr>
    </w:p>
    <w:p>
      <w:pPr>
        <w:pStyle w:val="Heading3"/>
      </w:pPr>
      <w:r>
        <w:t>AI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Gateway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All model calls routed through governed AI gateway.</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Grounding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Authoring/casework agents retrieve only authorized sources.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Structured output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Validate agent outputs against JSON schemas.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Tool permissions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Least-privilege tool access per agent.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Prompt registry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Version prompts/system policies and evaluations.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Source citation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Display source references for policy/case assertions.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Decision boundary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No autonomous adverse/approval decisions.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Red-team</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Maintain prompt injection, leakage and hallucination suites.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Model portability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Abstract model provider behind capability interface.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AI-010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Cost controls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Per-tenant/agent budgets, caching and model routing.</w:t>
            </w:r>
          </w:p>
        </w:tc>
      </w:tr>
    </w:tbl>
    <w:p>
      <w:pPr>
        <w:spacing w:after="0"/>
      </w:pPr>
    </w:p>
    <w:p>
      <w:pPr>
        <w:pStyle w:val="Heading3"/>
      </w:pPr>
      <w:r>
        <w:t>SEC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RBAC/ABAC</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Authorize by tenant/org/office/jurisdiction/role/service/action.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MFA</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Step-up authentication for sensitive official actions.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RLS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Database tenant isolation enforcement.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Audit</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Append-only material-action audit.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Encryption</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KMS-backed encryption and secret management.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PAM</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Just-in-time privileged access and break-glass.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Secure SDLC</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SAST/DAST/SCA/SBOM/secrets gates.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Rate limiting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Per-tenant/user/integration quotas and abuse protection.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SEC-009</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Session controls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Short-lived tokens, revocation, device/session monitoring.</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SEC-010</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Document access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Signed URLs and access logging.</w:t>
            </w:r>
          </w:p>
        </w:tc>
      </w:tr>
    </w:tbl>
    <w:p>
      <w:pPr>
        <w:spacing w:after="0"/>
      </w:pPr>
    </w:p>
    <w:p>
      <w:pPr>
        <w:pStyle w:val="Heading3"/>
      </w:pPr>
      <w:r>
        <w:t>OPS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Telemetry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Distributed traces, metrics and structured logs.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SLO</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Service/tenant/cell SLO measurement.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Backups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Automated encrypted backup and restore tests.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DR</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Tiered RPO/RTO and rehearsal.</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Cell scaling</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Move/add tenants to cells with controlled migration.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Feature flags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Tenant/service-scoped progressive rollout.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Runbooks</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Alert links to owned runbook and escalation.</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OPS-008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Capacity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Automated load/capacity dashboards and forecast.</w:t>
            </w:r>
          </w:p>
        </w:tc>
      </w:tr>
    </w:tbl>
    <w:p>
      <w:pPr>
        <w:spacing w:after="0"/>
      </w:pPr>
    </w:p>
    <w:p>
      <w:pPr>
        <w:pStyle w:val="Heading3"/>
      </w:pPr>
      <w:r>
        <w:t>UX requirements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ID</w:t>
            </w:r>
          </w:p>
        </w:tc>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Requirement</w:t>
            </w:r>
          </w:p>
        </w:tc>
        <w:tc>
          <w:tcPr>
            <w:tcW w:type="dxa" w:w="57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intent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UX-001</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GIGW</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Generated citizen UI follows GIGW 3.0 baseline.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UX-002</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Language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Locale switch preserves workflow/form state.</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UX-003</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Plain language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Citizen content avoids administrative jargon or explains it.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UX-004</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Low bandwidth</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Core journey usable on constrained networks.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UX-005</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Assisted</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Support CSC/assisted session and printable acknowledgement.</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UX-006</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Mobile</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Responsive web plus Flutter app reuse same APIs.</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UX-007</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Feedback</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Capture service feedback and grievance routing.</w:t>
            </w:r>
          </w:p>
        </w:tc>
      </w:tr>
      <w:tr>
        <w:trPr>
          <w:cantSplit/>
        </w:trPr>
        <w:tc>
          <w:tcPr>
            <w:tcW w:type="dxa" w:w="1296"/>
            <w:vAlign w:val="center"/>
            <w:tcMar>
              <w:top w:w="100" w:type="dxa"/>
              <w:start w:w="120" w:type="dxa"/>
              <w:bottom w:w="100" w:type="dxa"/>
              <w:end w:w="120" w:type="dxa"/>
            </w:tcMar>
          </w:tcPr>
          <w:p>
            <w:pPr>
              <w:spacing w:after="0" w:before="0"/>
              <w:jc w:val="left"/>
            </w:pPr>
            <w:r/>
            <w:r>
              <w:rPr>
                <w:rFonts w:ascii="Aptos" w:hAnsi="Aptos"/>
                <w:b w:val="0"/>
                <w:color w:val="222222"/>
                <w:sz w:val="15"/>
              </w:rPr>
              <w:t>UX-008</w:t>
            </w:r>
          </w:p>
        </w:tc>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5"/>
              </w:rPr>
              <w:t>Status clarity</w:t>
            </w:r>
          </w:p>
        </w:tc>
        <w:tc>
          <w:tcPr>
            <w:tcW w:type="dxa" w:w="5760"/>
            <w:vAlign w:val="center"/>
            <w:tcMar>
              <w:top w:w="100" w:type="dxa"/>
              <w:start w:w="120" w:type="dxa"/>
              <w:bottom w:w="100" w:type="dxa"/>
              <w:end w:w="120" w:type="dxa"/>
            </w:tcMar>
          </w:tcPr>
          <w:p>
            <w:pPr>
              <w:spacing w:after="0" w:before="0"/>
              <w:jc w:val="left"/>
            </w:pPr>
            <w:r/>
            <w:r>
              <w:rPr>
                <w:rFonts w:ascii="Aptos" w:hAnsi="Aptos"/>
                <w:b w:val="0"/>
                <w:color w:val="222222"/>
                <w:sz w:val="15"/>
              </w:rPr>
              <w:t>Use citizen-readable statuses and next action/date.</w:t>
            </w:r>
          </w:p>
        </w:tc>
      </w:tr>
    </w:tbl>
    <w:p>
      <w:pPr>
        <w:spacing w:after="0"/>
      </w:pPr>
    </w:p>
    <w:p>
      <w:pPr>
        <w:pStyle w:val="Heading1"/>
      </w:pPr>
      <w:r>
        <w:t>26. End-to-End Golden Path: Residence Certificate</w:t>
      </w:r>
    </w:p>
    <w:p>
      <w:pPr>
        <w:pStyle w:val="Heading2"/>
      </w:pPr>
      <w:r>
        <w:t>26.1 Configuration</w:t>
      </w:r>
    </w:p>
    <w:p>
      <w:pPr>
        <w:ind w:left="317" w:hanging="259"/>
      </w:pPr>
      <w:r>
        <w:rPr>
          <w:b/>
        </w:rPr>
        <w:t xml:space="preserve">1. </w:t>
      </w:r>
      <w:r>
        <w:t>Map the local “Resident/Residential/Domicile” service to the appropriate canonical definition with an explicit equivalence type; do not assume legal equivalence.</w:t>
      </w:r>
    </w:p>
    <w:p>
      <w:pPr>
        <w:ind w:left="317" w:hanging="259"/>
      </w:pPr>
      <w:r>
        <w:rPr>
          <w:b/>
        </w:rPr>
        <w:t xml:space="preserve">2. </w:t>
      </w:r>
      <w:r>
        <w:t>Bind the service to the Revenue/Local authority provider organizations and jurisdiction levels configured for that State.</w:t>
      </w:r>
    </w:p>
    <w:p>
      <w:pPr>
        <w:ind w:left="317" w:hanging="259"/>
      </w:pPr>
      <w:r>
        <w:rPr>
          <w:b/>
        </w:rPr>
        <w:t xml:space="preserve">3. </w:t>
      </w:r>
      <w:r>
        <w:t>Create form version with applicant identity, current address, residence history and only the evidence mandated by the approved policy.</w:t>
      </w:r>
    </w:p>
    <w:p>
      <w:pPr>
        <w:ind w:left="317" w:hanging="259"/>
      </w:pPr>
      <w:r>
        <w:rPr>
          <w:b/>
        </w:rPr>
        <w:t xml:space="preserve">4. </w:t>
      </w:r>
      <w:r>
        <w:t>Create deterministic eligibility/evidence/fee/SLA rules with source-clause references and test vectors.</w:t>
      </w:r>
    </w:p>
    <w:p>
      <w:pPr>
        <w:ind w:left="317" w:hanging="259"/>
      </w:pPr>
      <w:r>
        <w:rPr>
          <w:b/>
        </w:rPr>
        <w:t xml:space="preserve">5. </w:t>
      </w:r>
      <w:r>
        <w:t>Create workflow: submit -&gt; scrutiny -&gt; optional field verification -&gt; approving authority -&gt; signature -&gt; issue -&gt; DigiLocker/status registry.</w:t>
      </w:r>
    </w:p>
    <w:p>
      <w:pPr>
        <w:ind w:left="317" w:hanging="259"/>
      </w:pPr>
      <w:r>
        <w:rPr>
          <w:b/>
        </w:rPr>
        <w:t xml:space="preserve">6. </w:t>
      </w:r>
      <w:r>
        <w:t>Publish after maker-checker approval and sandbox tests.</w:t>
      </w:r>
    </w:p>
    <w:p>
      <w:pPr>
        <w:pStyle w:val="Heading2"/>
      </w:pPr>
      <w:r>
        <w:t>26.2 Citizen runtime</w:t>
      </w:r>
    </w:p>
    <w:p>
      <w:pPr>
        <w:ind w:left="317" w:hanging="259"/>
      </w:pPr>
      <w:r>
        <w:rPr>
          <w:b/>
        </w:rPr>
        <w:t xml:space="preserve">1. </w:t>
      </w:r>
      <w:r>
        <w:t>Citizen searches “residence certificate” or a local synonym; platform resolves available offering from jurisdiction.</w:t>
      </w:r>
    </w:p>
    <w:p>
      <w:pPr>
        <w:ind w:left="317" w:hanging="259"/>
      </w:pPr>
      <w:r>
        <w:rPr>
          <w:b/>
        </w:rPr>
        <w:t xml:space="preserve">2. </w:t>
      </w:r>
      <w:r>
        <w:t>Citizen signs in; profile and consented verified documents prefill eligible fields with source badges.</w:t>
      </w:r>
    </w:p>
    <w:p>
      <w:pPr>
        <w:ind w:left="317" w:hanging="259"/>
      </w:pPr>
      <w:r>
        <w:rPr>
          <w:b/>
        </w:rPr>
        <w:t xml:space="preserve">3. </w:t>
      </w:r>
      <w:r>
        <w:t>Eligibility service explains whether the citizen appears eligible and what information is missing.</w:t>
      </w:r>
    </w:p>
    <w:p>
      <w:pPr>
        <w:ind w:left="317" w:hanging="259"/>
      </w:pPr>
      <w:r>
        <w:rPr>
          <w:b/>
        </w:rPr>
        <w:t xml:space="preserve">4. </w:t>
      </w:r>
      <w:r>
        <w:t>Citizen reviews the adaptive form, adds required evidence, accepts declaration and submits.</w:t>
      </w:r>
    </w:p>
    <w:p>
      <w:pPr>
        <w:ind w:left="317" w:hanging="259"/>
      </w:pPr>
      <w:r>
        <w:rPr>
          <w:b/>
        </w:rPr>
        <w:t xml:space="preserve">5. </w:t>
      </w:r>
      <w:r>
        <w:t>Submission freezes form/evidence/rule versions and starts the workflow.</w:t>
      </w:r>
    </w:p>
    <w:p>
      <w:pPr>
        <w:ind w:left="317" w:hanging="259"/>
      </w:pPr>
      <w:r>
        <w:rPr>
          <w:b/>
        </w:rPr>
        <w:t xml:space="preserve">6. </w:t>
      </w:r>
      <w:r>
        <w:t>Officials receive tasks based on office/jurisdiction/role rather than hard-coded user names.</w:t>
      </w:r>
    </w:p>
    <w:p>
      <w:pPr>
        <w:ind w:left="317" w:hanging="259"/>
      </w:pPr>
      <w:r>
        <w:rPr>
          <w:b/>
        </w:rPr>
        <w:t xml:space="preserve">7. </w:t>
      </w:r>
      <w:r>
        <w:t>Citizen receives action requests and SLA/status notifications.</w:t>
      </w:r>
    </w:p>
    <w:p>
      <w:pPr>
        <w:ind w:left="317" w:hanging="259"/>
      </w:pPr>
      <w:r>
        <w:rPr>
          <w:b/>
        </w:rPr>
        <w:t xml:space="preserve">8. </w:t>
      </w:r>
      <w:r>
        <w:t>Approving authority records decision. On approval, credential service creates signed PDF + QR and optional VC, updates status registry and publishes to DigiLocker where configured.</w:t>
      </w:r>
    </w:p>
    <w:p>
      <w:pPr>
        <w:ind w:left="317" w:hanging="259"/>
      </w:pPr>
      <w:r>
        <w:rPr>
          <w:b/>
        </w:rPr>
        <w:t xml:space="preserve">9. </w:t>
      </w:r>
      <w:r>
        <w:t>The verified residence claim may later be proposed for reuse by another service, subject to freshness and purpose policy.</w:t>
      </w:r>
    </w:p>
    <w:p>
      <w:pPr>
        <w:pStyle w:val="Heading1"/>
      </w:pPr>
      <w:r>
        <w:t>27. Authoring Studio</w:t>
      </w:r>
    </w:p>
    <w:p>
      <w:pPr>
        <w:pStyle w:val="Heading2"/>
      </w:pPr>
      <w:r>
        <w:t>27.1 Workspace layout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160"/>
            <w:vAlign w:val="center"/>
            <w:tcMar>
              <w:top w:w="100" w:type="dxa"/>
              <w:start w:w="120" w:type="dxa"/>
              <w:bottom w:w="100" w:type="dxa"/>
              <w:end w:w="120" w:type="dxa"/>
            </w:tcMar>
            <w:shd w:fill="1F4E78"/>
          </w:tcPr>
          <w:p>
            <w:pPr>
              <w:spacing w:after="0" w:before="0"/>
              <w:jc w:val="center"/>
            </w:pPr>
            <w:r/>
            <w:r>
              <w:rPr>
                <w:rFonts w:ascii="Aptos" w:hAnsi="Aptos"/>
                <w:b/>
                <w:color w:val="FFFFFF"/>
                <w:sz w:val="17"/>
              </w:rPr>
              <w:t>Studio tab</w:t>
            </w:r>
          </w:p>
        </w:tc>
        <w:tc>
          <w:tcPr>
            <w:tcW w:type="dxa" w:w="7488"/>
            <w:vAlign w:val="center"/>
            <w:tcMar>
              <w:top w:w="100" w:type="dxa"/>
              <w:start w:w="120" w:type="dxa"/>
              <w:bottom w:w="100" w:type="dxa"/>
              <w:end w:w="120" w:type="dxa"/>
            </w:tcMar>
            <w:shd w:fill="1F4E78"/>
          </w:tcPr>
          <w:p>
            <w:pPr>
              <w:spacing w:after="0" w:before="0"/>
              <w:jc w:val="center"/>
            </w:pPr>
            <w:r/>
            <w:r>
              <w:rPr>
                <w:rFonts w:ascii="Aptos" w:hAnsi="Aptos"/>
                <w:b/>
                <w:color w:val="FFFFFF"/>
                <w:sz w:val="17"/>
              </w:rPr>
              <w:t>Capabilities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Overview</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Name, canonical mapping, owner, jurisdiction, channels, effective dates.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Eligibility</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Rule builder + AI extraction + source citation + simulation.</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Form</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Drag/drop component tree + schema editor + multilingual preview.</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Evidence</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Required/alternative evidence policy and authoritative sources.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Fees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Fee/exemption rules and payment configuration.</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Workflow</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Visual graph editor, roles, assignments, timers, exceptions, appeals.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Output</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Certificate/licence template, QR/VC/DigiLocker settings.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Notifications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Trigger/template matrix.</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Integrations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Connector mapping, sandbox test and fallback.</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Tests</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Generated test suite, path coverage, accessibility and performance checks.</w:t>
            </w:r>
          </w:p>
        </w:tc>
      </w:tr>
      <w:tr>
        <w:trPr>
          <w:cantSplit/>
        </w:trPr>
        <w:tc>
          <w:tcPr>
            <w:tcW w:type="dxa" w:w="2160"/>
            <w:vAlign w:val="center"/>
            <w:tcMar>
              <w:top w:w="100" w:type="dxa"/>
              <w:start w:w="120" w:type="dxa"/>
              <w:bottom w:w="100" w:type="dxa"/>
              <w:end w:w="120" w:type="dxa"/>
            </w:tcMar>
          </w:tcPr>
          <w:p>
            <w:pPr>
              <w:spacing w:after="0" w:before="0"/>
              <w:jc w:val="left"/>
            </w:pPr>
            <w:r/>
            <w:r>
              <w:rPr>
                <w:rFonts w:ascii="Aptos" w:hAnsi="Aptos"/>
                <w:b w:val="0"/>
                <w:color w:val="222222"/>
                <w:sz w:val="16"/>
              </w:rPr>
              <w:t>Publish</w:t>
            </w:r>
          </w:p>
        </w:tc>
        <w:tc>
          <w:tcPr>
            <w:tcW w:type="dxa" w:w="7488"/>
            <w:vAlign w:val="center"/>
            <w:tcMar>
              <w:top w:w="100" w:type="dxa"/>
              <w:start w:w="120" w:type="dxa"/>
              <w:bottom w:w="100" w:type="dxa"/>
              <w:end w:w="120" w:type="dxa"/>
            </w:tcMar>
          </w:tcPr>
          <w:p>
            <w:pPr>
              <w:spacing w:after="0" w:before="0"/>
              <w:jc w:val="left"/>
            </w:pPr>
            <w:r/>
            <w:r>
              <w:rPr>
                <w:rFonts w:ascii="Aptos" w:hAnsi="Aptos"/>
                <w:b w:val="0"/>
                <w:color w:val="222222"/>
                <w:sz w:val="16"/>
              </w:rPr>
              <w:t>Diff, dependency lock, maker-checker, scheduled effective date and rollback/supersession.</w:t>
            </w:r>
          </w:p>
        </w:tc>
      </w:tr>
    </w:tbl>
    <w:p>
      <w:pPr>
        <w:spacing w:after="0"/>
      </w:pPr>
    </w:p>
    <w:p>
      <w:pPr>
        <w:pStyle w:val="Heading2"/>
      </w:pPr>
      <w:r>
        <w:t>27.2 AI service creation workflow</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Upload/reference authoritative policy -&gt; AI extracts structured draft with clause citations</w:t>
              <w:br/>
              <w:t xml:space="preserve"> -&gt; service designer reviews field-by-field -&gt; AI generates form/rules/workflow/tests</w:t>
              <w:br/>
              <w:t xml:space="preserve"> -&gt; domain/legal reviewer resolves ambiguities -&gt; sandbox simulations</w:t>
              <w:br/>
              <w:t xml:space="preserve"> -&gt; security/accessibility/integration checks -&gt; maker-checker publish</w:t>
              <w:br/>
              <w:t xml:space="preserve"> -&gt; telemetry/feedback informs next version (never edits published version in place)</w:t>
            </w:r>
          </w:p>
        </w:tc>
      </w:tr>
    </w:tbl>
    <w:p>
      <w:pPr>
        <w:spacing w:after="0"/>
      </w:pPr>
    </w:p>
    <w:p>
      <w:pPr>
        <w:pStyle w:val="Heading1"/>
      </w:pPr>
      <w:r>
        <w:t>28. Analytics and Governance</w:t>
      </w:r>
    </w:p>
    <w:p>
      <w:pPr>
        <w:pStyle w:val="Heading2"/>
      </w:pPr>
      <w:r>
        <w:t>28.1 Operational dashboards</w:t>
      </w:r>
    </w:p>
    <w:p>
      <w:pPr>
        <w:pStyle w:val="ListBullet"/>
      </w:pPr>
      <w:r>
        <w:t>Applications received/disposed/pending by service, office, jurisdiction and age bucket</w:t>
      </w:r>
    </w:p>
    <w:p>
      <w:pPr>
        <w:pStyle w:val="ListBullet"/>
      </w:pPr>
      <w:r>
        <w:t>SLA due-soon/breached and bottleneck workflow node</w:t>
      </w:r>
    </w:p>
    <w:p>
      <w:pPr>
        <w:pStyle w:val="ListBullet"/>
      </w:pPr>
      <w:r>
        <w:t>Median/P95 processing time and citizen wait time</w:t>
      </w:r>
    </w:p>
    <w:p>
      <w:pPr>
        <w:pStyle w:val="ListBullet"/>
      </w:pPr>
      <w:r>
        <w:t>Clarification loop rate and top missing-evidence reasons</w:t>
      </w:r>
    </w:p>
    <w:p>
      <w:pPr>
        <w:pStyle w:val="ListBullet"/>
      </w:pPr>
      <w:r>
        <w:t>Approval/rejection by reason code; monitor for process anomalies without automated discrimination</w:t>
      </w:r>
    </w:p>
    <w:p>
      <w:pPr>
        <w:pStyle w:val="ListBullet"/>
      </w:pPr>
      <w:r>
        <w:t>Payment success/reconciliation exceptions</w:t>
      </w:r>
    </w:p>
    <w:p>
      <w:pPr>
        <w:pStyle w:val="ListBullet"/>
      </w:pPr>
      <w:r>
        <w:t>Integration availability and error rate</w:t>
      </w:r>
    </w:p>
    <w:p>
      <w:pPr>
        <w:pStyle w:val="ListBullet"/>
      </w:pPr>
      <w:r>
        <w:t>Form abandonment, field-error heatmap and accessibility issues</w:t>
      </w:r>
    </w:p>
    <w:p>
      <w:pPr>
        <w:pStyle w:val="ListBullet"/>
      </w:pPr>
      <w:r>
        <w:t>Citizen feedback and grievance themes</w:t>
      </w:r>
    </w:p>
    <w:p>
      <w:pPr>
        <w:pStyle w:val="ListBullet"/>
      </w:pPr>
      <w:r>
        <w:t>AI usage, grounding quality, cost and escalation-to-human rate</w:t>
      </w:r>
    </w:p>
    <w:p>
      <w:pPr>
        <w:pStyle w:val="Heading2"/>
      </w:pPr>
      <w:r>
        <w:t>28.2 Governance boards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vAlign w:val="center"/>
            <w:tcMar>
              <w:top w:w="100" w:type="dxa"/>
              <w:start w:w="120" w:type="dxa"/>
              <w:bottom w:w="100" w:type="dxa"/>
              <w:end w:w="120" w:type="dxa"/>
            </w:tcMar>
            <w:shd w:fill="1F4E78"/>
          </w:tcPr>
          <w:p>
            <w:pPr>
              <w:spacing w:after="0" w:before="0"/>
              <w:jc w:val="center"/>
            </w:pPr>
            <w:r/>
            <w:r>
              <w:rPr>
                <w:rFonts w:ascii="Aptos" w:hAnsi="Aptos"/>
                <w:b/>
                <w:color w:val="FFFFFF"/>
                <w:sz w:val="17"/>
              </w:rPr>
              <w:t>Governance function</w:t>
            </w:r>
          </w:p>
        </w:tc>
        <w:tc>
          <w:tcPr>
            <w:tcW w:type="dxa" w:w="7056"/>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Accountability</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Service Governance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Owns canonical taxonomy, service authoring standards and duplication control.</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Architecture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Approves platform capabilities, ADRs, integrations and data boundaries.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Privacy &amp; Security</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Reviews high-risk services, retention, identity, data sharing and AI controls.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AI Governance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Approves agent capabilities, models, evaluation thresholds and tool permissions.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Operations/SRE</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Owns SLOs, capacity, incident process and DR rehearsals.</w:t>
            </w:r>
          </w:p>
        </w:tc>
      </w:tr>
      <w:tr>
        <w:trPr>
          <w:cantSplit/>
        </w:trPr>
        <w:tc>
          <w:tcPr>
            <w:tcW w:type="dxa" w:w="2592"/>
            <w:vAlign w:val="center"/>
            <w:tcMar>
              <w:top w:w="100" w:type="dxa"/>
              <w:start w:w="120" w:type="dxa"/>
              <w:bottom w:w="100" w:type="dxa"/>
              <w:end w:w="120" w:type="dxa"/>
            </w:tcMar>
          </w:tcPr>
          <w:p>
            <w:pPr>
              <w:spacing w:after="0" w:before="0"/>
              <w:jc w:val="left"/>
            </w:pPr>
            <w:r/>
            <w:r>
              <w:rPr>
                <w:rFonts w:ascii="Aptos" w:hAnsi="Aptos"/>
                <w:b w:val="0"/>
                <w:color w:val="222222"/>
                <w:sz w:val="16"/>
              </w:rPr>
              <w:t>Tenant/Department</w:t>
            </w:r>
          </w:p>
        </w:tc>
        <w:tc>
          <w:tcPr>
            <w:tcW w:type="dxa" w:w="7056"/>
            <w:vAlign w:val="center"/>
            <w:tcMar>
              <w:top w:w="100" w:type="dxa"/>
              <w:start w:w="120" w:type="dxa"/>
              <w:bottom w:w="100" w:type="dxa"/>
              <w:end w:w="120" w:type="dxa"/>
            </w:tcMar>
          </w:tcPr>
          <w:p>
            <w:pPr>
              <w:spacing w:after="0" w:before="0"/>
              <w:jc w:val="left"/>
            </w:pPr>
            <w:r/>
            <w:r>
              <w:rPr>
                <w:rFonts w:ascii="Aptos" w:hAnsi="Aptos"/>
                <w:b w:val="0"/>
                <w:color w:val="222222"/>
                <w:sz w:val="16"/>
              </w:rPr>
              <w:t>Owns statutory correctness, workflow authority, content, SLAs and publishing approvals.</w:t>
            </w:r>
          </w:p>
        </w:tc>
      </w:tr>
    </w:tbl>
    <w:p>
      <w:pPr>
        <w:spacing w:after="0"/>
      </w:pPr>
    </w:p>
    <w:p>
      <w:pPr>
        <w:pStyle w:val="Heading1"/>
      </w:pPr>
      <w:r>
        <w:t>29. Implementation Roadmap</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vAlign w:val="center"/>
            <w:tcMar>
              <w:top w:w="100" w:type="dxa"/>
              <w:start w:w="120" w:type="dxa"/>
              <w:bottom w:w="100" w:type="dxa"/>
              <w:end w:w="120" w:type="dxa"/>
            </w:tcMar>
            <w:shd w:fill="1F4E78"/>
          </w:tcPr>
          <w:p>
            <w:pPr>
              <w:spacing w:after="0" w:before="0"/>
              <w:jc w:val="center"/>
            </w:pPr>
            <w:r/>
            <w:r>
              <w:rPr>
                <w:rFonts w:ascii="Aptos" w:hAnsi="Aptos"/>
                <w:b/>
                <w:color w:val="FFFFFF"/>
                <w:sz w:val="17"/>
              </w:rPr>
              <w:t>Phase</w:t>
            </w:r>
          </w:p>
        </w:tc>
        <w:tc>
          <w:tcPr>
            <w:tcW w:type="dxa" w:w="4896"/>
            <w:vAlign w:val="center"/>
            <w:tcMar>
              <w:top w:w="100" w:type="dxa"/>
              <w:start w:w="120" w:type="dxa"/>
              <w:bottom w:w="100" w:type="dxa"/>
              <w:end w:w="120" w:type="dxa"/>
            </w:tcMar>
            <w:shd w:fill="1F4E78"/>
          </w:tcPr>
          <w:p>
            <w:pPr>
              <w:spacing w:after="0" w:before="0"/>
              <w:jc w:val="center"/>
            </w:pPr>
            <w:r/>
            <w:r>
              <w:rPr>
                <w:rFonts w:ascii="Aptos" w:hAnsi="Aptos"/>
                <w:b/>
                <w:color w:val="FFFFFF"/>
                <w:sz w:val="17"/>
              </w:rPr>
              <w:t>Scope</w:t>
            </w:r>
          </w:p>
        </w:tc>
        <w:tc>
          <w:tcPr>
            <w:tcW w:type="dxa" w:w="3024"/>
            <w:vAlign w:val="center"/>
            <w:tcMar>
              <w:top w:w="100" w:type="dxa"/>
              <w:start w:w="120" w:type="dxa"/>
              <w:bottom w:w="100" w:type="dxa"/>
              <w:end w:w="120" w:type="dxa"/>
            </w:tcMar>
            <w:shd w:fill="1F4E78"/>
          </w:tcPr>
          <w:p>
            <w:pPr>
              <w:spacing w:after="0" w:before="0"/>
              <w:jc w:val="center"/>
            </w:pPr>
            <w:r/>
            <w:r>
              <w:rPr>
                <w:rFonts w:ascii="Aptos" w:hAnsi="Aptos"/>
                <w:b/>
                <w:color w:val="FFFFFF"/>
                <w:sz w:val="17"/>
              </w:rPr>
              <w:t>Exit criterion</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0 - Foundation</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Tenant/org/jurisdiction/IAM, repo/CI/CD, observability, design system, API standards, audit, secrets/KMS.</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Platform can create isolated tenants and authenticated admin/citizen shells.</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1 - Service Runtime MVP</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Canonical registry, offering authoring, form engine, rules, application/draft, basic workflow/tasks, notifications.</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10-20 representative services across district/ULB/panchayat run end-to-end in sandbox.</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2 - Credentials &amp; Integrations</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DigiLocker/API Setu adapters, payment/eSign, credential/QR/status, evidence service, search.</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Production pilot with signed outputs and external integration resilience.</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3 - Personalization &amp; Assisted</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Progressive profile, consent/delegation, life events, recommendations, CSC/assisted flows, multilingual.</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Citizen “My Government” experience with explainable recommendations.</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4 - AI Authoring &amp; Copilots</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Grounded service designer, form/workflow/test agents, citizen and caseworker copilots.</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AI-generated artifacts pass evaluation and human publish gates.</w:t>
            </w:r>
          </w:p>
        </w:tc>
      </w:tr>
      <w:tr>
        <w:trPr>
          <w:cantSplit/>
        </w:trPr>
        <w:tc>
          <w:tcPr>
            <w:tcW w:type="dxa" w:w="2016"/>
            <w:vAlign w:val="center"/>
            <w:tcMar>
              <w:top w:w="100" w:type="dxa"/>
              <w:start w:w="120" w:type="dxa"/>
              <w:bottom w:w="100" w:type="dxa"/>
              <w:end w:w="120" w:type="dxa"/>
            </w:tcMar>
          </w:tcPr>
          <w:p>
            <w:pPr>
              <w:spacing w:after="0" w:before="0"/>
              <w:jc w:val="left"/>
            </w:pPr>
            <w:r/>
            <w:r>
              <w:rPr>
                <w:rFonts w:ascii="Aptos" w:hAnsi="Aptos"/>
                <w:b w:val="0"/>
                <w:color w:val="222222"/>
                <w:sz w:val="15"/>
              </w:rPr>
              <w:t>Phase 5 - National Scale</w:t>
            </w:r>
          </w:p>
        </w:tc>
        <w:tc>
          <w:tcPr>
            <w:tcW w:type="dxa" w:w="4896"/>
            <w:vAlign w:val="center"/>
            <w:tcMar>
              <w:top w:w="100" w:type="dxa"/>
              <w:start w:w="120" w:type="dxa"/>
              <w:bottom w:w="100" w:type="dxa"/>
              <w:end w:w="120" w:type="dxa"/>
            </w:tcMar>
          </w:tcPr>
          <w:p>
            <w:pPr>
              <w:spacing w:after="0" w:before="0"/>
              <w:jc w:val="left"/>
            </w:pPr>
            <w:r/>
            <w:r>
              <w:rPr>
                <w:rFonts w:ascii="Aptos" w:hAnsi="Aptos"/>
                <w:b w:val="0"/>
                <w:color w:val="222222"/>
                <w:sz w:val="15"/>
              </w:rPr>
              <w:t>Cell-based deployment, tenant migration, cross-tenant aggregate analytics, DR scale, thousands of service aliases.</w:t>
            </w:r>
          </w:p>
        </w:tc>
        <w:tc>
          <w:tcPr>
            <w:tcW w:type="dxa" w:w="3024"/>
            <w:vAlign w:val="center"/>
            <w:tcMar>
              <w:top w:w="100" w:type="dxa"/>
              <w:start w:w="120" w:type="dxa"/>
              <w:bottom w:w="100" w:type="dxa"/>
              <w:end w:w="120" w:type="dxa"/>
            </w:tcMar>
          </w:tcPr>
          <w:p>
            <w:pPr>
              <w:spacing w:after="0" w:before="0"/>
              <w:jc w:val="left"/>
            </w:pPr>
            <w:r/>
            <w:r>
              <w:rPr>
                <w:rFonts w:ascii="Aptos" w:hAnsi="Aptos"/>
                <w:b w:val="0"/>
                <w:color w:val="222222"/>
                <w:sz w:val="15"/>
              </w:rPr>
              <w:t>Measured capacity, isolation and recovery targets demonstrated under national-scale tests.</w:t>
            </w:r>
          </w:p>
        </w:tc>
      </w:tr>
    </w:tbl>
    <w:p>
      <w:pPr>
        <w:spacing w:after="0"/>
      </w:pPr>
    </w:p>
    <w:p>
      <w:pPr>
        <w:pStyle w:val="Heading2"/>
      </w:pPr>
      <w:r>
        <w:t>29.1 Recommended first 20 pilot services</w:t>
      </w:r>
    </w:p>
    <w:p>
      <w:r>
        <w:t>Select services to exercise different workflow patterns rather than only high-volume certificates: birth/death record access, residence, income, caste/community, legal heir/surviving member, marriage registration/certificate, property mutation, building permission, trade licence, water connection, grievance, pension/social benefit, scholarship, farmer certificate, disability-related service, police clearance, local-body NOC, certificate correction and one service requiring inspection/payment/appeal. This validates the platform abstractions before mass migration.</w:t>
      </w:r>
    </w:p>
    <w:p>
      <w:pPr>
        <w:pStyle w:val="Heading1"/>
      </w:pPr>
      <w:r>
        <w:t>30. AI Coding Agent Build Contract</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FF3E0"/>
            <w:tcMar>
              <w:top w:w="140" w:type="dxa"/>
              <w:start w:w="170" w:type="dxa"/>
              <w:bottom w:w="140" w:type="dxa"/>
              <w:end w:w="170" w:type="dxa"/>
            </w:tcMar>
          </w:tcPr>
          <w:p>
            <w:r/>
            <w:r>
              <w:rPr>
                <w:b/>
                <w:color w:val="17365D"/>
                <w:sz w:val="21"/>
              </w:rPr>
              <w:t>Instruction to coding agents</w:t>
              <w:br/>
            </w:r>
            <w:r>
              <w:rPr>
                <w:sz w:val="19"/>
              </w:rPr>
              <w:t>Implement only against explicit requirement IDs, schemas, ADRs and acceptance tests. When a rule or authority is ambiguous, create a configuration TODO/blocking question; do not invent government policy.</w:t>
            </w:r>
          </w:p>
        </w:tc>
      </w:tr>
    </w:tbl>
    <w:p>
      <w:pPr>
        <w:spacing w:after="0"/>
      </w:pPr>
    </w:p>
    <w:p>
      <w:pPr>
        <w:pStyle w:val="Heading2"/>
      </w:pPr>
      <w:r>
        <w:t>30.1 Repository structure</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/apps</w:t>
              <w:br/>
              <w:t xml:space="preserve">  /citizen-web          # Next.js</w:t>
              <w:br/>
              <w:t xml:space="preserve">  /admin-web            # Next.js</w:t>
              <w:br/>
              <w:t xml:space="preserve">  /mobile               # Flutter</w:t>
              <w:br/>
              <w:t>/services</w:t>
              <w:br/>
              <w:t xml:space="preserve">  /api                   # Fastify BFF/domain APIs</w:t>
              <w:br/>
              <w:t xml:space="preserve">  /workflow-worker</w:t>
              <w:br/>
              <w:t xml:space="preserve">  /integration-worker</w:t>
              <w:br/>
              <w:t xml:space="preserve">  /document-credential</w:t>
              <w:br/>
              <w:t xml:space="preserve">  /ai-gateway</w:t>
              <w:br/>
              <w:t>/packages</w:t>
              <w:br/>
              <w:t xml:space="preserve">  /contracts             # OpenAPI, JSON Schema, event schemas</w:t>
              <w:br/>
              <w:t xml:space="preserve">  /domain                # shared domain types/value objects</w:t>
              <w:br/>
              <w:t xml:space="preserve">  /ui                    # accessible design system</w:t>
              <w:br/>
              <w:t xml:space="preserve">  /rules                 # deterministic rule DSL/runtime</w:t>
              <w:br/>
              <w:t xml:space="preserve">  /observability</w:t>
              <w:br/>
              <w:t>/infra                    # IaC / deployment / policy</w:t>
              <w:br/>
              <w:t>/specs                    # ADRs, threat models, service schemas, test vectors</w:t>
              <w:br/>
              <w:t>/tests                    # contract, e2e, tenant-isolation, performance, security</w:t>
            </w:r>
          </w:p>
        </w:tc>
      </w:tr>
    </w:tbl>
    <w:p>
      <w:pPr>
        <w:spacing w:after="0"/>
      </w:pPr>
    </w:p>
    <w:p>
      <w:pPr>
        <w:pStyle w:val="Heading2"/>
      </w:pPr>
      <w:r>
        <w:t>30.2 Mandatory agent loop</w:t>
      </w:r>
    </w:p>
    <w:p>
      <w:pPr>
        <w:ind w:left="317" w:hanging="259"/>
      </w:pPr>
      <w:r>
        <w:rPr>
          <w:b/>
        </w:rPr>
        <w:t xml:space="preserve">1. </w:t>
      </w:r>
      <w:r>
        <w:t>Read the requirement IDs and related schema/ADR before changing code.</w:t>
      </w:r>
    </w:p>
    <w:p>
      <w:pPr>
        <w:ind w:left="317" w:hanging="259"/>
      </w:pPr>
      <w:r>
        <w:rPr>
          <w:b/>
        </w:rPr>
        <w:t xml:space="preserve">2. </w:t>
      </w:r>
      <w:r>
        <w:t>Write/update tests first for behavior, tenancy and authorization.</w:t>
      </w:r>
    </w:p>
    <w:p>
      <w:pPr>
        <w:ind w:left="317" w:hanging="259"/>
      </w:pPr>
      <w:r>
        <w:rPr>
          <w:b/>
        </w:rPr>
        <w:t xml:space="preserve">3. </w:t>
      </w:r>
      <w:r>
        <w:t>Implement the smallest reusable domain capability; do not special-case a named service in code.</w:t>
      </w:r>
    </w:p>
    <w:p>
      <w:pPr>
        <w:ind w:left="317" w:hanging="259"/>
      </w:pPr>
      <w:r>
        <w:rPr>
          <w:b/>
        </w:rPr>
        <w:t xml:space="preserve">4. </w:t>
      </w:r>
      <w:r>
        <w:t>Run unit, integration, contract, tenant-isolation, lint/type and security checks.</w:t>
      </w:r>
    </w:p>
    <w:p>
      <w:pPr>
        <w:ind w:left="317" w:hanging="259"/>
      </w:pPr>
      <w:r>
        <w:rPr>
          <w:b/>
        </w:rPr>
        <w:t xml:space="preserve">5. </w:t>
      </w:r>
      <w:r>
        <w:t>Generate/update OpenAPI/event/schema artifacts and migration.</w:t>
      </w:r>
    </w:p>
    <w:p>
      <w:pPr>
        <w:ind w:left="317" w:hanging="259"/>
      </w:pPr>
      <w:r>
        <w:rPr>
          <w:b/>
        </w:rPr>
        <w:t xml:space="preserve">6. </w:t>
      </w:r>
      <w:r>
        <w:t>Verify telemetry and error behavior.</w:t>
      </w:r>
    </w:p>
    <w:p>
      <w:pPr>
        <w:ind w:left="317" w:hanging="259"/>
      </w:pPr>
      <w:r>
        <w:rPr>
          <w:b/>
        </w:rPr>
        <w:t xml:space="preserve">7. </w:t>
      </w:r>
      <w:r>
        <w:t>Human reviewer approves merge; production release passes automated gates.</w:t>
      </w:r>
    </w:p>
    <w:p>
      <w:pPr>
        <w:pStyle w:val="Heading2"/>
      </w:pPr>
      <w:r>
        <w:t>30.3 Prohibited implementation shortcuts</w:t>
      </w:r>
    </w:p>
    <w:p>
      <w:pPr>
        <w:pStyle w:val="ListBullet"/>
      </w:pPr>
      <w:r>
        <w:t>Hard-coded state/district/department names in business logic</w:t>
      </w:r>
    </w:p>
    <w:p>
      <w:pPr>
        <w:pStyle w:val="ListBullet"/>
      </w:pPr>
      <w:r>
        <w:t>Hard-coded named officer assignments</w:t>
      </w:r>
    </w:p>
    <w:p>
      <w:pPr>
        <w:pStyle w:val="ListBullet"/>
      </w:pPr>
      <w:r>
        <w:t>One database table per service</w:t>
      </w:r>
    </w:p>
    <w:p>
      <w:pPr>
        <w:pStyle w:val="ListBullet"/>
      </w:pPr>
      <w:r>
        <w:t>Unversioned editable published forms/workflows</w:t>
      </w:r>
    </w:p>
    <w:p>
      <w:pPr>
        <w:pStyle w:val="ListBullet"/>
      </w:pPr>
      <w:r>
        <w:t>Client-only validation</w:t>
      </w:r>
    </w:p>
    <w:p>
      <w:pPr>
        <w:pStyle w:val="ListBullet"/>
      </w:pPr>
      <w:r>
        <w:t>Direct service-to-service database access</w:t>
      </w:r>
    </w:p>
    <w:p>
      <w:pPr>
        <w:pStyle w:val="ListBullet"/>
      </w:pPr>
      <w:r>
        <w:t>Cross-tenant admin queries without explicit privileged boundary</w:t>
      </w:r>
    </w:p>
    <w:p>
      <w:pPr>
        <w:pStyle w:val="ListBullet"/>
      </w:pPr>
      <w:r>
        <w:t>Raw PII in logs/traces/prompts</w:t>
      </w:r>
    </w:p>
    <w:p>
      <w:pPr>
        <w:pStyle w:val="ListBullet"/>
      </w:pPr>
      <w:r>
        <w:t>LLM-generated eligibility/approval result without deterministic rule execution</w:t>
      </w:r>
    </w:p>
    <w:p>
      <w:pPr>
        <w:pStyle w:val="ListBullet"/>
      </w:pPr>
      <w:r>
        <w:t>Synchronous coupling to every external government system in the citizen request path</w:t>
      </w:r>
    </w:p>
    <w:p>
      <w:pPr>
        <w:pStyle w:val="Heading1"/>
      </w:pPr>
      <w:r>
        <w:t>31. Acceptance Test Matrix</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vAlign w:val="center"/>
            <w:tcMar>
              <w:top w:w="100" w:type="dxa"/>
              <w:start w:w="120" w:type="dxa"/>
              <w:bottom w:w="100" w:type="dxa"/>
              <w:end w:w="120" w:type="dxa"/>
            </w:tcMar>
            <w:shd w:fill="1F4E78"/>
          </w:tcPr>
          <w:p>
            <w:pPr>
              <w:spacing w:after="0" w:before="0"/>
              <w:jc w:val="center"/>
            </w:pPr>
            <w:r/>
            <w:r>
              <w:rPr>
                <w:rFonts w:ascii="Aptos" w:hAnsi="Aptos"/>
                <w:b/>
                <w:color w:val="FFFFFF"/>
                <w:sz w:val="17"/>
              </w:rPr>
              <w:t>Test family</w:t>
            </w:r>
          </w:p>
        </w:tc>
        <w:tc>
          <w:tcPr>
            <w:tcW w:type="dxa" w:w="7344"/>
            <w:vAlign w:val="center"/>
            <w:tcMar>
              <w:top w:w="100" w:type="dxa"/>
              <w:start w:w="120" w:type="dxa"/>
              <w:bottom w:w="100" w:type="dxa"/>
              <w:end w:w="120" w:type="dxa"/>
            </w:tcMar>
            <w:shd w:fill="1F4E78"/>
          </w:tcPr>
          <w:p>
            <w:pPr>
              <w:spacing w:after="0" w:before="0"/>
              <w:jc w:val="center"/>
            </w:pPr>
            <w:r/>
            <w:r>
              <w:rPr>
                <w:rFonts w:ascii="Aptos" w:hAnsi="Aptos"/>
                <w:b/>
                <w:color w:val="FFFFFF"/>
                <w:sz w:val="17"/>
              </w:rPr>
              <w:t>Acceptance scenario</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Tenant isolation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Create identical IDs/queries across two tenants; prove no endpoint, search, cache, document URL, event or AI retrieval crosses boundary.</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Jurisdiction</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Same canonical service has district and ULB offerings; correct provider resolves by applicant location.</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Version pinning</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Publish v2 while v1 applications are in-flight; v1 continues unchanged unless migrated.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Rule explainability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Every eligibility failure returns reason code and source-linked explanation.</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Form accessibility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Keyboard-only, screen reader, zoom/reflow, error recovery and language switch pass.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Workflow concurrency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Two officials attempt same task; lease/version control prevents double completion.</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Integration idempotency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Retry payment/signing/API task; external effect occurs once.</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Outage resilience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DigiLocker/payment/integration outage does not corrupt application; async retry and citizen messaging work.</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Credential integrity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Alter PDF/payload; verification detects mismatch or invalid signature/status.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Consent withdrawal</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Withdraw reusable-profile consent; future prefill/API retrieval stops while lawful historical case record remains.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AI grounding</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Adversarial prompt asks agent to invent a rule; agent refuses and requests/source-grounding rather than fabricate.</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DR restore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Restore database/object storage/key access to declared RPO/RTO and run transactional smoke tests.</w:t>
            </w:r>
          </w:p>
        </w:tc>
      </w:tr>
    </w:tbl>
    <w:p>
      <w:pPr>
        <w:spacing w:after="0"/>
      </w:pPr>
    </w:p>
    <w:p>
      <w:pPr>
        <w:pStyle w:val="Heading1"/>
      </w:pPr>
      <w:r>
        <w:t>32. Service Definition - Complete Manifest Skeleton</w:t>
      </w:r>
    </w:p>
    <w:tbl>
      <w:tblPr>
        <w:tblW w:type="auto" w:w="0"/>
        <w:tblLook w:firstColumn="1" w:firstRow="1" w:lastColumn="0" w:lastRow="0" w:noHBand="0" w:noVBand="1" w:val="04A0"/>
      </w:tblPr>
      <w:tblGrid>
        <w:gridCol w:w="10080"/>
      </w:tblGrid>
      <w:tr>
        <w:trPr>
          <w:tblHeader w:val="true"/>
          <w:cantSplit/>
        </w:trPr>
        <w:tc>
          <w:tcPr>
            <w:tcW w:type="dxa" w:w="10080"/>
            <w:shd w:fill="F3F3F3"/>
            <w:tcMar>
              <w:top w:w="120" w:type="dxa"/>
              <w:start w:w="140" w:type="dxa"/>
              <w:bottom w:w="120" w:type="dxa"/>
              <w:end w:w="140" w:type="dxa"/>
            </w:tcMar>
          </w:tcPr>
          <w:p>
            <w:pPr>
              <w:pStyle w:val="CodeBlock"/>
            </w:pPr>
            <w:r/>
            <w:r>
              <w:t>serviceOffering:</w:t>
              <w:br/>
              <w:t xml:space="preserve">  id: &lt;stable-local-id&gt;</w:t>
              <w:br/>
              <w:t xml:space="preserve">  canonicalServiceId: &lt;IND-...&gt;</w:t>
              <w:br/>
              <w:t xml:space="preserve">  tenantId: &lt;uuid&gt;</w:t>
              <w:br/>
              <w:t xml:space="preserve">  localName: &lt;official name&gt;</w:t>
              <w:br/>
              <w:t xml:space="preserve">  ownerOrganizationId: &lt;uuid&gt;</w:t>
              <w:br/>
              <w:t xml:space="preserve">  providerBinding:</w:t>
              <w:br/>
              <w:t xml:space="preserve">    officeSelector: &lt;expression&gt;</w:t>
              <w:br/>
              <w:t xml:space="preserve">    jurisdictionSelector: &lt;expression&gt;</w:t>
              <w:br/>
              <w:t xml:space="preserve">  channels: [WEB, MOBILE, ASSISTED, API]</w:t>
              <w:br/>
              <w:t xml:space="preserve">  identityPolicy: &lt;policy-id&gt;</w:t>
              <w:br/>
              <w:t xml:space="preserve">  profileReusePolicy: &lt;policy-id&gt;</w:t>
              <w:br/>
              <w:t xml:space="preserve">  eligibilityRuleSet: &lt;version-id&gt;</w:t>
              <w:br/>
              <w:t xml:space="preserve">  form: &lt;version-id&gt;</w:t>
              <w:br/>
              <w:t xml:space="preserve">  evidencePolicy: &lt;version-id&gt;</w:t>
              <w:br/>
              <w:t xml:space="preserve">  feeSchedule: &lt;version-id&gt;</w:t>
              <w:br/>
              <w:t xml:space="preserve">  workflow: &lt;version-id&gt;</w:t>
              <w:br/>
              <w:t xml:space="preserve">  slaPolicy: &lt;version-id&gt;</w:t>
              <w:br/>
              <w:t xml:space="preserve">  notificationPolicy: &lt;version-id&gt;</w:t>
              <w:br/>
              <w:t xml:space="preserve">  integrations: [&lt;connector bindings&gt;]</w:t>
              <w:br/>
              <w:t xml:space="preserve">  output:</w:t>
              <w:br/>
              <w:t xml:space="preserve">    outcomeType: CERTIFICATE | LICENCE | BENEFIT | PERMISSION | RECORD | TRANSACTION</w:t>
              <w:br/>
              <w:t xml:space="preserve">    template: &lt;version-id&gt;</w:t>
              <w:br/>
              <w:t xml:space="preserve">    digitalSignature: true</w:t>
              <w:br/>
              <w:t xml:space="preserve">    qrVerification: true</w:t>
              <w:br/>
              <w:t xml:space="preserve">    digilocker: &lt;issuer-config-or-null&gt;</w:t>
              <w:br/>
              <w:t xml:space="preserve">    verifiableCredential: &lt;profile-or-null&gt;</w:t>
              <w:br/>
              <w:t xml:space="preserve">  privacy:</w:t>
              <w:br/>
              <w:t xml:space="preserve">    purposeNotice: &lt;version-id&gt;</w:t>
              <w:br/>
              <w:t xml:space="preserve">    retentionPolicy: &lt;policy-id&gt;</w:t>
              <w:br/>
              <w:t xml:space="preserve">  effectiveFrom: &lt;timestamp&gt;</w:t>
              <w:br/>
              <w:t xml:space="preserve">  effectiveUntil: &lt;optional timestamp&gt;</w:t>
              <w:br/>
              <w:t xml:space="preserve">  publication:</w:t>
              <w:br/>
              <w:t xml:space="preserve">    maker: &lt;actor&gt;</w:t>
              <w:br/>
              <w:t xml:space="preserve">    checker: &lt;actor&gt;</w:t>
              <w:br/>
              <w:t xml:space="preserve">    approvedAt: &lt;timestamp&gt;</w:t>
              <w:br/>
              <w:t xml:space="preserve">    dependencyHashes: {...}</w:t>
            </w:r>
          </w:p>
        </w:tc>
      </w:tr>
    </w:tbl>
    <w:p>
      <w:pPr>
        <w:spacing w:after="0"/>
      </w:pPr>
    </w:p>
    <w:p>
      <w:pPr>
        <w:pStyle w:val="Heading1"/>
      </w:pPr>
      <w:r>
        <w:t>33. Reference Standards and Source Basis</w:t>
      </w:r>
    </w:p>
    <w:p>
      <w:r>
        <w:t>The following sources ground external/public standards and ecosystem assumptions used in this specification. Product-specific requirements in this document remain proposed architecture until adopted by the competent organization.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736"/>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Reference</w:t>
            </w:r>
          </w:p>
        </w:tc>
        <w:tc>
          <w:tcPr>
            <w:tcW w:type="dxa" w:w="4176"/>
            <w:vAlign w:val="center"/>
            <w:tcMar>
              <w:top w:w="100" w:type="dxa"/>
              <w:start w:w="120" w:type="dxa"/>
              <w:bottom w:w="100" w:type="dxa"/>
              <w:end w:w="120" w:type="dxa"/>
            </w:tcMar>
            <w:shd w:fill="1F4E78"/>
          </w:tcPr>
          <w:p>
            <w:pPr>
              <w:spacing w:after="0" w:before="0"/>
              <w:jc w:val="center"/>
            </w:pPr>
            <w:r/>
            <w:r>
              <w:rPr>
                <w:rFonts w:ascii="Aptos" w:hAnsi="Aptos"/>
                <w:b/>
                <w:color w:val="FFFFFF"/>
                <w:sz w:val="17"/>
              </w:rPr>
              <w:t>URL</w:t>
            </w:r>
          </w:p>
        </w:tc>
        <w:tc>
          <w:tcPr>
            <w:tcW w:type="dxa" w:w="2880"/>
            <w:vAlign w:val="center"/>
            <w:tcMar>
              <w:top w:w="100" w:type="dxa"/>
              <w:start w:w="120" w:type="dxa"/>
              <w:bottom w:w="100" w:type="dxa"/>
              <w:end w:w="120" w:type="dxa"/>
            </w:tcMar>
            <w:shd w:fill="1F4E78"/>
          </w:tcPr>
          <w:p>
            <w:pPr>
              <w:spacing w:after="0" w:before="0"/>
              <w:jc w:val="center"/>
            </w:pPr>
            <w:r/>
            <w:r>
              <w:rPr>
                <w:rFonts w:ascii="Aptos" w:hAnsi="Aptos"/>
                <w:b/>
                <w:color w:val="FFFFFF"/>
                <w:sz w:val="17"/>
              </w:rPr>
              <w:t>Use in this specification</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[S1] ServicePlus national portal</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https://serviceonline.gov.in/</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Metadata-based LCNC service delivery, national service counts, profile-based eligibility and service journey.</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[S2] NIC ServicePlus feature overview</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https://informaticsweb.nic.in/sites/default/files/servicePlus.pdf</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Form designer, process flow designer and configurable service processing.</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[S3] API Setu overview</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https://docs.apisetu.gov.in/document-central/explore-apisetu/Overview.html</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Unified API marketplace/publisher-consumer model and monitoring.</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[S4] API Setu introduction / Open API policy</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https://docs.apisetu.gov.in/document-central/explore-apisetu/Introduction.html</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API-first, interoperable and secure exchange across government systems.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[S5] MeitY DPDP Rules 2025 page</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https://www.meity.gov.in/documents/act-and-policies/digital-personal-data-protection-rules-2025-gDOxUjMtQWa?pageTitle=Digit</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Official publication page for DPDP Rules 2025 and enforcement timeline.</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[S6] GIGW 3.0</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https://guidelines.india.gov.in/</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Government website/app quality, accessibility, cybersecurity and lifecycle guidance; WCAG 2.1 AA baseline.</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[S7] GOV.UK Service Standard</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https://www.gov.uk/service-manual/service-standard</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Whole-user-problem, joined-up, accessible, secure and reliable service principles.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[S8] Singapore LifeSG</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https://www.life.gov.sg/about-us</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Citizen-centric personalization and anticipation of relevant government services.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[S9] Login.gov</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https://www.login.gov/about-us/</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Single secure public account across participating government websites.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[S10] European Digital Identity</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https://commission.europa.eu/topics/digital-economy-and-society/european-digital-identity_en</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User-controlled wallet, data minimization/selective sharing and interoperable credentials.</w:t>
            </w:r>
          </w:p>
        </w:tc>
      </w:tr>
      <w:tr>
        <w:trPr>
          <w:cantSplit/>
        </w:trPr>
        <w:tc>
          <w:tcPr>
            <w:tcW w:type="dxa" w:w="2736"/>
            <w:vAlign w:val="center"/>
            <w:tcMar>
              <w:top w:w="100" w:type="dxa"/>
              <w:start w:w="120" w:type="dxa"/>
              <w:bottom w:w="100" w:type="dxa"/>
              <w:end w:w="120" w:type="dxa"/>
            </w:tcMar>
          </w:tcPr>
          <w:p>
            <w:pPr>
              <w:spacing w:after="0" w:before="0"/>
              <w:jc w:val="left"/>
            </w:pPr>
            <w:r/>
            <w:r>
              <w:rPr>
                <w:rFonts w:ascii="Aptos" w:hAnsi="Aptos"/>
                <w:b w:val="0"/>
                <w:color w:val="222222"/>
                <w:sz w:val="14"/>
              </w:rPr>
              <w:t>[S11] W3C Verifiable Credentials Data Model 2.0</w:t>
            </w:r>
          </w:p>
        </w:tc>
        <w:tc>
          <w:tcPr>
            <w:tcW w:type="dxa" w:w="4176"/>
            <w:vAlign w:val="center"/>
            <w:tcMar>
              <w:top w:w="100" w:type="dxa"/>
              <w:start w:w="120" w:type="dxa"/>
              <w:bottom w:w="100" w:type="dxa"/>
              <w:end w:w="120" w:type="dxa"/>
            </w:tcMar>
          </w:tcPr>
          <w:p>
            <w:pPr>
              <w:spacing w:after="0" w:before="0"/>
              <w:jc w:val="left"/>
            </w:pPr>
            <w:r/>
            <w:r>
              <w:rPr>
                <w:rFonts w:ascii="Aptos" w:hAnsi="Aptos"/>
                <w:b w:val="0"/>
                <w:color w:val="222222"/>
                <w:sz w:val="14"/>
              </w:rPr>
              <w:t>https://www.w3.org/TR/vc-data-model-2.0/</w:t>
            </w:r>
          </w:p>
        </w:tc>
        <w:tc>
          <w:tcPr>
            <w:tcW w:type="dxa" w:w="2880"/>
            <w:vAlign w:val="center"/>
            <w:tcMar>
              <w:top w:w="100" w:type="dxa"/>
              <w:start w:w="120" w:type="dxa"/>
              <w:bottom w:w="100" w:type="dxa"/>
              <w:end w:w="120" w:type="dxa"/>
            </w:tcMar>
          </w:tcPr>
          <w:p>
            <w:pPr>
              <w:spacing w:after="0" w:before="0"/>
              <w:jc w:val="left"/>
            </w:pPr>
            <w:r/>
            <w:r>
              <w:rPr>
                <w:rFonts w:ascii="Aptos" w:hAnsi="Aptos"/>
                <w:b w:val="0"/>
                <w:color w:val="222222"/>
                <w:sz w:val="14"/>
              </w:rPr>
              <w:t>W3C Recommendation for machine-verifiable, privacy-respecting credentials.</w:t>
            </w:r>
          </w:p>
        </w:tc>
      </w:tr>
    </w:tbl>
    <w:p>
      <w:pPr>
        <w:spacing w:after="0"/>
      </w:pPr>
    </w:p>
    <w:p>
      <w:pPr>
        <w:pStyle w:val="Heading1"/>
      </w:pPr>
      <w:r>
        <w:t>34. Architectural Decision Topics</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1440"/>
            <w:vAlign w:val="center"/>
            <w:tcMar>
              <w:top w:w="100" w:type="dxa"/>
              <w:start w:w="120" w:type="dxa"/>
              <w:bottom w:w="100" w:type="dxa"/>
              <w:end w:w="120" w:type="dxa"/>
            </w:tcMar>
            <w:shd w:fill="1F4E78"/>
          </w:tcPr>
          <w:p>
            <w:pPr>
              <w:spacing w:after="0" w:before="0"/>
              <w:jc w:val="center"/>
            </w:pPr>
            <w:r/>
            <w:r>
              <w:rPr>
                <w:rFonts w:ascii="Aptos" w:hAnsi="Aptos"/>
                <w:b/>
                <w:color w:val="FFFFFF"/>
                <w:sz w:val="17"/>
              </w:rPr>
              <w:t>ADR</w:t>
            </w:r>
          </w:p>
        </w:tc>
        <w:tc>
          <w:tcPr>
            <w:tcW w:type="dxa" w:w="8208"/>
            <w:vAlign w:val="center"/>
            <w:tcMar>
              <w:top w:w="100" w:type="dxa"/>
              <w:start w:w="120" w:type="dxa"/>
              <w:bottom w:w="100" w:type="dxa"/>
              <w:end w:w="120" w:type="dxa"/>
            </w:tcMar>
            <w:shd w:fill="1F4E78"/>
          </w:tcPr>
          <w:p>
            <w:r>
              <w:t>Decision area</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ADR-001</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Tenant isolation tiers and cell placement policy</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ADR-002</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Official IAM/SSO and citizen federation providers</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ADR-003</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Workflow runtime implementation and durable timer strategy</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ADR-004</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Event bus/queue technology and exactly-once-effect strategy</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ADR-005</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Document storage, malware scanning and signing architecture</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ADR-006</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DigiLocker issuer/requester onboarding pattern</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ADR-007</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Payment/treasury integration pattern and reconciliation</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ADR-008</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Consent/profile claim model and retention taxonomy</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ADR-009</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Search/semantic model and Indian-language strategy</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ADR-010</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AI model gateway/providers, data-processing constraints and eval gates</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ADR-011</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Credential VC profile and revocation/status method</w:t>
            </w:r>
          </w:p>
        </w:tc>
      </w:tr>
      <w:tr>
        <w:trPr>
          <w:cantSplit/>
        </w:trPr>
        <w:tc>
          <w:tcPr>
            <w:tcW w:type="dxa" w:w="1440"/>
            <w:vAlign w:val="center"/>
            <w:tcMar>
              <w:top w:w="100" w:type="dxa"/>
              <w:start w:w="120" w:type="dxa"/>
              <w:bottom w:w="100" w:type="dxa"/>
              <w:end w:w="120" w:type="dxa"/>
            </w:tcMar>
          </w:tcPr>
          <w:p>
            <w:pPr>
              <w:spacing w:after="0" w:before="0"/>
              <w:jc w:val="left"/>
            </w:pPr>
            <w:r/>
            <w:r>
              <w:rPr>
                <w:rFonts w:ascii="Aptos" w:hAnsi="Aptos"/>
                <w:b w:val="0"/>
                <w:color w:val="222222"/>
                <w:sz w:val="16"/>
              </w:rPr>
              <w:t>ADR-012</w:t>
            </w:r>
          </w:p>
        </w:tc>
        <w:tc>
          <w:tcPr>
            <w:tcW w:type="dxa" w:w="8208"/>
            <w:vAlign w:val="center"/>
            <w:tcMar>
              <w:top w:w="100" w:type="dxa"/>
              <w:start w:w="120" w:type="dxa"/>
              <w:bottom w:w="100" w:type="dxa"/>
              <w:end w:w="120" w:type="dxa"/>
            </w:tcMar>
          </w:tcPr>
          <w:p>
            <w:pPr>
              <w:spacing w:after="0" w:before="0"/>
              <w:jc w:val="left"/>
            </w:pPr>
            <w:r/>
            <w:r>
              <w:rPr>
                <w:rFonts w:ascii="Aptos" w:hAnsi="Aptos"/>
                <w:b w:val="0"/>
                <w:color w:val="222222"/>
                <w:sz w:val="16"/>
              </w:rPr>
              <w:t>DR regions/sites, RPO/RTO tiers and key recovery</w:t>
            </w:r>
          </w:p>
        </w:tc>
      </w:tr>
    </w:tbl>
    <w:p>
      <w:pPr>
        <w:spacing w:after="0"/>
      </w:pPr>
    </w:p>
    <w:p>
      <w:pPr>
        <w:pStyle w:val="Heading1"/>
      </w:pPr>
      <w:r>
        <w:t>35. Final Build Readiness Checklist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vAlign w:val="center"/>
            <w:tcMar>
              <w:top w:w="100" w:type="dxa"/>
              <w:start w:w="120" w:type="dxa"/>
              <w:bottom w:w="100" w:type="dxa"/>
              <w:end w:w="120" w:type="dxa"/>
            </w:tcMar>
            <w:shd w:fill="1F4E78"/>
          </w:tcPr>
          <w:p>
            <w:pPr>
              <w:spacing w:after="0" w:before="0"/>
              <w:jc w:val="center"/>
            </w:pPr>
            <w:r/>
            <w:r>
              <w:rPr>
                <w:rFonts w:ascii="Aptos" w:hAnsi="Aptos"/>
                <w:b/>
                <w:color w:val="FFFFFF"/>
                <w:sz w:val="17"/>
              </w:rPr>
              <w:t>Area</w:t>
            </w:r>
          </w:p>
        </w:tc>
        <w:tc>
          <w:tcPr>
            <w:tcW w:type="dxa" w:w="7344"/>
            <w:vAlign w:val="center"/>
            <w:tcMar>
              <w:top w:w="100" w:type="dxa"/>
              <w:start w:w="120" w:type="dxa"/>
              <w:bottom w:w="100" w:type="dxa"/>
              <w:end w:w="120" w:type="dxa"/>
            </w:tcMar>
            <w:shd w:fill="1F4E78"/>
          </w:tcPr>
          <w:p>
            <w:pPr>
              <w:spacing w:after="0" w:before="0"/>
              <w:jc w:val="center"/>
            </w:pPr>
            <w:r/>
            <w:r>
              <w:rPr>
                <w:rFonts w:ascii="Aptos" w:hAnsi="Aptos"/>
                <w:b/>
                <w:color w:val="FFFFFF"/>
                <w:sz w:val="17"/>
              </w:rPr>
              <w:t>Ready when</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Product</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Actors, journeys, scope and canonical service model approved.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Policy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Pilot services have authoritative rules, source references and service owners.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Tenancy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Organization/jurisdiction models tested against at least 3 structurally different States/local bodies.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Security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Threat model, IAM, RBAC/ABAC, RLS, keys, PAM and audit design approved.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Privacy</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Data inventory, purpose/retention matrix and consent/profile policies approved.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UX</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Design system, GIGW/accessibility baseline and multilingual content process approved.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Engineering</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Repository, contracts, coding standards, CI/CD and environment strategy operational.</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Integrations</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Sandbox access and owners identified for identity, DigiLocker, payment, signing, messaging and priority APIs.</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AI</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Approved models/providers, gateway controls, source corpus, prompt registry and evaluation suite ready.</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Operations</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SLOs, on-call, dashboards, backup/restore and DR test plan approved.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Governance</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Maker-checker publishing and change-control ownership defined.</w:t>
            </w:r>
          </w:p>
        </w:tc>
      </w:tr>
      <w:tr>
        <w:trPr>
          <w:cantSplit/>
        </w:trPr>
        <w:tc>
          <w:tcPr>
            <w:tcW w:type="dxa" w:w="2304"/>
            <w:vAlign w:val="center"/>
            <w:tcMar>
              <w:top w:w="100" w:type="dxa"/>
              <w:start w:w="120" w:type="dxa"/>
              <w:bottom w:w="100" w:type="dxa"/>
              <w:end w:w="120" w:type="dxa"/>
            </w:tcMar>
          </w:tcPr>
          <w:p>
            <w:pPr>
              <w:spacing w:after="0" w:before="0"/>
              <w:jc w:val="left"/>
            </w:pPr>
            <w:r/>
            <w:r>
              <w:rPr>
                <w:rFonts w:ascii="Aptos" w:hAnsi="Aptos"/>
                <w:b w:val="0"/>
                <w:color w:val="222222"/>
                <w:sz w:val="16"/>
              </w:rPr>
              <w:t>Pilot</w:t>
            </w:r>
          </w:p>
        </w:tc>
        <w:tc>
          <w:tcPr>
            <w:tcW w:type="dxa" w:w="7344"/>
            <w:vAlign w:val="center"/>
            <w:tcMar>
              <w:top w:w="100" w:type="dxa"/>
              <w:start w:w="120" w:type="dxa"/>
              <w:bottom w:w="100" w:type="dxa"/>
              <w:end w:w="120" w:type="dxa"/>
            </w:tcMar>
          </w:tcPr>
          <w:p>
            <w:pPr>
              <w:spacing w:after="0" w:before="0"/>
              <w:jc w:val="left"/>
            </w:pPr>
            <w:r/>
            <w:r>
              <w:rPr>
                <w:rFonts w:ascii="Aptos" w:hAnsi="Aptos"/>
                <w:b w:val="0"/>
                <w:color w:val="222222"/>
                <w:sz w:val="16"/>
              </w:rPr>
              <w:t>Representative service set and success metrics selected.</w:t>
            </w:r>
          </w:p>
        </w:tc>
      </w:tr>
    </w:tbl>
    <w:p>
      <w:pPr>
        <w:spacing w:after="0"/>
      </w:pP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8F5E9"/>
            <w:tcMar>
              <w:top w:w="140" w:type="dxa"/>
              <w:start w:w="170" w:type="dxa"/>
              <w:bottom w:w="140" w:type="dxa"/>
              <w:end w:w="170" w:type="dxa"/>
            </w:tcMar>
          </w:tcPr>
          <w:p>
            <w:r/>
            <w:r>
              <w:rPr>
                <w:b/>
                <w:color w:val="17365D"/>
                <w:sz w:val="21"/>
              </w:rPr>
              <w:t>Definition of “AI-buildable”</w:t>
              <w:br/>
            </w:r>
            <w:r>
              <w:rPr>
                <w:sz w:val="19"/>
              </w:rPr>
              <w:t>An AI coding agent should be able to take one requirement ID or one service manifest, locate its API/schema/test contracts, implement or configure the capability, run deterministic validation, and produce a reviewable change. It should never need to guess a government rule, jurisdiction, approval authority or privacy basis.</w:t>
            </w:r>
          </w:p>
        </w:tc>
      </w:tr>
    </w:tbl>
    <w:p>
      <w:pPr>
        <w:spacing w:after="0"/>
      </w:pPr>
    </w:p>
    <w:p>
      <w:r>
        <w:br/>
      </w:r>
    </w:p>
    <w:p>
      <w:pPr>
        <w:pStyle w:val="Heading1"/>
        <w:keepNext/>
      </w:pPr>
      <w:r>
        <w:t>36. Architecture Constitution</w:t>
      </w:r>
    </w:p>
    <w:p>
      <w:r>
        <w:t>The Architecture Constitution is the non-negotiable contract between policy, product, engineering and AI coding agents. A pull request or generated artifact that violates a MUST rule is non-compliant even when the code compiles or a local test passes.</w:t>
      </w:r>
    </w:p>
    <w:tbl>
      <w:tblPr>
        <w:tblStyle w:val="TableGrid"/>
        <w:tblW w:type="auto" w:w="0"/>
        <w:tblLayout w:type="fixed"/>
        <w:tblLook w:firstColumn="1" w:firstRow="1" w:lastColumn="0" w:lastRow="0" w:noHBand="0" w:noVBand="1" w:val="04A0"/>
      </w:tblPr>
      <w:tblGrid>
        <w:gridCol w:w="3360"/>
        <w:gridCol w:w="3360"/>
        <w:gridCol w:w="3360"/>
      </w:tblGrid>
      <w:tr>
        <w:trPr>
          <w:tblHeader w:val="true"/>
          <w:cantSplit/>
        </w:trPr>
        <w:tc>
          <w:tcPr>
            <w:tcW w:type="dxa" w:w="1296"/>
            <w:vAlign w:val="center"/>
            <w:tcMar>
              <w:top w:w="80" w:type="dxa"/>
              <w:start w:w="100" w:type="dxa"/>
              <w:bottom w:w="80" w:type="dxa"/>
              <w:end w:w="100" w:type="dxa"/>
            </w:tcMar>
            <w:shd w:fill="17365D"/>
          </w:tcPr>
          <w:p>
            <w:pPr>
              <w:spacing w:after="40" w:before="40"/>
            </w:pPr>
            <w:r>
              <w:rPr>
                <w:b/>
                <w:color w:val="FFFFFF"/>
                <w:sz w:val="18"/>
              </w:rPr>
              <w:t>Rule</w:t>
            </w:r>
          </w:p>
        </w:tc>
        <w:tc>
          <w:tcPr>
            <w:tcW w:type="dxa" w:w="6768"/>
            <w:vAlign w:val="center"/>
            <w:tcMar>
              <w:top w:w="80" w:type="dxa"/>
              <w:start w:w="100" w:type="dxa"/>
              <w:bottom w:w="80" w:type="dxa"/>
              <w:end w:w="100" w:type="dxa"/>
            </w:tcMar>
            <w:shd w:fill="17365D"/>
          </w:tcPr>
          <w:p>
            <w:pPr>
              <w:spacing w:after="40" w:before="40"/>
            </w:pPr>
            <w:r>
              <w:rPr>
                <w:b/>
                <w:color w:val="FFFFFF"/>
                <w:sz w:val="18"/>
              </w:rPr>
              <w:t>Non-negotiable requirement</w:t>
            </w:r>
          </w:p>
        </w:tc>
        <w:tc>
          <w:tcPr>
            <w:tcW w:type="dxa" w:w="1584"/>
            <w:vAlign w:val="center"/>
            <w:tcMar>
              <w:top w:w="80" w:type="dxa"/>
              <w:start w:w="100" w:type="dxa"/>
              <w:bottom w:w="80" w:type="dxa"/>
              <w:end w:w="100" w:type="dxa"/>
            </w:tcMar>
            <w:shd w:fill="17365D"/>
          </w:tcPr>
          <w:p>
            <w:pPr>
              <w:spacing w:after="40" w:before="40"/>
            </w:pPr>
            <w:r>
              <w:rPr>
                <w:b/>
                <w:color w:val="FFFFFF"/>
                <w:sz w:val="18"/>
              </w:rPr>
              <w:t>Enforcement</w:t>
            </w:r>
          </w:p>
        </w:tc>
      </w:tr>
      <w:tr>
        <w:trPr>
          <w:cantSplit/>
        </w:trPr>
        <w:tc>
          <w:tcPr>
            <w:tcW w:type="dxa" w:w="1296"/>
            <w:vAlign w:val="center"/>
            <w:tcMar>
              <w:top w:w="80" w:type="dxa"/>
              <w:start w:w="100" w:type="dxa"/>
              <w:bottom w:w="80" w:type="dxa"/>
              <w:end w:w="100" w:type="dxa"/>
            </w:tcMar>
          </w:tcPr>
          <w:p>
            <w:pPr>
              <w:spacing w:after="40" w:before="40"/>
            </w:pPr>
            <w:r>
              <w:rPr>
                <w:sz w:val="18"/>
              </w:rPr>
              <w:t>CONST-001</w:t>
            </w:r>
          </w:p>
        </w:tc>
        <w:tc>
          <w:tcPr>
            <w:tcW w:type="dxa" w:w="6768"/>
            <w:vAlign w:val="center"/>
            <w:tcMar>
              <w:top w:w="80" w:type="dxa"/>
              <w:start w:w="100" w:type="dxa"/>
              <w:bottom w:w="80" w:type="dxa"/>
              <w:end w:w="100" w:type="dxa"/>
            </w:tcMar>
          </w:tcPr>
          <w:p>
            <w:pPr>
              <w:spacing w:after="40" w:before="40"/>
            </w:pPr>
            <w:r>
              <w:rPr>
                <w:sz w:val="18"/>
              </w:rPr>
              <w:t>Services are configuration, not bespoke applications. Normal onboarding of a certificate, licence, benefit, permission, record or transaction MUST NOT require service-specific production code.</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CONST-002</w:t>
            </w:r>
          </w:p>
        </w:tc>
        <w:tc>
          <w:tcPr>
            <w:tcW w:type="dxa" w:w="6768"/>
            <w:vAlign w:val="center"/>
            <w:tcMar>
              <w:top w:w="80" w:type="dxa"/>
              <w:start w:w="100" w:type="dxa"/>
              <w:bottom w:w="80" w:type="dxa"/>
              <w:end w:w="100" w:type="dxa"/>
            </w:tcMar>
          </w:tcPr>
          <w:p>
            <w:pPr>
              <w:spacing w:after="40" w:before="40"/>
            </w:pPr>
            <w:r>
              <w:rPr>
                <w:sz w:val="18"/>
              </w:rPr>
              <w:t>Jurisdiction is data. State, division, district, subdivision, tehsil/taluk/mandal, block, ULB, ward, gram panchayat and village MUST NOT be hard-coded in domain logic.</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CONST-003</w:t>
            </w:r>
          </w:p>
        </w:tc>
        <w:tc>
          <w:tcPr>
            <w:tcW w:type="dxa" w:w="6768"/>
            <w:vAlign w:val="center"/>
            <w:tcMar>
              <w:top w:w="80" w:type="dxa"/>
              <w:start w:w="100" w:type="dxa"/>
              <w:bottom w:w="80" w:type="dxa"/>
              <w:end w:w="100" w:type="dxa"/>
            </w:tcMar>
          </w:tcPr>
          <w:p>
            <w:pPr>
              <w:spacing w:after="40" w:before="40"/>
            </w:pPr>
            <w:r>
              <w:rPr>
                <w:sz w:val="18"/>
              </w:rPr>
              <w:t>Organization and geography are separate hierarchies joined by explicit provider bindings.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CONST-004</w:t>
            </w:r>
          </w:p>
        </w:tc>
        <w:tc>
          <w:tcPr>
            <w:tcW w:type="dxa" w:w="6768"/>
            <w:vAlign w:val="center"/>
            <w:tcMar>
              <w:top w:w="80" w:type="dxa"/>
              <w:start w:w="100" w:type="dxa"/>
              <w:bottom w:w="80" w:type="dxa"/>
              <w:end w:w="100" w:type="dxa"/>
            </w:tcMar>
          </w:tcPr>
          <w:p>
            <w:pPr>
              <w:spacing w:after="40" w:before="40"/>
            </w:pPr>
            <w:r>
              <w:rPr>
                <w:sz w:val="18"/>
              </w:rPr>
              <w:t>Every persisted tenant-owned record MUST carry tenant context or be explicitly classified as global reference data.</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CONST-005</w:t>
            </w:r>
          </w:p>
        </w:tc>
        <w:tc>
          <w:tcPr>
            <w:tcW w:type="dxa" w:w="6768"/>
            <w:vAlign w:val="center"/>
            <w:tcMar>
              <w:top w:w="80" w:type="dxa"/>
              <w:start w:w="100" w:type="dxa"/>
              <w:bottom w:w="80" w:type="dxa"/>
              <w:end w:w="100" w:type="dxa"/>
            </w:tcMar>
          </w:tcPr>
          <w:p>
            <w:pPr>
              <w:spacing w:after="40" w:before="40"/>
            </w:pPr>
            <w:r>
              <w:rPr>
                <w:sz w:val="18"/>
              </w:rPr>
              <w:t>Every database read/write, cache key, object path, search index operation, event and AI retrieval MUST preserve tenant isolation.</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CONST-006</w:t>
            </w:r>
          </w:p>
        </w:tc>
        <w:tc>
          <w:tcPr>
            <w:tcW w:type="dxa" w:w="6768"/>
            <w:vAlign w:val="center"/>
            <w:tcMar>
              <w:top w:w="80" w:type="dxa"/>
              <w:start w:w="100" w:type="dxa"/>
              <w:bottom w:w="80" w:type="dxa"/>
              <w:end w:w="100" w:type="dxa"/>
            </w:tcMar>
          </w:tcPr>
          <w:p>
            <w:pPr>
              <w:spacing w:after="40" w:before="40"/>
            </w:pPr>
            <w:r>
              <w:rPr>
                <w:sz w:val="18"/>
              </w:rPr>
              <w:t>Published service definitions, forms, rules, workflows, evidence policies, fee schedules, templates and prompts are immutable; changes create new versions.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CONST-007</w:t>
            </w:r>
          </w:p>
        </w:tc>
        <w:tc>
          <w:tcPr>
            <w:tcW w:type="dxa" w:w="6768"/>
            <w:vAlign w:val="center"/>
            <w:tcMar>
              <w:top w:w="80" w:type="dxa"/>
              <w:start w:w="100" w:type="dxa"/>
              <w:bottom w:w="80" w:type="dxa"/>
              <w:end w:w="100" w:type="dxa"/>
            </w:tcMar>
          </w:tcPr>
          <w:p>
            <w:pPr>
              <w:spacing w:after="40" w:before="40"/>
            </w:pPr>
            <w:r>
              <w:rPr>
                <w:sz w:val="18"/>
              </w:rPr>
              <w:t>Every application MUST pin the exact versions of all service dependencies used at submission.</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CONST-008</w:t>
            </w:r>
          </w:p>
        </w:tc>
        <w:tc>
          <w:tcPr>
            <w:tcW w:type="dxa" w:w="6768"/>
            <w:vAlign w:val="center"/>
            <w:tcMar>
              <w:top w:w="80" w:type="dxa"/>
              <w:start w:w="100" w:type="dxa"/>
              <w:bottom w:w="80" w:type="dxa"/>
              <w:end w:w="100" w:type="dxa"/>
            </w:tcMar>
          </w:tcPr>
          <w:p>
            <w:pPr>
              <w:spacing w:after="40" w:before="40"/>
            </w:pPr>
            <w:r>
              <w:rPr>
                <w:sz w:val="18"/>
              </w:rPr>
              <w:t>Statutory eligibility, fees, routing, SLA and approval authority MUST execute deterministically from approved rules/configuration, never from an LLM response.</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CONST-009</w:t>
            </w:r>
          </w:p>
        </w:tc>
        <w:tc>
          <w:tcPr>
            <w:tcW w:type="dxa" w:w="6768"/>
            <w:vAlign w:val="center"/>
            <w:tcMar>
              <w:top w:w="80" w:type="dxa"/>
              <w:start w:w="100" w:type="dxa"/>
              <w:bottom w:w="80" w:type="dxa"/>
              <w:end w:w="100" w:type="dxa"/>
            </w:tcMar>
          </w:tcPr>
          <w:p>
            <w:pPr>
              <w:spacing w:after="40" w:before="40"/>
            </w:pPr>
            <w:r>
              <w:rPr>
                <w:sz w:val="18"/>
              </w:rPr>
              <w:t>AI MAY assist, explain, extract, draft and test; AI MUST NOT silently approve, reject, penalize or deprive a citizen of an entitlement.</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CONST-010</w:t>
            </w:r>
          </w:p>
        </w:tc>
        <w:tc>
          <w:tcPr>
            <w:tcW w:type="dxa" w:w="6768"/>
            <w:vAlign w:val="center"/>
            <w:tcMar>
              <w:top w:w="80" w:type="dxa"/>
              <w:start w:w="100" w:type="dxa"/>
              <w:bottom w:w="80" w:type="dxa"/>
              <w:end w:w="100" w:type="dxa"/>
            </w:tcMar>
          </w:tcPr>
          <w:p>
            <w:pPr>
              <w:spacing w:after="40" w:before="40"/>
            </w:pPr>
            <w:r>
              <w:rPr>
                <w:sz w:val="18"/>
              </w:rPr>
              <w:t>Government policy facts MUST retain authoritative source provenance down to clause/page/notification reference where available.</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CONST-011</w:t>
            </w:r>
          </w:p>
        </w:tc>
        <w:tc>
          <w:tcPr>
            <w:tcW w:type="dxa" w:w="6768"/>
            <w:vAlign w:val="center"/>
            <w:tcMar>
              <w:top w:w="80" w:type="dxa"/>
              <w:start w:w="100" w:type="dxa"/>
              <w:bottom w:w="80" w:type="dxa"/>
              <w:end w:w="100" w:type="dxa"/>
            </w:tcMar>
          </w:tcPr>
          <w:p>
            <w:pPr>
              <w:spacing w:after="40" w:before="40"/>
            </w:pPr>
            <w:r>
              <w:rPr>
                <w:sz w:val="18"/>
              </w:rPr>
              <w:t>Every citizen-facing capability MUST have an API contract; UI-only business logic is prohibited.</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CONST-012</w:t>
            </w:r>
          </w:p>
        </w:tc>
        <w:tc>
          <w:tcPr>
            <w:tcW w:type="dxa" w:w="6768"/>
            <w:vAlign w:val="center"/>
            <w:tcMar>
              <w:top w:w="80" w:type="dxa"/>
              <w:start w:w="100" w:type="dxa"/>
              <w:bottom w:w="80" w:type="dxa"/>
              <w:end w:w="100" w:type="dxa"/>
            </w:tcMar>
          </w:tcPr>
          <w:p>
            <w:pPr>
              <w:spacing w:after="40" w:before="40"/>
            </w:pPr>
            <w:r>
              <w:rPr>
                <w:sz w:val="18"/>
              </w:rPr>
              <w:t>Material state changes MUST emit a versioned domain event through transactional outbox or an equivalent atomic pattern.</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CONST-013</w:t>
            </w:r>
          </w:p>
        </w:tc>
        <w:tc>
          <w:tcPr>
            <w:tcW w:type="dxa" w:w="6768"/>
            <w:vAlign w:val="center"/>
            <w:tcMar>
              <w:top w:w="80" w:type="dxa"/>
              <w:start w:w="100" w:type="dxa"/>
              <w:bottom w:w="80" w:type="dxa"/>
              <w:end w:w="100" w:type="dxa"/>
            </w:tcMar>
          </w:tcPr>
          <w:p>
            <w:pPr>
              <w:spacing w:after="40" w:before="40"/>
            </w:pPr>
            <w:r>
              <w:rPr>
                <w:sz w:val="18"/>
              </w:rPr>
              <w:t>External side effects MUST be idempotent and retry-safe.</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CONST-014</w:t>
            </w:r>
          </w:p>
        </w:tc>
        <w:tc>
          <w:tcPr>
            <w:tcW w:type="dxa" w:w="6768"/>
            <w:vAlign w:val="center"/>
            <w:tcMar>
              <w:top w:w="80" w:type="dxa"/>
              <w:start w:w="100" w:type="dxa"/>
              <w:bottom w:w="80" w:type="dxa"/>
              <w:end w:w="100" w:type="dxa"/>
            </w:tcMar>
          </w:tcPr>
          <w:p>
            <w:pPr>
              <w:spacing w:after="40" w:before="40"/>
            </w:pPr>
            <w:r>
              <w:rPr>
                <w:sz w:val="18"/>
              </w:rPr>
              <w:t>No service may directly read another service-owned database schema; use contracts/events.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CONST-015</w:t>
            </w:r>
          </w:p>
        </w:tc>
        <w:tc>
          <w:tcPr>
            <w:tcW w:type="dxa" w:w="6768"/>
            <w:vAlign w:val="center"/>
            <w:tcMar>
              <w:top w:w="80" w:type="dxa"/>
              <w:start w:w="100" w:type="dxa"/>
              <w:bottom w:w="80" w:type="dxa"/>
              <w:end w:w="100" w:type="dxa"/>
            </w:tcMar>
          </w:tcPr>
          <w:p>
            <w:pPr>
              <w:spacing w:after="40" w:before="40"/>
            </w:pPr>
            <w:r>
              <w:rPr>
                <w:sz w:val="18"/>
              </w:rPr>
              <w:t>Search, vector indexes and caches are projections, never systems of record.</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CONST-016</w:t>
            </w:r>
          </w:p>
        </w:tc>
        <w:tc>
          <w:tcPr>
            <w:tcW w:type="dxa" w:w="6768"/>
            <w:vAlign w:val="center"/>
            <w:tcMar>
              <w:top w:w="80" w:type="dxa"/>
              <w:start w:w="100" w:type="dxa"/>
              <w:bottom w:w="80" w:type="dxa"/>
              <w:end w:w="100" w:type="dxa"/>
            </w:tcMar>
          </w:tcPr>
          <w:p>
            <w:pPr>
              <w:spacing w:after="40" w:before="40"/>
            </w:pPr>
            <w:r>
              <w:rPr>
                <w:sz w:val="18"/>
              </w:rPr>
              <w:t>PII, secrets, access tokens and full sensitive documents MUST NOT appear in application logs, prompts or telemetry.</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CONST-017</w:t>
            </w:r>
          </w:p>
        </w:tc>
        <w:tc>
          <w:tcPr>
            <w:tcW w:type="dxa" w:w="6768"/>
            <w:vAlign w:val="center"/>
            <w:tcMar>
              <w:top w:w="80" w:type="dxa"/>
              <w:start w:w="100" w:type="dxa"/>
              <w:bottom w:w="80" w:type="dxa"/>
              <w:end w:w="100" w:type="dxa"/>
            </w:tcMar>
          </w:tcPr>
          <w:p>
            <w:pPr>
              <w:spacing w:after="40" w:before="40"/>
            </w:pPr>
            <w:r>
              <w:rPr>
                <w:sz w:val="18"/>
              </w:rPr>
              <w:t>Authorization MUST combine identity, tenant, organization, office, jurisdiction, role, service, action and case relationship as applicable.</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CONST-018</w:t>
            </w:r>
          </w:p>
        </w:tc>
        <w:tc>
          <w:tcPr>
            <w:tcW w:type="dxa" w:w="6768"/>
            <w:vAlign w:val="center"/>
            <w:tcMar>
              <w:top w:w="80" w:type="dxa"/>
              <w:start w:w="100" w:type="dxa"/>
              <w:bottom w:w="80" w:type="dxa"/>
              <w:end w:w="100" w:type="dxa"/>
            </w:tcMar>
          </w:tcPr>
          <w:p>
            <w:pPr>
              <w:spacing w:after="40" w:before="40"/>
            </w:pPr>
            <w:r>
              <w:rPr>
                <w:sz w:val="18"/>
              </w:rPr>
              <w:t>Official privileged actions require strong authentication, short-lived sessions/tokens and auditable elevation where applicable.</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CONST-019</w:t>
            </w:r>
          </w:p>
        </w:tc>
        <w:tc>
          <w:tcPr>
            <w:tcW w:type="dxa" w:w="6768"/>
            <w:vAlign w:val="center"/>
            <w:tcMar>
              <w:top w:w="80" w:type="dxa"/>
              <w:start w:w="100" w:type="dxa"/>
              <w:bottom w:w="80" w:type="dxa"/>
              <w:end w:w="100" w:type="dxa"/>
            </w:tcMar>
          </w:tcPr>
          <w:p>
            <w:pPr>
              <w:spacing w:after="40" w:before="40"/>
            </w:pPr>
            <w:r>
              <w:rPr>
                <w:sz w:val="18"/>
              </w:rPr>
              <w:t>Every administrative decision MUST be reconstructable from actor, authority, evidence, rules, versions, timestamps and audit events.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CONST-020</w:t>
            </w:r>
          </w:p>
        </w:tc>
        <w:tc>
          <w:tcPr>
            <w:tcW w:type="dxa" w:w="6768"/>
            <w:vAlign w:val="center"/>
            <w:tcMar>
              <w:top w:w="80" w:type="dxa"/>
              <w:start w:w="100" w:type="dxa"/>
              <w:bottom w:w="80" w:type="dxa"/>
              <w:end w:w="100" w:type="dxa"/>
            </w:tcMar>
          </w:tcPr>
          <w:p>
            <w:pPr>
              <w:spacing w:after="40" w:before="40"/>
            </w:pPr>
            <w:r>
              <w:rPr>
                <w:sz w:val="18"/>
              </w:rPr>
              <w:t>Every new capability MUST define metrics, traces, structured logs, failure modes and SLO impact before release.</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CONST-021</w:t>
            </w:r>
          </w:p>
        </w:tc>
        <w:tc>
          <w:tcPr>
            <w:tcW w:type="dxa" w:w="6768"/>
            <w:vAlign w:val="center"/>
            <w:tcMar>
              <w:top w:w="80" w:type="dxa"/>
              <w:start w:w="100" w:type="dxa"/>
              <w:bottom w:w="80" w:type="dxa"/>
              <w:end w:w="100" w:type="dxa"/>
            </w:tcMar>
          </w:tcPr>
          <w:p>
            <w:pPr>
              <w:spacing w:after="40" w:before="40"/>
            </w:pPr>
            <w:r>
              <w:rPr>
                <w:sz w:val="18"/>
              </w:rPr>
              <w:t>Citizen experiences MUST meet the approved GIGW/accessibility baseline and support keyboard, assistive technology, zoom/reflow and understandable error recovery.</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CONST-022</w:t>
            </w:r>
          </w:p>
        </w:tc>
        <w:tc>
          <w:tcPr>
            <w:tcW w:type="dxa" w:w="6768"/>
            <w:vAlign w:val="center"/>
            <w:tcMar>
              <w:top w:w="80" w:type="dxa"/>
              <w:start w:w="100" w:type="dxa"/>
              <w:bottom w:w="80" w:type="dxa"/>
              <w:end w:w="100" w:type="dxa"/>
            </w:tcMar>
          </w:tcPr>
          <w:p>
            <w:pPr>
              <w:spacing w:after="40" w:before="40"/>
            </w:pPr>
            <w:r>
              <w:rPr>
                <w:sz w:val="18"/>
              </w:rPr>
              <w:t>Indian-language support MUST be built into content, form schemas and notification templates rather than added as a post-release translation layer.</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CONST-023</w:t>
            </w:r>
          </w:p>
        </w:tc>
        <w:tc>
          <w:tcPr>
            <w:tcW w:type="dxa" w:w="6768"/>
            <w:vAlign w:val="center"/>
            <w:tcMar>
              <w:top w:w="80" w:type="dxa"/>
              <w:start w:w="100" w:type="dxa"/>
              <w:bottom w:w="80" w:type="dxa"/>
              <w:end w:w="100" w:type="dxa"/>
            </w:tcMar>
          </w:tcPr>
          <w:p>
            <w:pPr>
              <w:spacing w:after="40" w:before="40"/>
            </w:pPr>
            <w:r>
              <w:rPr>
                <w:sz w:val="18"/>
              </w:rPr>
              <w:t>The citizen profile is a set of provenance-aware claims, not an unqualified central master record.</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CONST-024</w:t>
            </w:r>
          </w:p>
        </w:tc>
        <w:tc>
          <w:tcPr>
            <w:tcW w:type="dxa" w:w="6768"/>
            <w:vAlign w:val="center"/>
            <w:tcMar>
              <w:top w:w="80" w:type="dxa"/>
              <w:start w:w="100" w:type="dxa"/>
              <w:bottom w:w="80" w:type="dxa"/>
              <w:end w:w="100" w:type="dxa"/>
            </w:tcMar>
          </w:tcPr>
          <w:p>
            <w:pPr>
              <w:spacing w:after="40" w:before="40"/>
            </w:pPr>
            <w:r>
              <w:rPr>
                <w:sz w:val="18"/>
              </w:rPr>
              <w:t>Reusable data/evidence MUST respect purpose, source, freshness, legal basis/consent and revocation semantics.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CONST-025</w:t>
            </w:r>
          </w:p>
        </w:tc>
        <w:tc>
          <w:tcPr>
            <w:tcW w:type="dxa" w:w="6768"/>
            <w:vAlign w:val="center"/>
            <w:tcMar>
              <w:top w:w="80" w:type="dxa"/>
              <w:start w:w="100" w:type="dxa"/>
              <w:bottom w:w="80" w:type="dxa"/>
              <w:end w:w="100" w:type="dxa"/>
            </w:tcMar>
          </w:tcPr>
          <w:p>
            <w:pPr>
              <w:spacing w:after="40" w:before="40"/>
            </w:pPr>
            <w:r>
              <w:rPr>
                <w:sz w:val="18"/>
              </w:rPr>
              <w:t>A tenant MUST be exportable using documented open formats and must not be trapped by implementation-specific identifiers.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CONST-026</w:t>
            </w:r>
          </w:p>
        </w:tc>
        <w:tc>
          <w:tcPr>
            <w:tcW w:type="dxa" w:w="6768"/>
            <w:vAlign w:val="center"/>
            <w:tcMar>
              <w:top w:w="80" w:type="dxa"/>
              <w:start w:w="100" w:type="dxa"/>
              <w:bottom w:w="80" w:type="dxa"/>
              <w:end w:w="100" w:type="dxa"/>
            </w:tcMar>
          </w:tcPr>
          <w:p>
            <w:pPr>
              <w:spacing w:after="40" w:before="40"/>
            </w:pPr>
            <w:r>
              <w:rPr>
                <w:sz w:val="18"/>
              </w:rPr>
              <w:t>Security and privacy controls MUST be enforced server-side; client validation is supplementary.</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CONST-027</w:t>
            </w:r>
          </w:p>
        </w:tc>
        <w:tc>
          <w:tcPr>
            <w:tcW w:type="dxa" w:w="6768"/>
            <w:vAlign w:val="center"/>
            <w:tcMar>
              <w:top w:w="80" w:type="dxa"/>
              <w:start w:w="100" w:type="dxa"/>
              <w:bottom w:w="80" w:type="dxa"/>
              <w:end w:w="100" w:type="dxa"/>
            </w:tcMar>
          </w:tcPr>
          <w:p>
            <w:pPr>
              <w:spacing w:after="40" w:before="40"/>
            </w:pPr>
            <w:r>
              <w:rPr>
                <w:sz w:val="18"/>
              </w:rPr>
              <w:t>Every schema and API change MUST be backward-compatible or explicitly versioned with a migration plan.</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CONST-028</w:t>
            </w:r>
          </w:p>
        </w:tc>
        <w:tc>
          <w:tcPr>
            <w:tcW w:type="dxa" w:w="6768"/>
            <w:vAlign w:val="center"/>
            <w:tcMar>
              <w:top w:w="80" w:type="dxa"/>
              <w:start w:w="100" w:type="dxa"/>
              <w:bottom w:w="80" w:type="dxa"/>
              <w:end w:w="100" w:type="dxa"/>
            </w:tcMar>
          </w:tcPr>
          <w:p>
            <w:pPr>
              <w:spacing w:after="40" w:before="40"/>
            </w:pPr>
            <w:r>
              <w:rPr>
                <w:sz w:val="18"/>
              </w:rPr>
              <w:t>Every requirement implementation MUST have automated tests and requirement-ID traceability.</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CONST-029</w:t>
            </w:r>
          </w:p>
        </w:tc>
        <w:tc>
          <w:tcPr>
            <w:tcW w:type="dxa" w:w="6768"/>
            <w:vAlign w:val="center"/>
            <w:tcMar>
              <w:top w:w="80" w:type="dxa"/>
              <w:start w:w="100" w:type="dxa"/>
              <w:bottom w:w="80" w:type="dxa"/>
              <w:end w:w="100" w:type="dxa"/>
            </w:tcMar>
          </w:tcPr>
          <w:p>
            <w:pPr>
              <w:spacing w:after="40" w:before="40"/>
            </w:pPr>
            <w:r>
              <w:rPr>
                <w:sz w:val="18"/>
              </w:rPr>
              <w:t>An AI coding agent MUST stop and create an ADR/TODO when architecture or statutory meaning is ambiguous; it MUST NOT invent a decision.</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CONST-030</w:t>
            </w:r>
          </w:p>
        </w:tc>
        <w:tc>
          <w:tcPr>
            <w:tcW w:type="dxa" w:w="6768"/>
            <w:vAlign w:val="center"/>
            <w:tcMar>
              <w:top w:w="80" w:type="dxa"/>
              <w:start w:w="100" w:type="dxa"/>
              <w:bottom w:w="80" w:type="dxa"/>
              <w:end w:w="100" w:type="dxa"/>
            </w:tcMar>
          </w:tcPr>
          <w:p>
            <w:pPr>
              <w:spacing w:after="40" w:before="40"/>
            </w:pPr>
            <w:r>
              <w:rPr>
                <w:sz w:val="18"/>
              </w:rPr>
              <w:t>Production deployment MUST pass tenant-isolation, security, accessibility, contract, migration, observability and rollback gates.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CONST-031</w:t>
            </w:r>
          </w:p>
        </w:tc>
        <w:tc>
          <w:tcPr>
            <w:tcW w:type="dxa" w:w="6768"/>
            <w:vAlign w:val="center"/>
            <w:tcMar>
              <w:top w:w="80" w:type="dxa"/>
              <w:start w:w="100" w:type="dxa"/>
              <w:bottom w:w="80" w:type="dxa"/>
              <w:end w:w="100" w:type="dxa"/>
            </w:tcMar>
          </w:tcPr>
          <w:p>
            <w:pPr>
              <w:spacing w:after="40" w:before="40"/>
            </w:pPr>
            <w:r>
              <w:rPr>
                <w:sz w:val="18"/>
              </w:rPr>
              <w:t>Infrastructure and security policy MUST be reproducible as code, peer-reviewed and environment-promoted.</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CONST-032</w:t>
            </w:r>
          </w:p>
        </w:tc>
        <w:tc>
          <w:tcPr>
            <w:tcW w:type="dxa" w:w="6768"/>
            <w:vAlign w:val="center"/>
            <w:tcMar>
              <w:top w:w="80" w:type="dxa"/>
              <w:start w:w="100" w:type="dxa"/>
              <w:bottom w:w="80" w:type="dxa"/>
              <w:end w:w="100" w:type="dxa"/>
            </w:tcMar>
          </w:tcPr>
          <w:p>
            <w:pPr>
              <w:spacing w:after="40" w:before="40"/>
            </w:pPr>
            <w:r>
              <w:rPr>
                <w:sz w:val="18"/>
              </w:rPr>
              <w:t>Human approval remains mandatory for service publication, policy/rule activation and high-risk production changes.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CONST-033</w:t>
            </w:r>
          </w:p>
        </w:tc>
        <w:tc>
          <w:tcPr>
            <w:tcW w:type="dxa" w:w="6768"/>
            <w:vAlign w:val="center"/>
            <w:tcMar>
              <w:top w:w="80" w:type="dxa"/>
              <w:start w:w="100" w:type="dxa"/>
              <w:bottom w:w="80" w:type="dxa"/>
              <w:end w:w="100" w:type="dxa"/>
            </w:tcMar>
          </w:tcPr>
          <w:p>
            <w:pPr>
              <w:spacing w:after="40" w:before="40"/>
            </w:pPr>
            <w:r>
              <w:rPr>
                <w:sz w:val="18"/>
              </w:rPr>
              <w:t>The reference implementation may evolve technologies, but domain contracts, portability and the canonical service model MUST remain stable.</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CONST-034</w:t>
            </w:r>
          </w:p>
        </w:tc>
        <w:tc>
          <w:tcPr>
            <w:tcW w:type="dxa" w:w="6768"/>
            <w:vAlign w:val="center"/>
            <w:tcMar>
              <w:top w:w="80" w:type="dxa"/>
              <w:start w:w="100" w:type="dxa"/>
              <w:bottom w:w="80" w:type="dxa"/>
              <w:end w:w="100" w:type="dxa"/>
            </w:tcMar>
          </w:tcPr>
          <w:p>
            <w:pPr>
              <w:spacing w:after="40" w:before="40"/>
            </w:pPr>
            <w:r>
              <w:rPr>
                <w:sz w:val="18"/>
              </w:rPr>
              <w:t>The platform SHOULD start with a small number of deployable units and split only for scale, security boundary or team ownership, not architectural fashion.</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CONST-035</w:t>
            </w:r>
          </w:p>
        </w:tc>
        <w:tc>
          <w:tcPr>
            <w:tcW w:type="dxa" w:w="6768"/>
            <w:vAlign w:val="center"/>
            <w:tcMar>
              <w:top w:w="80" w:type="dxa"/>
              <w:start w:w="100" w:type="dxa"/>
              <w:bottom w:w="80" w:type="dxa"/>
              <w:end w:w="100" w:type="dxa"/>
            </w:tcMar>
          </w:tcPr>
          <w:p>
            <w:pPr>
              <w:spacing w:after="40" w:before="40"/>
            </w:pPr>
            <w:r>
              <w:rPr>
                <w:sz w:val="18"/>
              </w:rPr>
              <w:t>Generated code is treated exactly like human-written code: reviewable, testable, attributable and subject to the same quality gates.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CONST-036</w:t>
            </w:r>
          </w:p>
        </w:tc>
        <w:tc>
          <w:tcPr>
            <w:tcW w:type="dxa" w:w="6768"/>
            <w:vAlign w:val="center"/>
            <w:tcMar>
              <w:top w:w="80" w:type="dxa"/>
              <w:start w:w="100" w:type="dxa"/>
              <w:bottom w:w="80" w:type="dxa"/>
              <w:end w:w="100" w:type="dxa"/>
            </w:tcMar>
          </w:tcPr>
          <w:p>
            <w:pPr>
              <w:spacing w:after="40" w:before="40"/>
            </w:pPr>
            <w:r>
              <w:rPr>
                <w:sz w:val="18"/>
              </w:rPr>
              <w:t>No agent may disable tests, security controls, linting, RLS/policy enforcement or audit hooks merely to make a task pass.</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CONST-037</w:t>
            </w:r>
          </w:p>
        </w:tc>
        <w:tc>
          <w:tcPr>
            <w:tcW w:type="dxa" w:w="6768"/>
            <w:vAlign w:val="center"/>
            <w:tcMar>
              <w:top w:w="80" w:type="dxa"/>
              <w:start w:w="100" w:type="dxa"/>
              <w:bottom w:w="80" w:type="dxa"/>
              <w:end w:w="100" w:type="dxa"/>
            </w:tcMar>
          </w:tcPr>
          <w:p>
            <w:pPr>
              <w:spacing w:after="40" w:before="40"/>
            </w:pPr>
            <w:r>
              <w:rPr>
                <w:sz w:val="18"/>
              </w:rPr>
              <w:t>Any destructive data operation requires explicit migration, backup/restore consideration and approved rollback strategy.</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CONST-038</w:t>
            </w:r>
          </w:p>
        </w:tc>
        <w:tc>
          <w:tcPr>
            <w:tcW w:type="dxa" w:w="6768"/>
            <w:vAlign w:val="center"/>
            <w:tcMar>
              <w:top w:w="80" w:type="dxa"/>
              <w:start w:w="100" w:type="dxa"/>
              <w:bottom w:w="80" w:type="dxa"/>
              <w:end w:w="100" w:type="dxa"/>
            </w:tcMar>
          </w:tcPr>
          <w:p>
            <w:pPr>
              <w:spacing w:after="40" w:before="40"/>
            </w:pPr>
            <w:r>
              <w:rPr>
                <w:sz w:val="18"/>
              </w:rPr>
              <w:t>Every integration connector MUST define authentication, timeout, retry, circuit-breaker, idempotency, health and reconciliation behavior.</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CONST-039</w:t>
            </w:r>
          </w:p>
        </w:tc>
        <w:tc>
          <w:tcPr>
            <w:tcW w:type="dxa" w:w="6768"/>
            <w:vAlign w:val="center"/>
            <w:tcMar>
              <w:top w:w="80" w:type="dxa"/>
              <w:start w:w="100" w:type="dxa"/>
              <w:bottom w:w="80" w:type="dxa"/>
              <w:end w:w="100" w:type="dxa"/>
            </w:tcMar>
          </w:tcPr>
          <w:p>
            <w:pPr>
              <w:spacing w:after="40" w:before="40"/>
            </w:pPr>
            <w:r>
              <w:rPr>
                <w:sz w:val="18"/>
              </w:rPr>
              <w:t>Every credential or certificate verification flow MUST expose current status and detect tampering; PDF appearance alone is not proof of validity.</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r>
        <w:trPr>
          <w:cantSplit/>
        </w:trPr>
        <w:tc>
          <w:tcPr>
            <w:tcW w:type="dxa" w:w="1296"/>
            <w:vAlign w:val="center"/>
            <w:tcMar>
              <w:top w:w="80" w:type="dxa"/>
              <w:start w:w="100" w:type="dxa"/>
              <w:bottom w:w="80" w:type="dxa"/>
              <w:end w:w="100" w:type="dxa"/>
            </w:tcMar>
          </w:tcPr>
          <w:p>
            <w:pPr>
              <w:spacing w:after="40" w:before="40"/>
            </w:pPr>
            <w:r>
              <w:rPr>
                <w:sz w:val="18"/>
              </w:rPr>
              <w:t>CONST-040</w:t>
            </w:r>
          </w:p>
        </w:tc>
        <w:tc>
          <w:tcPr>
            <w:tcW w:type="dxa" w:w="6768"/>
            <w:vAlign w:val="center"/>
            <w:tcMar>
              <w:top w:w="80" w:type="dxa"/>
              <w:start w:w="100" w:type="dxa"/>
              <w:bottom w:w="80" w:type="dxa"/>
              <w:end w:w="100" w:type="dxa"/>
            </w:tcMar>
          </w:tcPr>
          <w:p>
            <w:pPr>
              <w:spacing w:after="40" w:before="40"/>
            </w:pPr>
            <w:r>
              <w:rPr>
                <w:sz w:val="18"/>
              </w:rPr>
              <w:t>The platform MUST remain usable during partial external-system outages through graceful degradation, asynchronous retry and clear citizen/official messaging.</w:t>
            </w:r>
          </w:p>
        </w:tc>
        <w:tc>
          <w:tcPr>
            <w:tcW w:type="dxa" w:w="1584"/>
            <w:vAlign w:val="center"/>
            <w:tcMar>
              <w:top w:w="80" w:type="dxa"/>
              <w:start w:w="100" w:type="dxa"/>
              <w:bottom w:w="80" w:type="dxa"/>
              <w:end w:w="100" w:type="dxa"/>
            </w:tcMar>
          </w:tcPr>
          <w:p>
            <w:pPr>
              <w:spacing w:after="40" w:before="40"/>
            </w:pPr>
            <w:r>
              <w:rPr>
                <w:sz w:val="18"/>
              </w:rPr>
              <w:t>CI gate + code review + architecture review</w:t>
            </w:r>
          </w:p>
        </w:tc>
      </w:tr>
    </w:tbl>
    <w:p>
      <w:pPr>
        <w:pStyle w:val="Heading1"/>
        <w:keepNext/>
      </w:pPr>
      <w:r>
        <w:t>37. AI Agent Operating Model - Cursor and GitHub Copilot</w:t>
      </w:r>
    </w:p>
    <w:p>
      <w:r>
        <w:t>The DOCX remains the human governance source of truth. Coding agents consume a synchronized repository-native execution layer so they do not depend on reading a long Word document on every task. Cursor Project Rules are stored as version-controlled .mdc files under .cursor/rules; GitHub Copilot uses repository-wide instructions, path-specific instructions, AGENTS.md, reusable prompts and specialist agent profiles. The same architecture constitution, requirement IDs, schemas, ADRs and test contracts are referenced by both environments.</w:t>
      </w:r>
    </w:p>
    <w:p>
      <w:pPr>
        <w:pStyle w:val="Heading2"/>
        <w:keepNext/>
      </w:pPr>
      <w:r>
        <w:t>37.1 Context hierarchy</w:t>
      </w:r>
    </w:p>
    <w:tbl>
      <w:tblPr>
        <w:tblStyle w:val="TableGrid"/>
        <w:tblW w:type="auto" w:w="0"/>
        <w:tblLayout w:type="fixed"/>
        <w:tblLook w:firstColumn="1" w:firstRow="1" w:lastColumn="0" w:lastRow="0" w:noHBand="0" w:noVBand="1" w:val="04A0"/>
      </w:tblPr>
      <w:tblGrid>
        <w:gridCol w:w="5040"/>
        <w:gridCol w:w="5040"/>
      </w:tblGrid>
      <w:tr>
        <w:trPr>
          <w:tblHeader w:val="true"/>
          <w:cantSplit/>
        </w:trPr>
        <w:tc>
          <w:tcPr>
            <w:tcW w:type="dxa" w:w="2304"/>
            <w:vAlign w:val="center"/>
            <w:tcMar>
              <w:top w:w="80" w:type="dxa"/>
              <w:start w:w="100" w:type="dxa"/>
              <w:bottom w:w="80" w:type="dxa"/>
              <w:end w:w="100" w:type="dxa"/>
            </w:tcMar>
            <w:shd w:fill="17365D"/>
          </w:tcPr>
          <w:p>
            <w:pPr>
              <w:spacing w:after="40" w:before="40"/>
            </w:pPr>
            <w:r>
              <w:rPr>
                <w:b/>
                <w:color w:val="FFFFFF"/>
                <w:sz w:val="18"/>
              </w:rPr>
              <w:t>Context level</w:t>
            </w:r>
          </w:p>
        </w:tc>
        <w:tc>
          <w:tcPr>
            <w:tcW w:type="dxa" w:w="7344"/>
            <w:vAlign w:val="center"/>
            <w:tcMar>
              <w:top w:w="80" w:type="dxa"/>
              <w:start w:w="100" w:type="dxa"/>
              <w:bottom w:w="80" w:type="dxa"/>
              <w:end w:w="100" w:type="dxa"/>
            </w:tcMar>
            <w:shd w:fill="17365D"/>
          </w:tcPr>
          <w:p>
            <w:pPr>
              <w:spacing w:after="40" w:before="40"/>
            </w:pPr>
            <w:r>
              <w:rPr>
                <w:b/>
                <w:color w:val="FFFFFF"/>
                <w:sz w:val="18"/>
              </w:rPr>
              <w:t>Content</w:t>
            </w:r>
          </w:p>
        </w:tc>
      </w:tr>
      <w:tr>
        <w:trPr>
          <w:cantSplit/>
        </w:trPr>
        <w:tc>
          <w:tcPr>
            <w:tcW w:type="dxa" w:w="2304"/>
            <w:vAlign w:val="center"/>
            <w:tcMar>
              <w:top w:w="80" w:type="dxa"/>
              <w:start w:w="100" w:type="dxa"/>
              <w:bottom w:w="80" w:type="dxa"/>
              <w:end w:w="100" w:type="dxa"/>
            </w:tcMar>
          </w:tcPr>
          <w:p>
            <w:pPr>
              <w:spacing w:after="40" w:before="40"/>
            </w:pPr>
            <w:r>
              <w:rPr>
                <w:sz w:val="18"/>
              </w:rPr>
              <w:t>Level 1 - Always on</w:t>
            </w:r>
          </w:p>
        </w:tc>
        <w:tc>
          <w:tcPr>
            <w:tcW w:type="dxa" w:w="7344"/>
            <w:vAlign w:val="center"/>
            <w:tcMar>
              <w:top w:w="80" w:type="dxa"/>
              <w:start w:w="100" w:type="dxa"/>
              <w:bottom w:w="80" w:type="dxa"/>
              <w:end w:w="100" w:type="dxa"/>
            </w:tcMar>
          </w:tcPr>
          <w:p>
            <w:pPr>
              <w:spacing w:after="40" w:before="40"/>
            </w:pPr>
            <w:r>
              <w:rPr>
                <w:sz w:val="18"/>
              </w:rPr>
              <w:t>Architecture Constitution, product invariant, security/tenancy constraints, definition of done.</w:t>
            </w:r>
          </w:p>
        </w:tc>
      </w:tr>
      <w:tr>
        <w:trPr>
          <w:cantSplit/>
        </w:trPr>
        <w:tc>
          <w:tcPr>
            <w:tcW w:type="dxa" w:w="2304"/>
            <w:vAlign w:val="center"/>
            <w:tcMar>
              <w:top w:w="80" w:type="dxa"/>
              <w:start w:w="100" w:type="dxa"/>
              <w:bottom w:w="80" w:type="dxa"/>
              <w:end w:w="100" w:type="dxa"/>
            </w:tcMar>
          </w:tcPr>
          <w:p>
            <w:pPr>
              <w:spacing w:after="40" w:before="40"/>
            </w:pPr>
            <w:r>
              <w:rPr>
                <w:sz w:val="18"/>
              </w:rPr>
              <w:t>Level 2 - Path scoped</w:t>
            </w:r>
          </w:p>
        </w:tc>
        <w:tc>
          <w:tcPr>
            <w:tcW w:type="dxa" w:w="7344"/>
            <w:vAlign w:val="center"/>
            <w:tcMar>
              <w:top w:w="80" w:type="dxa"/>
              <w:start w:w="100" w:type="dxa"/>
              <w:bottom w:w="80" w:type="dxa"/>
              <w:end w:w="100" w:type="dxa"/>
            </w:tcMar>
          </w:tcPr>
          <w:p>
            <w:pPr>
              <w:spacing w:after="40" w:before="40"/>
            </w:pPr>
            <w:r>
              <w:rPr>
                <w:sz w:val="18"/>
              </w:rPr>
              <w:t>Backend, frontend, mobile, database, workflow, security and test-specific rules.</w:t>
            </w:r>
          </w:p>
        </w:tc>
      </w:tr>
      <w:tr>
        <w:trPr>
          <w:cantSplit/>
        </w:trPr>
        <w:tc>
          <w:tcPr>
            <w:tcW w:type="dxa" w:w="2304"/>
            <w:vAlign w:val="center"/>
            <w:tcMar>
              <w:top w:w="80" w:type="dxa"/>
              <w:start w:w="100" w:type="dxa"/>
              <w:bottom w:w="80" w:type="dxa"/>
              <w:end w:w="100" w:type="dxa"/>
            </w:tcMar>
          </w:tcPr>
          <w:p>
            <w:pPr>
              <w:spacing w:after="40" w:before="40"/>
            </w:pPr>
            <w:r>
              <w:rPr>
                <w:sz w:val="18"/>
              </w:rPr>
              <w:t>Level 3 - Task scoped</w:t>
            </w:r>
          </w:p>
        </w:tc>
        <w:tc>
          <w:tcPr>
            <w:tcW w:type="dxa" w:w="7344"/>
            <w:vAlign w:val="center"/>
            <w:tcMar>
              <w:top w:w="80" w:type="dxa"/>
              <w:start w:w="100" w:type="dxa"/>
              <w:bottom w:w="80" w:type="dxa"/>
              <w:end w:w="100" w:type="dxa"/>
            </w:tcMar>
          </w:tcPr>
          <w:p>
            <w:pPr>
              <w:spacing w:after="40" w:before="40"/>
            </w:pPr>
            <w:r>
              <w:rPr>
                <w:sz w:val="18"/>
              </w:rPr>
              <w:t>One or a small set of requirement IDs plus affected contracts and ADRs.</w:t>
            </w:r>
          </w:p>
        </w:tc>
      </w:tr>
      <w:tr>
        <w:trPr>
          <w:cantSplit/>
        </w:trPr>
        <w:tc>
          <w:tcPr>
            <w:tcW w:type="dxa" w:w="2304"/>
            <w:vAlign w:val="center"/>
            <w:tcMar>
              <w:top w:w="80" w:type="dxa"/>
              <w:start w:w="100" w:type="dxa"/>
              <w:bottom w:w="80" w:type="dxa"/>
              <w:end w:w="100" w:type="dxa"/>
            </w:tcMar>
          </w:tcPr>
          <w:p>
            <w:pPr>
              <w:spacing w:after="40" w:before="40"/>
            </w:pPr>
            <w:r>
              <w:rPr>
                <w:sz w:val="18"/>
              </w:rPr>
              <w:t>Level 4 - Evidence</w:t>
            </w:r>
          </w:p>
        </w:tc>
        <w:tc>
          <w:tcPr>
            <w:tcW w:type="dxa" w:w="7344"/>
            <w:vAlign w:val="center"/>
            <w:tcMar>
              <w:top w:w="80" w:type="dxa"/>
              <w:start w:w="100" w:type="dxa"/>
              <w:bottom w:w="80" w:type="dxa"/>
              <w:end w:w="100" w:type="dxa"/>
            </w:tcMar>
          </w:tcPr>
          <w:p>
            <w:pPr>
              <w:spacing w:after="40" w:before="40"/>
            </w:pPr>
            <w:r>
              <w:rPr>
                <w:sz w:val="18"/>
              </w:rPr>
              <w:t>Existing code, tests, telemetry, policy sources and service configuration relevant to the task.</w:t>
            </w:r>
          </w:p>
        </w:tc>
      </w:tr>
    </w:tbl>
    <w:p>
      <w:pPr>
        <w:pStyle w:val="Heading2"/>
        <w:keepNext/>
      </w:pPr>
      <w:r>
        <w:t>37.2 Mandatory agent workflow</w:t>
      </w:r>
    </w:p>
    <w:p>
      <w:r>
        <w:rPr>
          <w:b/>
        </w:rPr>
        <w:t xml:space="preserve">1. </w:t>
      </w:r>
      <w:r>
        <w:t>Read AGENTS.md, the applicable scoped rules, requirement YAML, referenced ADRs, schemas, API/event contracts and existing implementation before editing.</w:t>
      </w:r>
    </w:p>
    <w:p>
      <w:r>
        <w:rPr>
          <w:b/>
        </w:rPr>
        <w:t xml:space="preserve">2. </w:t>
      </w:r>
      <w:r>
        <w:t>Produce a short impact plan: files, contracts, data migration, security/tenant boundary, tests, telemetry and rollback impact.</w:t>
      </w:r>
    </w:p>
    <w:p>
      <w:r>
        <w:rPr>
          <w:b/>
        </w:rPr>
        <w:t xml:space="preserve">3. </w:t>
      </w:r>
      <w:r>
        <w:t>Write or update tests first where practical; never weaken existing tests to make a change pass.</w:t>
      </w:r>
    </w:p>
    <w:p>
      <w:r>
        <w:rPr>
          <w:b/>
        </w:rPr>
        <w:t xml:space="preserve">4. </w:t>
      </w:r>
      <w:r>
        <w:t>Implement the smallest reusable capability that satisfies the requirement; do not introduce named-state or named-service branching.</w:t>
      </w:r>
    </w:p>
    <w:p>
      <w:r>
        <w:rPr>
          <w:b/>
        </w:rPr>
        <w:t xml:space="preserve">5. </w:t>
      </w:r>
      <w:r>
        <w:t>Run deterministic validation, unit/integration/contract tests, tenant-isolation checks, security scans and relevant accessibility checks.</w:t>
      </w:r>
    </w:p>
    <w:p>
      <w:r>
        <w:rPr>
          <w:b/>
        </w:rPr>
        <w:t xml:space="preserve">6. </w:t>
      </w:r>
      <w:r>
        <w:t>Update traceability so every changed requirement points to code, tests and contracts.</w:t>
      </w:r>
    </w:p>
    <w:p>
      <w:r>
        <w:rPr>
          <w:b/>
        </w:rPr>
        <w:t xml:space="preserve">7. </w:t>
      </w:r>
      <w:r>
        <w:t>Self-review the diff against the Architecture Constitution and produce unresolved risks for human review.</w:t>
      </w:r>
    </w:p>
    <w:p>
      <w:r>
        <w:rPr>
          <w:b/>
        </w:rPr>
        <w:t xml:space="preserve">8. </w:t>
      </w:r>
      <w:r>
        <w:t>Create a PR/change set; production release remains subject to configured human approvals and CI/CD gates.</w:t>
      </w:r>
    </w:p>
    <w:p>
      <w:pPr>
        <w:pStyle w:val="Heading2"/>
        <w:keepNext/>
      </w:pPr>
      <w:r>
        <w:t>37.3 Tool-specific repository integration</w:t>
      </w:r>
    </w:p>
    <w:tbl>
      <w:tblPr>
        <w:tblStyle w:val="TableGrid"/>
        <w:tblW w:type="auto" w:w="0"/>
        <w:tblLayout w:type="fixed"/>
        <w:tblLook w:firstColumn="1" w:firstRow="1" w:lastColumn="0" w:lastRow="0" w:noHBand="0" w:noVBand="1" w:val="04A0"/>
      </w:tblPr>
      <w:tblGrid>
        <w:gridCol w:w="3360"/>
        <w:gridCol w:w="3360"/>
        <w:gridCol w:w="3360"/>
      </w:tblGrid>
      <w:tr>
        <w:trPr>
          <w:tblHeader w:val="true"/>
          <w:cantSplit/>
        </w:trPr>
        <w:tc>
          <w:tcPr>
            <w:tcW w:type="dxa" w:w="1728"/>
            <w:vAlign w:val="center"/>
            <w:tcMar>
              <w:top w:w="80" w:type="dxa"/>
              <w:start w:w="100" w:type="dxa"/>
              <w:bottom w:w="80" w:type="dxa"/>
              <w:end w:w="100" w:type="dxa"/>
            </w:tcMar>
            <w:shd w:fill="17365D"/>
          </w:tcPr>
          <w:p>
            <w:pPr>
              <w:spacing w:after="40" w:before="40"/>
            </w:pPr>
            <w:r>
              <w:rPr>
                <w:b/>
                <w:color w:val="FFFFFF"/>
                <w:sz w:val="18"/>
              </w:rPr>
              <w:t>Tool</w:t>
            </w:r>
          </w:p>
        </w:tc>
        <w:tc>
          <w:tcPr>
            <w:tcW w:type="dxa" w:w="4032"/>
            <w:vAlign w:val="center"/>
            <w:tcMar>
              <w:top w:w="80" w:type="dxa"/>
              <w:start w:w="100" w:type="dxa"/>
              <w:bottom w:w="80" w:type="dxa"/>
              <w:end w:w="100" w:type="dxa"/>
            </w:tcMar>
            <w:shd w:fill="17365D"/>
          </w:tcPr>
          <w:p>
            <w:pPr>
              <w:spacing w:after="40" w:before="40"/>
            </w:pPr>
            <w:r>
              <w:rPr>
                <w:b/>
                <w:color w:val="FFFFFF"/>
                <w:sz w:val="18"/>
              </w:rPr>
              <w:t>Primary files</w:t>
            </w:r>
          </w:p>
        </w:tc>
        <w:tc>
          <w:tcPr>
            <w:tcW w:type="dxa" w:w="3888"/>
            <w:vAlign w:val="center"/>
            <w:tcMar>
              <w:top w:w="80" w:type="dxa"/>
              <w:start w:w="100" w:type="dxa"/>
              <w:bottom w:w="80" w:type="dxa"/>
              <w:end w:w="100" w:type="dxa"/>
            </w:tcMar>
            <w:shd w:fill="17365D"/>
          </w:tcPr>
          <w:p>
            <w:pPr>
              <w:spacing w:after="40" w:before="40"/>
            </w:pPr>
            <w:r>
              <w:rPr>
                <w:b/>
                <w:color w:val="FFFFFF"/>
                <w:sz w:val="18"/>
              </w:rPr>
              <w:t>Purpose</w:t>
            </w:r>
          </w:p>
        </w:tc>
      </w:tr>
      <w:tr>
        <w:trPr>
          <w:cantSplit/>
        </w:trPr>
        <w:tc>
          <w:tcPr>
            <w:tcW w:type="dxa" w:w="1728"/>
            <w:vAlign w:val="center"/>
            <w:tcMar>
              <w:top w:w="80" w:type="dxa"/>
              <w:start w:w="100" w:type="dxa"/>
              <w:bottom w:w="80" w:type="dxa"/>
              <w:end w:w="100" w:type="dxa"/>
            </w:tcMar>
          </w:tcPr>
          <w:p>
            <w:pPr>
              <w:spacing w:after="40" w:before="40"/>
            </w:pPr>
            <w:r>
              <w:rPr>
                <w:sz w:val="18"/>
              </w:rPr>
              <w:t>Cursor</w:t>
            </w:r>
          </w:p>
        </w:tc>
        <w:tc>
          <w:tcPr>
            <w:tcW w:type="dxa" w:w="4032"/>
            <w:vAlign w:val="center"/>
            <w:tcMar>
              <w:top w:w="80" w:type="dxa"/>
              <w:start w:w="100" w:type="dxa"/>
              <w:bottom w:w="80" w:type="dxa"/>
              <w:end w:w="100" w:type="dxa"/>
            </w:tcMar>
          </w:tcPr>
          <w:p>
            <w:pPr>
              <w:spacing w:after="40" w:before="40"/>
            </w:pPr>
            <w:r>
              <w:rPr>
                <w:sz w:val="18"/>
              </w:rPr>
              <w:t>.cursor/rules/*.mdc + AGENTS.md</w:t>
            </w:r>
          </w:p>
        </w:tc>
        <w:tc>
          <w:tcPr>
            <w:tcW w:type="dxa" w:w="3888"/>
            <w:vAlign w:val="center"/>
            <w:tcMar>
              <w:top w:w="80" w:type="dxa"/>
              <w:start w:w="100" w:type="dxa"/>
              <w:bottom w:w="80" w:type="dxa"/>
              <w:end w:w="100" w:type="dxa"/>
            </w:tcMar>
          </w:tcPr>
          <w:p>
            <w:pPr>
              <w:spacing w:after="40" w:before="40"/>
            </w:pPr>
            <w:r>
              <w:rPr>
                <w:sz w:val="18"/>
              </w:rPr>
              <w:t>Persistent/scoped architecture and engineering rules for Agent and CLI.</w:t>
            </w:r>
          </w:p>
        </w:tc>
      </w:tr>
      <w:tr>
        <w:trPr>
          <w:cantSplit/>
        </w:trPr>
        <w:tc>
          <w:tcPr>
            <w:tcW w:type="dxa" w:w="1728"/>
            <w:vAlign w:val="center"/>
            <w:tcMar>
              <w:top w:w="80" w:type="dxa"/>
              <w:start w:w="100" w:type="dxa"/>
              <w:bottom w:w="80" w:type="dxa"/>
              <w:end w:w="100" w:type="dxa"/>
            </w:tcMar>
          </w:tcPr>
          <w:p>
            <w:pPr>
              <w:spacing w:after="40" w:before="40"/>
            </w:pPr>
            <w:r>
              <w:rPr>
                <w:sz w:val="18"/>
              </w:rPr>
              <w:t>GitHub Copilot</w:t>
            </w:r>
          </w:p>
        </w:tc>
        <w:tc>
          <w:tcPr>
            <w:tcW w:type="dxa" w:w="4032"/>
            <w:vAlign w:val="center"/>
            <w:tcMar>
              <w:top w:w="80" w:type="dxa"/>
              <w:start w:w="100" w:type="dxa"/>
              <w:bottom w:w="80" w:type="dxa"/>
              <w:end w:w="100" w:type="dxa"/>
            </w:tcMar>
          </w:tcPr>
          <w:p>
            <w:pPr>
              <w:spacing w:after="40" w:before="40"/>
            </w:pPr>
            <w:r>
              <w:rPr>
                <w:sz w:val="18"/>
              </w:rPr>
              <w:t>.github/copilot-instructions.md + .github/instructions/*.instructions.md + AGENTS.md</w:t>
            </w:r>
          </w:p>
        </w:tc>
        <w:tc>
          <w:tcPr>
            <w:tcW w:type="dxa" w:w="3888"/>
            <w:vAlign w:val="center"/>
            <w:tcMar>
              <w:top w:w="80" w:type="dxa"/>
              <w:start w:w="100" w:type="dxa"/>
              <w:bottom w:w="80" w:type="dxa"/>
              <w:end w:w="100" w:type="dxa"/>
            </w:tcMar>
          </w:tcPr>
          <w:p>
            <w:pPr>
              <w:spacing w:after="40" w:before="40"/>
            </w:pPr>
            <w:r>
              <w:rPr>
                <w:sz w:val="18"/>
              </w:rPr>
              <w:t>Repository-wide and path-scoped implementation guidance.</w:t>
            </w:r>
          </w:p>
        </w:tc>
      </w:tr>
      <w:tr>
        <w:trPr>
          <w:cantSplit/>
        </w:trPr>
        <w:tc>
          <w:tcPr>
            <w:tcW w:type="dxa" w:w="1728"/>
            <w:vAlign w:val="center"/>
            <w:tcMar>
              <w:top w:w="80" w:type="dxa"/>
              <w:start w:w="100" w:type="dxa"/>
              <w:bottom w:w="80" w:type="dxa"/>
              <w:end w:w="100" w:type="dxa"/>
            </w:tcMar>
          </w:tcPr>
          <w:p>
            <w:pPr>
              <w:spacing w:after="40" w:before="40"/>
            </w:pPr>
            <w:r>
              <w:rPr>
                <w:sz w:val="18"/>
              </w:rPr>
              <w:t>Copilot custom agents</w:t>
            </w:r>
          </w:p>
        </w:tc>
        <w:tc>
          <w:tcPr>
            <w:tcW w:type="dxa" w:w="4032"/>
            <w:vAlign w:val="center"/>
            <w:tcMar>
              <w:top w:w="80" w:type="dxa"/>
              <w:start w:w="100" w:type="dxa"/>
              <w:bottom w:w="80" w:type="dxa"/>
              <w:end w:w="100" w:type="dxa"/>
            </w:tcMar>
          </w:tcPr>
          <w:p>
            <w:pPr>
              <w:spacing w:after="40" w:before="40"/>
            </w:pPr>
            <w:r>
              <w:rPr>
                <w:sz w:val="18"/>
              </w:rPr>
              <w:t>.github/agents/*.md</w:t>
            </w:r>
          </w:p>
        </w:tc>
        <w:tc>
          <w:tcPr>
            <w:tcW w:type="dxa" w:w="3888"/>
            <w:vAlign w:val="center"/>
            <w:tcMar>
              <w:top w:w="80" w:type="dxa"/>
              <w:start w:w="100" w:type="dxa"/>
              <w:bottom w:w="80" w:type="dxa"/>
              <w:end w:w="100" w:type="dxa"/>
            </w:tcMar>
          </w:tcPr>
          <w:p>
            <w:pPr>
              <w:spacing w:after="40" w:before="40"/>
            </w:pPr>
            <w:r>
              <w:rPr>
                <w:sz w:val="18"/>
              </w:rPr>
              <w:t>Architect, developer, reviewer, security, QA and service-designer roles.</w:t>
            </w:r>
          </w:p>
        </w:tc>
      </w:tr>
      <w:tr>
        <w:trPr>
          <w:cantSplit/>
        </w:trPr>
        <w:tc>
          <w:tcPr>
            <w:tcW w:type="dxa" w:w="1728"/>
            <w:vAlign w:val="center"/>
            <w:tcMar>
              <w:top w:w="80" w:type="dxa"/>
              <w:start w:w="100" w:type="dxa"/>
              <w:bottom w:w="80" w:type="dxa"/>
              <w:end w:w="100" w:type="dxa"/>
            </w:tcMar>
          </w:tcPr>
          <w:p>
            <w:pPr>
              <w:spacing w:after="40" w:before="40"/>
            </w:pPr>
            <w:r>
              <w:rPr>
                <w:sz w:val="18"/>
              </w:rPr>
              <w:t>Reusable prompts</w:t>
            </w:r>
          </w:p>
        </w:tc>
        <w:tc>
          <w:tcPr>
            <w:tcW w:type="dxa" w:w="4032"/>
            <w:vAlign w:val="center"/>
            <w:tcMar>
              <w:top w:w="80" w:type="dxa"/>
              <w:start w:w="100" w:type="dxa"/>
              <w:bottom w:w="80" w:type="dxa"/>
              <w:end w:w="100" w:type="dxa"/>
            </w:tcMar>
          </w:tcPr>
          <w:p>
            <w:pPr>
              <w:spacing w:after="40" w:before="40"/>
            </w:pPr>
            <w:r>
              <w:rPr>
                <w:sz w:val="18"/>
              </w:rPr>
              <w:t>.github/prompts/*.prompt.md</w:t>
            </w:r>
          </w:p>
        </w:tc>
        <w:tc>
          <w:tcPr>
            <w:tcW w:type="dxa" w:w="3888"/>
            <w:vAlign w:val="center"/>
            <w:tcMar>
              <w:top w:w="80" w:type="dxa"/>
              <w:start w:w="100" w:type="dxa"/>
              <w:bottom w:w="80" w:type="dxa"/>
              <w:end w:w="100" w:type="dxa"/>
            </w:tcMar>
          </w:tcPr>
          <w:p>
            <w:pPr>
              <w:spacing w:after="40" w:before="40"/>
            </w:pPr>
            <w:r>
              <w:rPr>
                <w:sz w:val="18"/>
              </w:rPr>
              <w:t>Architecture verification, requirement implementation, threat modeling and service authoring.</w:t>
            </w:r>
          </w:p>
        </w:tc>
      </w:tr>
      <w:tr>
        <w:trPr>
          <w:cantSplit/>
        </w:trPr>
        <w:tc>
          <w:tcPr>
            <w:tcW w:type="dxa" w:w="1728"/>
            <w:vAlign w:val="center"/>
            <w:tcMar>
              <w:top w:w="80" w:type="dxa"/>
              <w:start w:w="100" w:type="dxa"/>
              <w:bottom w:w="80" w:type="dxa"/>
              <w:end w:w="100" w:type="dxa"/>
            </w:tcMar>
          </w:tcPr>
          <w:p>
            <w:pPr>
              <w:spacing w:after="40" w:before="40"/>
            </w:pPr>
            <w:r>
              <w:rPr>
                <w:sz w:val="18"/>
              </w:rPr>
              <w:t>All agents</w:t>
            </w:r>
          </w:p>
        </w:tc>
        <w:tc>
          <w:tcPr>
            <w:tcW w:type="dxa" w:w="4032"/>
            <w:vAlign w:val="center"/>
            <w:tcMar>
              <w:top w:w="80" w:type="dxa"/>
              <w:start w:w="100" w:type="dxa"/>
              <w:bottom w:w="80" w:type="dxa"/>
              <w:end w:w="100" w:type="dxa"/>
            </w:tcMar>
          </w:tcPr>
          <w:p>
            <w:pPr>
              <w:spacing w:after="40" w:before="40"/>
            </w:pPr>
            <w:r>
              <w:rPr>
                <w:sz w:val="18"/>
              </w:rPr>
              <w:t>specs/** + tests/**</w:t>
            </w:r>
          </w:p>
        </w:tc>
        <w:tc>
          <w:tcPr>
            <w:tcW w:type="dxa" w:w="3888"/>
            <w:vAlign w:val="center"/>
            <w:tcMar>
              <w:top w:w="80" w:type="dxa"/>
              <w:start w:w="100" w:type="dxa"/>
              <w:bottom w:w="80" w:type="dxa"/>
              <w:end w:w="100" w:type="dxa"/>
            </w:tcMar>
          </w:tcPr>
          <w:p>
            <w:pPr>
              <w:spacing w:after="40" w:before="40"/>
            </w:pPr>
            <w:r>
              <w:rPr>
                <w:sz w:val="18"/>
              </w:rPr>
              <w:t>Machine-readable source for what must be built and how compliance is demonstrated.</w:t>
            </w:r>
          </w:p>
        </w:tc>
      </w:tr>
    </w:tbl>
    <w:p>
      <w:pPr>
        <w:pStyle w:val="Heading1"/>
        <w:keepNext/>
      </w:pPr>
      <w:r>
        <w:t>38. Requirements-to-Code Traceability Contract</w:t>
      </w:r>
    </w:p>
    <w:p>
      <w:r>
        <w:t>Every implementation task starts from an approved requirement ID. Traceability is bidirectional: a requirement points to contracts/tests/code, and a pull request names the requirement IDs it changes. No production feature is accepted as complete when its behavior exists only in prose or code without a machine-readable contract and verification evidence.</w:t>
      </w:r>
    </w:p>
    <w:tbl>
      <w:tblPr>
        <w:tblStyle w:val="TableGrid"/>
        <w:tblW w:type="auto" w:w="0"/>
        <w:tblLayout w:type="fixed"/>
        <w:tblLook w:firstColumn="1" w:firstRow="1" w:lastColumn="0" w:lastRow="0" w:noHBand="0" w:noVBand="1" w:val="04A0"/>
      </w:tblPr>
      <w:tblGrid>
        <w:gridCol w:w="5040"/>
        <w:gridCol w:w="5040"/>
      </w:tblGrid>
      <w:tr>
        <w:trPr>
          <w:tblHeader w:val="true"/>
          <w:cantSplit/>
        </w:trPr>
        <w:tc>
          <w:tcPr>
            <w:tcW w:type="dxa" w:w="2160"/>
            <w:vAlign w:val="center"/>
            <w:tcMar>
              <w:top w:w="80" w:type="dxa"/>
              <w:start w:w="100" w:type="dxa"/>
              <w:bottom w:w="80" w:type="dxa"/>
              <w:end w:w="100" w:type="dxa"/>
            </w:tcMar>
            <w:shd w:fill="17365D"/>
          </w:tcPr>
          <w:p>
            <w:pPr>
              <w:spacing w:after="40" w:before="40"/>
            </w:pPr>
            <w:r>
              <w:rPr>
                <w:b/>
                <w:color w:val="FFFFFF"/>
                <w:sz w:val="18"/>
              </w:rPr>
              <w:t>Trace field</w:t>
            </w:r>
          </w:p>
        </w:tc>
        <w:tc>
          <w:tcPr>
            <w:tcW w:type="dxa" w:w="7488"/>
            <w:vAlign w:val="center"/>
            <w:tcMar>
              <w:top w:w="80" w:type="dxa"/>
              <w:start w:w="100" w:type="dxa"/>
              <w:bottom w:w="80" w:type="dxa"/>
              <w:end w:w="100" w:type="dxa"/>
            </w:tcMar>
            <w:shd w:fill="17365D"/>
          </w:tcPr>
          <w:p>
            <w:pPr>
              <w:spacing w:after="40" w:before="40"/>
            </w:pPr>
            <w:r>
              <w:rPr>
                <w:b/>
                <w:color w:val="FFFFFF"/>
                <w:sz w:val="18"/>
              </w:rPr>
              <w:t>Contract</w:t>
            </w:r>
          </w:p>
        </w:tc>
      </w:tr>
      <w:tr>
        <w:trPr>
          <w:cantSplit/>
        </w:trPr>
        <w:tc>
          <w:tcPr>
            <w:tcW w:type="dxa" w:w="2160"/>
            <w:vAlign w:val="center"/>
            <w:tcMar>
              <w:top w:w="80" w:type="dxa"/>
              <w:start w:w="100" w:type="dxa"/>
              <w:bottom w:w="80" w:type="dxa"/>
              <w:end w:w="100" w:type="dxa"/>
            </w:tcMar>
          </w:tcPr>
          <w:p>
            <w:pPr>
              <w:spacing w:after="40" w:before="40"/>
            </w:pPr>
            <w:r>
              <w:rPr>
                <w:sz w:val="18"/>
              </w:rPr>
              <w:t>requirement_id</w:t>
            </w:r>
          </w:p>
        </w:tc>
        <w:tc>
          <w:tcPr>
            <w:tcW w:type="dxa" w:w="7488"/>
            <w:vAlign w:val="center"/>
            <w:tcMar>
              <w:top w:w="80" w:type="dxa"/>
              <w:start w:w="100" w:type="dxa"/>
              <w:bottom w:w="80" w:type="dxa"/>
              <w:end w:w="100" w:type="dxa"/>
            </w:tcMar>
          </w:tcPr>
          <w:p>
            <w:pPr>
              <w:spacing w:after="40" w:before="40"/>
            </w:pPr>
            <w:r>
              <w:rPr>
                <w:sz w:val="18"/>
              </w:rPr>
              <w:t>Stable identifier such as WF-003.</w:t>
            </w:r>
          </w:p>
        </w:tc>
      </w:tr>
      <w:tr>
        <w:trPr>
          <w:cantSplit/>
        </w:trPr>
        <w:tc>
          <w:tcPr>
            <w:tcW w:type="dxa" w:w="2160"/>
            <w:vAlign w:val="center"/>
            <w:tcMar>
              <w:top w:w="80" w:type="dxa"/>
              <w:start w:w="100" w:type="dxa"/>
              <w:bottom w:w="80" w:type="dxa"/>
              <w:end w:w="100" w:type="dxa"/>
            </w:tcMar>
          </w:tcPr>
          <w:p>
            <w:pPr>
              <w:spacing w:after="40" w:before="40"/>
            </w:pPr>
            <w:r>
              <w:rPr>
                <w:sz w:val="18"/>
              </w:rPr>
              <w:t>status</w:t>
            </w:r>
          </w:p>
        </w:tc>
        <w:tc>
          <w:tcPr>
            <w:tcW w:type="dxa" w:w="7488"/>
            <w:vAlign w:val="center"/>
            <w:tcMar>
              <w:top w:w="80" w:type="dxa"/>
              <w:start w:w="100" w:type="dxa"/>
              <w:bottom w:w="80" w:type="dxa"/>
              <w:end w:w="100" w:type="dxa"/>
            </w:tcMar>
          </w:tcPr>
          <w:p>
            <w:pPr>
              <w:spacing w:after="40" w:before="40"/>
            </w:pPr>
            <w:r>
              <w:rPr>
                <w:sz w:val="18"/>
              </w:rPr>
              <w:t>approved / implemented / verified / deprecated.</w:t>
            </w:r>
          </w:p>
        </w:tc>
      </w:tr>
      <w:tr>
        <w:trPr>
          <w:cantSplit/>
        </w:trPr>
        <w:tc>
          <w:tcPr>
            <w:tcW w:type="dxa" w:w="2160"/>
            <w:vAlign w:val="center"/>
            <w:tcMar>
              <w:top w:w="80" w:type="dxa"/>
              <w:start w:w="100" w:type="dxa"/>
              <w:bottom w:w="80" w:type="dxa"/>
              <w:end w:w="100" w:type="dxa"/>
            </w:tcMar>
          </w:tcPr>
          <w:p>
            <w:pPr>
              <w:spacing w:after="40" w:before="40"/>
            </w:pPr>
            <w:r>
              <w:rPr>
                <w:sz w:val="18"/>
              </w:rPr>
              <w:t>depends_on</w:t>
            </w:r>
          </w:p>
        </w:tc>
        <w:tc>
          <w:tcPr>
            <w:tcW w:type="dxa" w:w="7488"/>
            <w:vAlign w:val="center"/>
            <w:tcMar>
              <w:top w:w="80" w:type="dxa"/>
              <w:start w:w="100" w:type="dxa"/>
              <w:bottom w:w="80" w:type="dxa"/>
              <w:end w:w="100" w:type="dxa"/>
            </w:tcMar>
          </w:tcPr>
          <w:p>
            <w:pPr>
              <w:spacing w:after="40" w:before="40"/>
            </w:pPr>
            <w:r>
              <w:rPr>
                <w:sz w:val="18"/>
              </w:rPr>
              <w:t>Other requirements or accepted ADRs required for correctness.</w:t>
            </w:r>
          </w:p>
        </w:tc>
      </w:tr>
      <w:tr>
        <w:trPr>
          <w:cantSplit/>
        </w:trPr>
        <w:tc>
          <w:tcPr>
            <w:tcW w:type="dxa" w:w="2160"/>
            <w:vAlign w:val="center"/>
            <w:tcMar>
              <w:top w:w="80" w:type="dxa"/>
              <w:start w:w="100" w:type="dxa"/>
              <w:bottom w:w="80" w:type="dxa"/>
              <w:end w:w="100" w:type="dxa"/>
            </w:tcMar>
          </w:tcPr>
          <w:p>
            <w:pPr>
              <w:spacing w:after="40" w:before="40"/>
            </w:pPr>
            <w:r>
              <w:rPr>
                <w:sz w:val="18"/>
              </w:rPr>
              <w:t>entities</w:t>
            </w:r>
          </w:p>
        </w:tc>
        <w:tc>
          <w:tcPr>
            <w:tcW w:type="dxa" w:w="7488"/>
            <w:vAlign w:val="center"/>
            <w:tcMar>
              <w:top w:w="80" w:type="dxa"/>
              <w:start w:w="100" w:type="dxa"/>
              <w:bottom w:w="80" w:type="dxa"/>
              <w:end w:w="100" w:type="dxa"/>
            </w:tcMar>
          </w:tcPr>
          <w:p>
            <w:pPr>
              <w:spacing w:after="40" w:before="40"/>
            </w:pPr>
            <w:r>
              <w:rPr>
                <w:sz w:val="18"/>
              </w:rPr>
              <w:t>Domain entities owned/changed.</w:t>
            </w:r>
          </w:p>
        </w:tc>
      </w:tr>
      <w:tr>
        <w:trPr>
          <w:cantSplit/>
        </w:trPr>
        <w:tc>
          <w:tcPr>
            <w:tcW w:type="dxa" w:w="2160"/>
            <w:vAlign w:val="center"/>
            <w:tcMar>
              <w:top w:w="80" w:type="dxa"/>
              <w:start w:w="100" w:type="dxa"/>
              <w:bottom w:w="80" w:type="dxa"/>
              <w:end w:w="100" w:type="dxa"/>
            </w:tcMar>
          </w:tcPr>
          <w:p>
            <w:pPr>
              <w:spacing w:after="40" w:before="40"/>
            </w:pPr>
            <w:r>
              <w:rPr>
                <w:sz w:val="18"/>
              </w:rPr>
              <w:t>apis</w:t>
            </w:r>
          </w:p>
        </w:tc>
        <w:tc>
          <w:tcPr>
            <w:tcW w:type="dxa" w:w="7488"/>
            <w:vAlign w:val="center"/>
            <w:tcMar>
              <w:top w:w="80" w:type="dxa"/>
              <w:start w:w="100" w:type="dxa"/>
              <w:bottom w:w="80" w:type="dxa"/>
              <w:end w:w="100" w:type="dxa"/>
            </w:tcMar>
          </w:tcPr>
          <w:p>
            <w:pPr>
              <w:spacing w:after="40" w:before="40"/>
            </w:pPr>
            <w:r>
              <w:rPr>
                <w:sz w:val="18"/>
              </w:rPr>
              <w:t>HTTP operations affected.</w:t>
            </w:r>
          </w:p>
        </w:tc>
      </w:tr>
      <w:tr>
        <w:trPr>
          <w:cantSplit/>
        </w:trPr>
        <w:tc>
          <w:tcPr>
            <w:tcW w:type="dxa" w:w="2160"/>
            <w:vAlign w:val="center"/>
            <w:tcMar>
              <w:top w:w="80" w:type="dxa"/>
              <w:start w:w="100" w:type="dxa"/>
              <w:bottom w:w="80" w:type="dxa"/>
              <w:end w:w="100" w:type="dxa"/>
            </w:tcMar>
          </w:tcPr>
          <w:p>
            <w:pPr>
              <w:spacing w:after="40" w:before="40"/>
            </w:pPr>
            <w:r>
              <w:rPr>
                <w:sz w:val="18"/>
              </w:rPr>
              <w:t>events</w:t>
            </w:r>
          </w:p>
        </w:tc>
        <w:tc>
          <w:tcPr>
            <w:tcW w:type="dxa" w:w="7488"/>
            <w:vAlign w:val="center"/>
            <w:tcMar>
              <w:top w:w="80" w:type="dxa"/>
              <w:start w:w="100" w:type="dxa"/>
              <w:bottom w:w="80" w:type="dxa"/>
              <w:end w:w="100" w:type="dxa"/>
            </w:tcMar>
          </w:tcPr>
          <w:p>
            <w:pPr>
              <w:spacing w:after="40" w:before="40"/>
            </w:pPr>
            <w:r>
              <w:rPr>
                <w:sz w:val="18"/>
              </w:rPr>
              <w:t>Domain events produced/consumed.</w:t>
            </w:r>
          </w:p>
        </w:tc>
      </w:tr>
      <w:tr>
        <w:trPr>
          <w:cantSplit/>
        </w:trPr>
        <w:tc>
          <w:tcPr>
            <w:tcW w:type="dxa" w:w="2160"/>
            <w:vAlign w:val="center"/>
            <w:tcMar>
              <w:top w:w="80" w:type="dxa"/>
              <w:start w:w="100" w:type="dxa"/>
              <w:bottom w:w="80" w:type="dxa"/>
              <w:end w:w="100" w:type="dxa"/>
            </w:tcMar>
          </w:tcPr>
          <w:p>
            <w:pPr>
              <w:spacing w:after="40" w:before="40"/>
            </w:pPr>
            <w:r>
              <w:rPr>
                <w:sz w:val="18"/>
              </w:rPr>
              <w:t>authorization</w:t>
            </w:r>
          </w:p>
        </w:tc>
        <w:tc>
          <w:tcPr>
            <w:tcW w:type="dxa" w:w="7488"/>
            <w:vAlign w:val="center"/>
            <w:tcMar>
              <w:top w:w="80" w:type="dxa"/>
              <w:start w:w="100" w:type="dxa"/>
              <w:bottom w:w="80" w:type="dxa"/>
              <w:end w:w="100" w:type="dxa"/>
            </w:tcMar>
          </w:tcPr>
          <w:p>
            <w:pPr>
              <w:spacing w:after="40" w:before="40"/>
            </w:pPr>
            <w:r>
              <w:rPr>
                <w:sz w:val="18"/>
              </w:rPr>
              <w:t>RBAC/ABAC and tenant/jurisdiction constraints.</w:t>
            </w:r>
          </w:p>
        </w:tc>
      </w:tr>
      <w:tr>
        <w:trPr>
          <w:cantSplit/>
        </w:trPr>
        <w:tc>
          <w:tcPr>
            <w:tcW w:type="dxa" w:w="2160"/>
            <w:vAlign w:val="center"/>
            <w:tcMar>
              <w:top w:w="80" w:type="dxa"/>
              <w:start w:w="100" w:type="dxa"/>
              <w:bottom w:w="80" w:type="dxa"/>
              <w:end w:w="100" w:type="dxa"/>
            </w:tcMar>
          </w:tcPr>
          <w:p>
            <w:pPr>
              <w:spacing w:after="40" w:before="40"/>
            </w:pPr>
            <w:r>
              <w:rPr>
                <w:sz w:val="18"/>
              </w:rPr>
              <w:t>tests</w:t>
            </w:r>
          </w:p>
        </w:tc>
        <w:tc>
          <w:tcPr>
            <w:tcW w:type="dxa" w:w="7488"/>
            <w:vAlign w:val="center"/>
            <w:tcMar>
              <w:top w:w="80" w:type="dxa"/>
              <w:start w:w="100" w:type="dxa"/>
              <w:bottom w:w="80" w:type="dxa"/>
              <w:end w:w="100" w:type="dxa"/>
            </w:tcMar>
          </w:tcPr>
          <w:p>
            <w:pPr>
              <w:spacing w:after="40" w:before="40"/>
            </w:pPr>
            <w:r>
              <w:rPr>
                <w:sz w:val="18"/>
              </w:rPr>
              <w:t>Automated test identifiers and negative tests.</w:t>
            </w:r>
          </w:p>
        </w:tc>
      </w:tr>
      <w:tr>
        <w:trPr>
          <w:cantSplit/>
        </w:trPr>
        <w:tc>
          <w:tcPr>
            <w:tcW w:type="dxa" w:w="2160"/>
            <w:vAlign w:val="center"/>
            <w:tcMar>
              <w:top w:w="80" w:type="dxa"/>
              <w:start w:w="100" w:type="dxa"/>
              <w:bottom w:w="80" w:type="dxa"/>
              <w:end w:w="100" w:type="dxa"/>
            </w:tcMar>
          </w:tcPr>
          <w:p>
            <w:pPr>
              <w:spacing w:after="40" w:before="40"/>
            </w:pPr>
            <w:r>
              <w:rPr>
                <w:sz w:val="18"/>
              </w:rPr>
              <w:t>telemetry</w:t>
            </w:r>
          </w:p>
        </w:tc>
        <w:tc>
          <w:tcPr>
            <w:tcW w:type="dxa" w:w="7488"/>
            <w:vAlign w:val="center"/>
            <w:tcMar>
              <w:top w:w="80" w:type="dxa"/>
              <w:start w:w="100" w:type="dxa"/>
              <w:bottom w:w="80" w:type="dxa"/>
              <w:end w:w="100" w:type="dxa"/>
            </w:tcMar>
          </w:tcPr>
          <w:p>
            <w:pPr>
              <w:spacing w:after="40" w:before="40"/>
            </w:pPr>
            <w:r>
              <w:rPr>
                <w:sz w:val="18"/>
              </w:rPr>
              <w:t>Metrics/traces/log fields proving runtime behavior.</w:t>
            </w:r>
          </w:p>
        </w:tc>
      </w:tr>
      <w:tr>
        <w:trPr>
          <w:cantSplit/>
        </w:trPr>
        <w:tc>
          <w:tcPr>
            <w:tcW w:type="dxa" w:w="2160"/>
            <w:vAlign w:val="center"/>
            <w:tcMar>
              <w:top w:w="80" w:type="dxa"/>
              <w:start w:w="100" w:type="dxa"/>
              <w:bottom w:w="80" w:type="dxa"/>
              <w:end w:w="100" w:type="dxa"/>
            </w:tcMar>
          </w:tcPr>
          <w:p>
            <w:pPr>
              <w:spacing w:after="40" w:before="40"/>
            </w:pPr>
            <w:r>
              <w:rPr>
                <w:sz w:val="18"/>
              </w:rPr>
              <w:t>implementation</w:t>
            </w:r>
          </w:p>
        </w:tc>
        <w:tc>
          <w:tcPr>
            <w:tcW w:type="dxa" w:w="7488"/>
            <w:vAlign w:val="center"/>
            <w:tcMar>
              <w:top w:w="80" w:type="dxa"/>
              <w:start w:w="100" w:type="dxa"/>
              <w:bottom w:w="80" w:type="dxa"/>
              <w:end w:w="100" w:type="dxa"/>
            </w:tcMar>
          </w:tcPr>
          <w:p>
            <w:pPr>
              <w:spacing w:after="40" w:before="40"/>
            </w:pPr>
            <w:r>
              <w:rPr>
                <w:sz w:val="18"/>
              </w:rPr>
              <w:t>Source paths/PR/commit once implemented.</w:t>
            </w:r>
          </w:p>
        </w:tc>
      </w:tr>
    </w:tbl>
    <w:p>
      <w:r>
        <w:t>Example machine-readable traceability record:</w:t>
      </w:r>
    </w:p>
    <w:tbl>
      <w:tblPr>
        <w:tblStyle w:val="TableGrid"/>
        <w:tblW w:type="auto" w:w="0"/>
        <w:tblLayout w:type="fixed"/>
        <w:tblLook w:firstColumn="1" w:firstRow="1" w:lastColumn="0" w:lastRow="0" w:noHBand="0" w:noVBand="1" w:val="04A0"/>
      </w:tblPr>
      <w:tblGrid>
        <w:gridCol w:w="10080"/>
      </w:tblGrid>
      <w:tr>
        <w:trPr>
          <w:tblHeader w:val="true"/>
          <w:cantSplit/>
        </w:trPr>
        <w:tc>
          <w:tcPr>
            <w:tcW w:type="dxa" w:w="9648"/>
            <w:vAlign w:val="center"/>
            <w:tcMar>
              <w:top w:w="80" w:type="dxa"/>
              <w:start w:w="100" w:type="dxa"/>
              <w:bottom w:w="80" w:type="dxa"/>
              <w:end w:w="100" w:type="dxa"/>
            </w:tcMar>
          </w:tcPr>
          <w:p>
            <w:pPr>
              <w:spacing w:after="40" w:before="40"/>
            </w:pPr>
            <w:r>
              <w:rPr>
                <w:rFonts w:ascii="Courier New" w:hAnsi="Courier New"/>
                <w:sz w:val="17"/>
              </w:rPr>
              <w:t>id: WF-003</w:t>
              <w:br/>
              <w:t>name: Jurisdiction-aware task assignment</w:t>
              <w:br/>
              <w:t>depends_on: [TEN-002, TEN-004, SEC-001]</w:t>
              <w:br/>
              <w:t>entities: [WorkflowInstance, Task, Office, Jurisdiction, RoleAssignment]</w:t>
              <w:br/>
              <w:t>apis: [POST /v1/tasks/{id}/claim, POST /v1/tasks/{id}/complete]</w:t>
              <w:br/>
              <w:t>events: [TaskCreated, TaskClaimed, TaskCompleted]</w:t>
              <w:br/>
              <w:t>authorization: [tenant_isolation, RBAC, ABAC, jurisdiction_scope]</w:t>
              <w:br/>
              <w:t>tests: [WF-003-T01, WF-003-T02, WF-003-T03]</w:t>
              <w:br/>
              <w:t>acceptance:</w:t>
              <w:br/>
              <w:t xml:space="preserve">  - no named official is stored in the workflow definition</w:t>
              <w:br/>
              <w:t xml:space="preserve">  - assignee resolves dynamically by office, jurisdiction and role</w:t>
              <w:br/>
              <w:t xml:space="preserve">  - transfer/delegation does not require editing published workflow definitions</w:t>
            </w:r>
          </w:p>
        </w:tc>
      </w:tr>
    </w:tbl>
    <w:p>
      <w:pPr>
        <w:pStyle w:val="Heading1"/>
        <w:keepNext/>
      </w:pPr>
      <w:r>
        <w:t>39. Reference Implementation Decisions</w:t>
      </w:r>
    </w:p>
    <w:p>
      <w:r>
        <w:t>The autonomous build package freezes a reference implementation so coding agents can proceed without repeatedly reopening foundational choices. These decisions are implementation defaults rather than statutory requirements; each can be superseded only by a replacement ADR that preserves the architectural contracts.</w:t>
      </w:r>
    </w:p>
    <w:tbl>
      <w:tblPr>
        <w:tblStyle w:val="TableGrid"/>
        <w:tblW w:type="auto" w:w="0"/>
        <w:tblLayout w:type="fixed"/>
        <w:tblLook w:firstColumn="1" w:firstRow="1" w:lastColumn="0" w:lastRow="0" w:noHBand="0" w:noVBand="1" w:val="04A0"/>
      </w:tblPr>
      <w:tblGrid>
        <w:gridCol w:w="3360"/>
        <w:gridCol w:w="3360"/>
        <w:gridCol w:w="3360"/>
      </w:tblGrid>
      <w:tr>
        <w:trPr>
          <w:tblHeader w:val="true"/>
          <w:cantSplit/>
        </w:trPr>
        <w:tc>
          <w:tcPr>
            <w:tcW w:type="dxa" w:w="1152"/>
            <w:vAlign w:val="center"/>
            <w:tcMar>
              <w:top w:w="80" w:type="dxa"/>
              <w:start w:w="100" w:type="dxa"/>
              <w:bottom w:w="80" w:type="dxa"/>
              <w:end w:w="100" w:type="dxa"/>
            </w:tcMar>
            <w:shd w:fill="17365D"/>
          </w:tcPr>
          <w:p>
            <w:pPr>
              <w:spacing w:after="40" w:before="40"/>
            </w:pPr>
            <w:r>
              <w:rPr>
                <w:b/>
                <w:color w:val="FFFFFF"/>
                <w:sz w:val="18"/>
              </w:rPr>
              <w:t>ADR</w:t>
            </w:r>
          </w:p>
        </w:tc>
        <w:tc>
          <w:tcPr>
            <w:tcW w:type="dxa" w:w="7200"/>
            <w:vAlign w:val="center"/>
            <w:tcMar>
              <w:top w:w="80" w:type="dxa"/>
              <w:start w:w="100" w:type="dxa"/>
              <w:bottom w:w="80" w:type="dxa"/>
              <w:end w:w="100" w:type="dxa"/>
            </w:tcMar>
            <w:shd w:fill="17365D"/>
          </w:tcPr>
          <w:p>
            <w:pPr>
              <w:spacing w:after="40" w:before="40"/>
            </w:pPr>
            <w:r>
              <w:rPr>
                <w:b/>
                <w:color w:val="FFFFFF"/>
                <w:sz w:val="18"/>
              </w:rPr>
              <w:t>Accepted reference decision</w:t>
            </w:r>
          </w:p>
        </w:tc>
        <w:tc>
          <w:tcPr>
            <w:tcW w:type="dxa" w:w="1440"/>
            <w:vAlign w:val="center"/>
            <w:tcMar>
              <w:top w:w="80" w:type="dxa"/>
              <w:start w:w="100" w:type="dxa"/>
              <w:bottom w:w="80" w:type="dxa"/>
              <w:end w:w="100" w:type="dxa"/>
            </w:tcMar>
            <w:shd w:fill="17365D"/>
          </w:tcPr>
          <w:p>
            <w:pPr>
              <w:spacing w:after="40" w:before="40"/>
            </w:pPr>
            <w:r>
              <w:rPr>
                <w:b/>
                <w:color w:val="FFFFFF"/>
                <w:sz w:val="18"/>
              </w:rPr>
              <w:t>Change rule</w:t>
            </w:r>
          </w:p>
        </w:tc>
      </w:tr>
      <w:tr>
        <w:trPr>
          <w:cantSplit/>
        </w:trPr>
        <w:tc>
          <w:tcPr>
            <w:tcW w:type="dxa" w:w="1152"/>
            <w:vAlign w:val="center"/>
            <w:tcMar>
              <w:top w:w="80" w:type="dxa"/>
              <w:start w:w="100" w:type="dxa"/>
              <w:bottom w:w="80" w:type="dxa"/>
              <w:end w:w="100" w:type="dxa"/>
            </w:tcMar>
          </w:tcPr>
          <w:p>
            <w:pPr>
              <w:spacing w:after="40" w:before="40"/>
            </w:pPr>
            <w:r>
              <w:rPr>
                <w:sz w:val="18"/>
              </w:rPr>
              <w:t>ADR-001</w:t>
            </w:r>
          </w:p>
        </w:tc>
        <w:tc>
          <w:tcPr>
            <w:tcW w:type="dxa" w:w="7200"/>
            <w:vAlign w:val="center"/>
            <w:tcMar>
              <w:top w:w="80" w:type="dxa"/>
              <w:start w:w="100" w:type="dxa"/>
              <w:bottom w:w="80" w:type="dxa"/>
              <w:end w:w="100" w:type="dxa"/>
            </w:tcMar>
          </w:tcPr>
          <w:p>
            <w:pPr>
              <w:spacing w:after="40" w:before="40"/>
            </w:pPr>
            <w:r>
              <w:rPr>
                <w:sz w:val="18"/>
              </w:rPr>
              <w:t>Cell-based multi-tenancy with pooled, dedicated-schema and dedicated-cell isolation tiers; tenant placement is policy-driven and portable.</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ADR-002</w:t>
            </w:r>
          </w:p>
        </w:tc>
        <w:tc>
          <w:tcPr>
            <w:tcW w:type="dxa" w:w="7200"/>
            <w:vAlign w:val="center"/>
            <w:tcMar>
              <w:top w:w="80" w:type="dxa"/>
              <w:start w:w="100" w:type="dxa"/>
              <w:bottom w:w="80" w:type="dxa"/>
              <w:end w:w="100" w:type="dxa"/>
            </w:tcMar>
          </w:tcPr>
          <w:p>
            <w:pPr>
              <w:spacing w:after="40" w:before="40"/>
            </w:pPr>
            <w:r>
              <w:rPr>
                <w:sz w:val="18"/>
              </w:rPr>
              <w:t>Standards-based OIDC/OAuth 2.x identity federation. Official workforce IAM requires MFA/step-up and supports SAML bridging where needed; citizen identity providers remain pluggable.</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ADR-003</w:t>
            </w:r>
          </w:p>
        </w:tc>
        <w:tc>
          <w:tcPr>
            <w:tcW w:type="dxa" w:w="7200"/>
            <w:vAlign w:val="center"/>
            <w:tcMar>
              <w:top w:w="80" w:type="dxa"/>
              <w:start w:w="100" w:type="dxa"/>
              <w:bottom w:w="80" w:type="dxa"/>
              <w:end w:w="100" w:type="dxa"/>
            </w:tcMar>
          </w:tcPr>
          <w:p>
            <w:pPr>
              <w:spacing w:after="40" w:before="40"/>
            </w:pPr>
            <w:r>
              <w:rPr>
                <w:sz w:val="18"/>
              </w:rPr>
              <w:t>Platform-neutral versioned workflow graph/DSL with durable orchestration through Temporal for timers/retries; human tasks remain explicit domain records so the runtime is replaceable.</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ADR-004</w:t>
            </w:r>
          </w:p>
        </w:tc>
        <w:tc>
          <w:tcPr>
            <w:tcW w:type="dxa" w:w="7200"/>
            <w:vAlign w:val="center"/>
            <w:tcMar>
              <w:top w:w="80" w:type="dxa"/>
              <w:start w:w="100" w:type="dxa"/>
              <w:bottom w:w="80" w:type="dxa"/>
              <w:end w:w="100" w:type="dxa"/>
            </w:tcMar>
          </w:tcPr>
          <w:p>
            <w:pPr>
              <w:spacing w:after="40" w:before="40"/>
            </w:pPr>
            <w:r>
              <w:rPr>
                <w:sz w:val="18"/>
              </w:rPr>
              <w:t>Kafka-compatible event backbone for domain events, PostgreSQL transactional outbox/inbox, idempotency keys and consumer deduplication. Exactly-once business effects are achieved through idempotent design, not broker marketing guarantees.</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ADR-005</w:t>
            </w:r>
          </w:p>
        </w:tc>
        <w:tc>
          <w:tcPr>
            <w:tcW w:type="dxa" w:w="7200"/>
            <w:vAlign w:val="center"/>
            <w:tcMar>
              <w:top w:w="80" w:type="dxa"/>
              <w:start w:w="100" w:type="dxa"/>
              <w:bottom w:w="80" w:type="dxa"/>
              <w:end w:w="100" w:type="dxa"/>
            </w:tcMar>
          </w:tcPr>
          <w:p>
            <w:pPr>
              <w:spacing w:after="40" w:before="40"/>
            </w:pPr>
            <w:r>
              <w:rPr>
                <w:sz w:val="18"/>
              </w:rPr>
              <w:t>S3-compatible encrypted object storage, malware quarantine/scanning, checksum/content metadata, KMS/HSM-backed signing, presigned short-lived access and retention/object-lock policy where required.</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ADR-006</w:t>
            </w:r>
          </w:p>
        </w:tc>
        <w:tc>
          <w:tcPr>
            <w:tcW w:type="dxa" w:w="7200"/>
            <w:vAlign w:val="center"/>
            <w:tcMar>
              <w:top w:w="80" w:type="dxa"/>
              <w:start w:w="100" w:type="dxa"/>
              <w:bottom w:w="80" w:type="dxa"/>
              <w:end w:w="100" w:type="dxa"/>
            </w:tcMar>
          </w:tcPr>
          <w:p>
            <w:pPr>
              <w:spacing w:after="40" w:before="40"/>
            </w:pPr>
            <w:r>
              <w:rPr>
                <w:sz w:val="18"/>
              </w:rPr>
              <w:t>DigiLocker integration behind separate requester and issuer adapters with consent/purpose checks, sandbox certification and no DigiLocker-specific logic inside domain services.</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ADR-007</w:t>
            </w:r>
          </w:p>
        </w:tc>
        <w:tc>
          <w:tcPr>
            <w:tcW w:type="dxa" w:w="7200"/>
            <w:vAlign w:val="center"/>
            <w:tcMar>
              <w:top w:w="80" w:type="dxa"/>
              <w:start w:w="100" w:type="dxa"/>
              <w:bottom w:w="80" w:type="dxa"/>
              <w:end w:w="100" w:type="dxa"/>
            </w:tcMar>
          </w:tcPr>
          <w:p>
            <w:pPr>
              <w:spacing w:after="40" w:before="40"/>
            </w:pPr>
            <w:r>
              <w:rPr>
                <w:sz w:val="18"/>
              </w:rPr>
              <w:t>Payment adapter interface plus an internal immutable payment/reconciliation ledger; gateway callbacks and polling are idempotent and treasury settlement is reconciled independently of the application state.</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ADR-008</w:t>
            </w:r>
          </w:p>
        </w:tc>
        <w:tc>
          <w:tcPr>
            <w:tcW w:type="dxa" w:w="7200"/>
            <w:vAlign w:val="center"/>
            <w:tcMar>
              <w:top w:w="80" w:type="dxa"/>
              <w:start w:w="100" w:type="dxa"/>
              <w:bottom w:w="80" w:type="dxa"/>
              <w:end w:w="100" w:type="dxa"/>
            </w:tcMar>
          </w:tcPr>
          <w:p>
            <w:pPr>
              <w:spacing w:after="40" w:before="40"/>
            </w:pPr>
            <w:r>
              <w:rPr>
                <w:sz w:val="18"/>
              </w:rPr>
              <w:t>Progressive citizen profile as provenance-aware claims with source, verification, freshness, purpose and retention metadata; consent is purpose-specific and revocable for future reuse.</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ADR-009</w:t>
            </w:r>
          </w:p>
        </w:tc>
        <w:tc>
          <w:tcPr>
            <w:tcW w:type="dxa" w:w="7200"/>
            <w:vAlign w:val="center"/>
            <w:tcMar>
              <w:top w:w="80" w:type="dxa"/>
              <w:start w:w="100" w:type="dxa"/>
              <w:bottom w:w="80" w:type="dxa"/>
              <w:end w:w="100" w:type="dxa"/>
            </w:tcMar>
          </w:tcPr>
          <w:p>
            <w:pPr>
              <w:spacing w:after="40" w:before="40"/>
            </w:pPr>
            <w:r>
              <w:rPr>
                <w:sz w:val="18"/>
              </w:rPr>
              <w:t>PostgreSQL is authoritative; OpenSearch provides lexical/fuzzy/hybrid search. Embeddings are ACL/tenant-filtered projections with multilingual evaluation and no autonomous eligibility effect.</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ADR-010</w:t>
            </w:r>
          </w:p>
        </w:tc>
        <w:tc>
          <w:tcPr>
            <w:tcW w:type="dxa" w:w="7200"/>
            <w:vAlign w:val="center"/>
            <w:tcMar>
              <w:top w:w="80" w:type="dxa"/>
              <w:start w:w="100" w:type="dxa"/>
              <w:bottom w:w="80" w:type="dxa"/>
              <w:end w:w="100" w:type="dxa"/>
            </w:tcMar>
          </w:tcPr>
          <w:p>
            <w:pPr>
              <w:spacing w:after="40" w:before="40"/>
            </w:pPr>
            <w:r>
              <w:rPr>
                <w:sz w:val="18"/>
              </w:rPr>
              <w:t>Provider-agnostic AI Gateway with model allowlists, data classification, prompt registry, model/version pinning, source ACLs, redaction, evaluation gates, rate/cost controls and audit of tool calls.</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ADR-011</w:t>
            </w:r>
          </w:p>
        </w:tc>
        <w:tc>
          <w:tcPr>
            <w:tcW w:type="dxa" w:w="7200"/>
            <w:vAlign w:val="center"/>
            <w:tcMar>
              <w:top w:w="80" w:type="dxa"/>
              <w:start w:w="100" w:type="dxa"/>
              <w:bottom w:w="80" w:type="dxa"/>
              <w:end w:w="100" w:type="dxa"/>
            </w:tcMar>
          </w:tcPr>
          <w:p>
            <w:pPr>
              <w:spacing w:after="40" w:before="40"/>
            </w:pPr>
            <w:r>
              <w:rPr>
                <w:sz w:val="18"/>
              </w:rPr>
              <w:t>Signed PDF + QR/status verification is mandatory output baseline; W3C Verifiable Credentials Data Model 2.0 is an optional interoperable representation with privacy-preserving status/revocation profile.</w:t>
            </w:r>
          </w:p>
        </w:tc>
        <w:tc>
          <w:tcPr>
            <w:tcW w:type="dxa" w:w="1440"/>
            <w:vAlign w:val="center"/>
            <w:tcMar>
              <w:top w:w="80" w:type="dxa"/>
              <w:start w:w="100" w:type="dxa"/>
              <w:bottom w:w="80" w:type="dxa"/>
              <w:end w:w="100" w:type="dxa"/>
            </w:tcMar>
          </w:tcPr>
          <w:p>
            <w:pPr>
              <w:spacing w:after="40" w:before="40"/>
            </w:pPr>
            <w:r>
              <w:rPr>
                <w:sz w:val="18"/>
              </w:rPr>
              <w:t>Replacement ADR required</w:t>
            </w:r>
          </w:p>
        </w:tc>
      </w:tr>
      <w:tr>
        <w:trPr>
          <w:cantSplit/>
        </w:trPr>
        <w:tc>
          <w:tcPr>
            <w:tcW w:type="dxa" w:w="1152"/>
            <w:vAlign w:val="center"/>
            <w:tcMar>
              <w:top w:w="80" w:type="dxa"/>
              <w:start w:w="100" w:type="dxa"/>
              <w:bottom w:w="80" w:type="dxa"/>
              <w:end w:w="100" w:type="dxa"/>
            </w:tcMar>
          </w:tcPr>
          <w:p>
            <w:pPr>
              <w:spacing w:after="40" w:before="40"/>
            </w:pPr>
            <w:r>
              <w:rPr>
                <w:sz w:val="18"/>
              </w:rPr>
              <w:t>ADR-012</w:t>
            </w:r>
          </w:p>
        </w:tc>
        <w:tc>
          <w:tcPr>
            <w:tcW w:type="dxa" w:w="7200"/>
            <w:vAlign w:val="center"/>
            <w:tcMar>
              <w:top w:w="80" w:type="dxa"/>
              <w:start w:w="100" w:type="dxa"/>
              <w:bottom w:w="80" w:type="dxa"/>
              <w:end w:w="100" w:type="dxa"/>
            </w:tcMar>
          </w:tcPr>
          <w:p>
            <w:pPr>
              <w:spacing w:after="40" w:before="40"/>
            </w:pPr>
            <w:r>
              <w:rPr>
                <w:sz w:val="18"/>
              </w:rPr>
              <w:t>Cell-level multi-site DR with tiered RPO/RTO, encrypted replicated backups, restore drills, multi-custodian key recovery and documented failover/failback runbooks.</w:t>
            </w:r>
          </w:p>
        </w:tc>
        <w:tc>
          <w:tcPr>
            <w:tcW w:type="dxa" w:w="1440"/>
            <w:vAlign w:val="center"/>
            <w:tcMar>
              <w:top w:w="80" w:type="dxa"/>
              <w:start w:w="100" w:type="dxa"/>
              <w:bottom w:w="80" w:type="dxa"/>
              <w:end w:w="100" w:type="dxa"/>
            </w:tcMar>
          </w:tcPr>
          <w:p>
            <w:pPr>
              <w:spacing w:after="40" w:before="40"/>
            </w:pPr>
            <w:r>
              <w:rPr>
                <w:sz w:val="18"/>
              </w:rPr>
              <w:t>Replacement ADR required</w:t>
            </w:r>
          </w:p>
        </w:tc>
      </w:tr>
    </w:tbl>
    <w:p>
      <w:pPr>
        <w:pStyle w:val="Heading1"/>
        <w:keepNext/>
      </w:pPr>
      <w:r>
        <w:t>40. Autonomous Build Quality Gates</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cantSplit/>
        </w:trPr>
        <w:tc>
          <w:tcPr>
            <w:tcW w:type="dxa" w:w="1440"/>
            <w:vAlign w:val="center"/>
            <w:tcMar>
              <w:top w:w="80" w:type="dxa"/>
              <w:start w:w="100" w:type="dxa"/>
              <w:bottom w:w="80" w:type="dxa"/>
              <w:end w:w="100" w:type="dxa"/>
            </w:tcMar>
            <w:shd w:fill="17365D"/>
          </w:tcPr>
          <w:p>
            <w:pPr>
              <w:spacing w:after="40" w:before="40"/>
            </w:pPr>
            <w:r>
              <w:rPr>
                <w:b/>
                <w:color w:val="FFFFFF"/>
                <w:sz w:val="18"/>
              </w:rPr>
              <w:t>Gate</w:t>
            </w:r>
          </w:p>
        </w:tc>
        <w:tc>
          <w:tcPr>
            <w:tcW w:type="dxa" w:w="5184"/>
            <w:vAlign w:val="center"/>
            <w:tcMar>
              <w:top w:w="80" w:type="dxa"/>
              <w:start w:w="100" w:type="dxa"/>
              <w:bottom w:w="80" w:type="dxa"/>
              <w:end w:w="100" w:type="dxa"/>
            </w:tcMar>
            <w:shd w:fill="17365D"/>
          </w:tcPr>
          <w:p>
            <w:pPr>
              <w:spacing w:after="40" w:before="40"/>
            </w:pPr>
            <w:r>
              <w:rPr>
                <w:b/>
                <w:color w:val="FFFFFF"/>
                <w:sz w:val="18"/>
              </w:rPr>
              <w:t>Scope</w:t>
            </w:r>
          </w:p>
        </w:tc>
        <w:tc>
          <w:tcPr>
            <w:tcW w:type="dxa" w:w="2304"/>
            <w:vAlign w:val="center"/>
            <w:tcMar>
              <w:top w:w="80" w:type="dxa"/>
              <w:start w:w="100" w:type="dxa"/>
              <w:bottom w:w="80" w:type="dxa"/>
              <w:end w:w="100" w:type="dxa"/>
            </w:tcMar>
            <w:shd w:fill="17365D"/>
          </w:tcPr>
          <w:p>
            <w:pPr>
              <w:spacing w:after="40" w:before="40"/>
            </w:pPr>
            <w:r>
              <w:rPr>
                <w:b/>
                <w:color w:val="FFFFFF"/>
                <w:sz w:val="18"/>
              </w:rPr>
              <w:t>Evidence</w:t>
            </w:r>
          </w:p>
        </w:tc>
        <w:tc>
          <w:tcPr>
            <w:tcW w:type="dxa" w:w="1152"/>
            <w:vAlign w:val="center"/>
            <w:tcMar>
              <w:top w:w="80" w:type="dxa"/>
              <w:start w:w="100" w:type="dxa"/>
              <w:bottom w:w="80" w:type="dxa"/>
              <w:end w:w="100" w:type="dxa"/>
            </w:tcMar>
            <w:shd w:fill="17365D"/>
          </w:tcPr>
          <w:p>
            <w:pPr>
              <w:spacing w:after="40" w:before="40"/>
            </w:pPr>
            <w:r>
              <w:rPr>
                <w:b/>
                <w:color w:val="FFFFFF"/>
                <w:sz w:val="18"/>
              </w:rPr>
              <w:t>Policy</w:t>
            </w:r>
          </w:p>
        </w:tc>
      </w:tr>
      <w:tr>
        <w:trPr>
          <w:cantSplit/>
        </w:trPr>
        <w:tc>
          <w:tcPr>
            <w:tcW w:type="dxa" w:w="1440"/>
            <w:vAlign w:val="center"/>
            <w:tcMar>
              <w:top w:w="80" w:type="dxa"/>
              <w:start w:w="100" w:type="dxa"/>
              <w:bottom w:w="80" w:type="dxa"/>
              <w:end w:w="100" w:type="dxa"/>
            </w:tcMar>
          </w:tcPr>
          <w:p>
            <w:pPr>
              <w:spacing w:after="40" w:before="40"/>
            </w:pPr>
            <w:r>
              <w:rPr>
                <w:sz w:val="18"/>
              </w:rPr>
              <w:t>G0 Spec integrity</w:t>
            </w:r>
          </w:p>
        </w:tc>
        <w:tc>
          <w:tcPr>
            <w:tcW w:type="dxa" w:w="5184"/>
            <w:vAlign w:val="center"/>
            <w:tcMar>
              <w:top w:w="80" w:type="dxa"/>
              <w:start w:w="100" w:type="dxa"/>
              <w:bottom w:w="80" w:type="dxa"/>
              <w:end w:w="100" w:type="dxa"/>
            </w:tcMar>
          </w:tcPr>
          <w:p>
            <w:pPr>
              <w:spacing w:after="40" w:before="40"/>
            </w:pPr>
            <w:r>
              <w:rPr>
                <w:sz w:val="18"/>
              </w:rPr>
              <w:t>Requirement ID exists; schemas/contracts parse; ADR references resolve; no placeholder statutory decision.</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w:t>
            </w:r>
          </w:p>
        </w:tc>
      </w:tr>
      <w:tr>
        <w:trPr>
          <w:cantSplit/>
        </w:trPr>
        <w:tc>
          <w:tcPr>
            <w:tcW w:type="dxa" w:w="1440"/>
            <w:vAlign w:val="center"/>
            <w:tcMar>
              <w:top w:w="80" w:type="dxa"/>
              <w:start w:w="100" w:type="dxa"/>
              <w:bottom w:w="80" w:type="dxa"/>
              <w:end w:w="100" w:type="dxa"/>
            </w:tcMar>
          </w:tcPr>
          <w:p>
            <w:pPr>
              <w:spacing w:after="40" w:before="40"/>
            </w:pPr>
            <w:r>
              <w:rPr>
                <w:sz w:val="18"/>
              </w:rPr>
              <w:t>G1 Architecture</w:t>
            </w:r>
          </w:p>
        </w:tc>
        <w:tc>
          <w:tcPr>
            <w:tcW w:type="dxa" w:w="5184"/>
            <w:vAlign w:val="center"/>
            <w:tcMar>
              <w:top w:w="80" w:type="dxa"/>
              <w:start w:w="100" w:type="dxa"/>
              <w:bottom w:w="80" w:type="dxa"/>
              <w:end w:w="100" w:type="dxa"/>
            </w:tcMar>
          </w:tcPr>
          <w:p>
            <w:pPr>
              <w:spacing w:after="40" w:before="40"/>
            </w:pPr>
            <w:r>
              <w:rPr>
                <w:sz w:val="18"/>
              </w:rPr>
              <w:t>Constitution checks, dependency direction, domain ownership and no hard-coded jurisdiction/service branches.</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w:t>
            </w:r>
          </w:p>
        </w:tc>
      </w:tr>
      <w:tr>
        <w:trPr>
          <w:cantSplit/>
        </w:trPr>
        <w:tc>
          <w:tcPr>
            <w:tcW w:type="dxa" w:w="1440"/>
            <w:vAlign w:val="center"/>
            <w:tcMar>
              <w:top w:w="80" w:type="dxa"/>
              <w:start w:w="100" w:type="dxa"/>
              <w:bottom w:w="80" w:type="dxa"/>
              <w:end w:w="100" w:type="dxa"/>
            </w:tcMar>
          </w:tcPr>
          <w:p>
            <w:pPr>
              <w:spacing w:after="40" w:before="40"/>
            </w:pPr>
            <w:r>
              <w:rPr>
                <w:sz w:val="18"/>
              </w:rPr>
              <w:t>G2 Data &amp; tenancy</w:t>
            </w:r>
          </w:p>
        </w:tc>
        <w:tc>
          <w:tcPr>
            <w:tcW w:type="dxa" w:w="5184"/>
            <w:vAlign w:val="center"/>
            <w:tcMar>
              <w:top w:w="80" w:type="dxa"/>
              <w:start w:w="100" w:type="dxa"/>
              <w:bottom w:w="80" w:type="dxa"/>
              <w:end w:w="100" w:type="dxa"/>
            </w:tcMar>
          </w:tcPr>
          <w:p>
            <w:pPr>
              <w:spacing w:after="40" w:before="40"/>
            </w:pPr>
            <w:r>
              <w:rPr>
                <w:sz w:val="18"/>
              </w:rPr>
              <w:t>Migration review, tenant_id/RLS tests, object/cache/search/event isolation and exportability.</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w:t>
            </w:r>
          </w:p>
        </w:tc>
      </w:tr>
      <w:tr>
        <w:trPr>
          <w:cantSplit/>
        </w:trPr>
        <w:tc>
          <w:tcPr>
            <w:tcW w:type="dxa" w:w="1440"/>
            <w:vAlign w:val="center"/>
            <w:tcMar>
              <w:top w:w="80" w:type="dxa"/>
              <w:start w:w="100" w:type="dxa"/>
              <w:bottom w:w="80" w:type="dxa"/>
              <w:end w:w="100" w:type="dxa"/>
            </w:tcMar>
          </w:tcPr>
          <w:p>
            <w:pPr>
              <w:spacing w:after="40" w:before="40"/>
            </w:pPr>
            <w:r>
              <w:rPr>
                <w:sz w:val="18"/>
              </w:rPr>
              <w:t>G3 Security</w:t>
            </w:r>
          </w:p>
        </w:tc>
        <w:tc>
          <w:tcPr>
            <w:tcW w:type="dxa" w:w="5184"/>
            <w:vAlign w:val="center"/>
            <w:tcMar>
              <w:top w:w="80" w:type="dxa"/>
              <w:start w:w="100" w:type="dxa"/>
              <w:bottom w:w="80" w:type="dxa"/>
              <w:end w:w="100" w:type="dxa"/>
            </w:tcMar>
          </w:tcPr>
          <w:p>
            <w:pPr>
              <w:spacing w:after="40" w:before="40"/>
            </w:pPr>
            <w:r>
              <w:rPr>
                <w:sz w:val="18"/>
              </w:rPr>
              <w:t>SAST, dependency/secret scan, authz negative tests, input validation, SSRF/IDOR checks and threat-model delta.</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w:t>
            </w:r>
          </w:p>
        </w:tc>
      </w:tr>
      <w:tr>
        <w:trPr>
          <w:cantSplit/>
        </w:trPr>
        <w:tc>
          <w:tcPr>
            <w:tcW w:type="dxa" w:w="1440"/>
            <w:vAlign w:val="center"/>
            <w:tcMar>
              <w:top w:w="80" w:type="dxa"/>
              <w:start w:w="100" w:type="dxa"/>
              <w:bottom w:w="80" w:type="dxa"/>
              <w:end w:w="100" w:type="dxa"/>
            </w:tcMar>
          </w:tcPr>
          <w:p>
            <w:pPr>
              <w:spacing w:after="40" w:before="40"/>
            </w:pPr>
            <w:r>
              <w:rPr>
                <w:sz w:val="18"/>
              </w:rPr>
              <w:t>G4 Privacy</w:t>
            </w:r>
          </w:p>
        </w:tc>
        <w:tc>
          <w:tcPr>
            <w:tcW w:type="dxa" w:w="5184"/>
            <w:vAlign w:val="center"/>
            <w:tcMar>
              <w:top w:w="80" w:type="dxa"/>
              <w:start w:w="100" w:type="dxa"/>
              <w:bottom w:w="80" w:type="dxa"/>
              <w:end w:w="100" w:type="dxa"/>
            </w:tcMar>
          </w:tcPr>
          <w:p>
            <w:pPr>
              <w:spacing w:after="40" w:before="40"/>
            </w:pPr>
            <w:r>
              <w:rPr>
                <w:sz w:val="18"/>
              </w:rPr>
              <w:t>PII inventory delta, purpose/retention checks, logging/prompt redaction and data-access auditability.</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w:t>
            </w:r>
          </w:p>
        </w:tc>
      </w:tr>
      <w:tr>
        <w:trPr>
          <w:cantSplit/>
        </w:trPr>
        <w:tc>
          <w:tcPr>
            <w:tcW w:type="dxa" w:w="1440"/>
            <w:vAlign w:val="center"/>
            <w:tcMar>
              <w:top w:w="80" w:type="dxa"/>
              <w:start w:w="100" w:type="dxa"/>
              <w:bottom w:w="80" w:type="dxa"/>
              <w:end w:w="100" w:type="dxa"/>
            </w:tcMar>
          </w:tcPr>
          <w:p>
            <w:pPr>
              <w:spacing w:after="40" w:before="40"/>
            </w:pPr>
            <w:r>
              <w:rPr>
                <w:sz w:val="18"/>
              </w:rPr>
              <w:t>G5 Contracts</w:t>
            </w:r>
          </w:p>
        </w:tc>
        <w:tc>
          <w:tcPr>
            <w:tcW w:type="dxa" w:w="5184"/>
            <w:vAlign w:val="center"/>
            <w:tcMar>
              <w:top w:w="80" w:type="dxa"/>
              <w:start w:w="100" w:type="dxa"/>
              <w:bottom w:w="80" w:type="dxa"/>
              <w:end w:w="100" w:type="dxa"/>
            </w:tcMar>
          </w:tcPr>
          <w:p>
            <w:pPr>
              <w:spacing w:after="40" w:before="40"/>
            </w:pPr>
            <w:r>
              <w:rPr>
                <w:sz w:val="18"/>
              </w:rPr>
              <w:t>OpenAPI/AsyncAPI/schema compatibility and consumer/producer contract tests.</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w:t>
            </w:r>
          </w:p>
        </w:tc>
      </w:tr>
      <w:tr>
        <w:trPr>
          <w:cantSplit/>
        </w:trPr>
        <w:tc>
          <w:tcPr>
            <w:tcW w:type="dxa" w:w="1440"/>
            <w:vAlign w:val="center"/>
            <w:tcMar>
              <w:top w:w="80" w:type="dxa"/>
              <w:start w:w="100" w:type="dxa"/>
              <w:bottom w:w="80" w:type="dxa"/>
              <w:end w:w="100" w:type="dxa"/>
            </w:tcMar>
          </w:tcPr>
          <w:p>
            <w:pPr>
              <w:spacing w:after="40" w:before="40"/>
            </w:pPr>
            <w:r>
              <w:rPr>
                <w:sz w:val="18"/>
              </w:rPr>
              <w:t>G6 Functional</w:t>
            </w:r>
          </w:p>
        </w:tc>
        <w:tc>
          <w:tcPr>
            <w:tcW w:type="dxa" w:w="5184"/>
            <w:vAlign w:val="center"/>
            <w:tcMar>
              <w:top w:w="80" w:type="dxa"/>
              <w:start w:w="100" w:type="dxa"/>
              <w:bottom w:w="80" w:type="dxa"/>
              <w:end w:w="100" w:type="dxa"/>
            </w:tcMar>
          </w:tcPr>
          <w:p>
            <w:pPr>
              <w:spacing w:after="40" w:before="40"/>
            </w:pPr>
            <w:r>
              <w:rPr>
                <w:sz w:val="18"/>
              </w:rPr>
              <w:t>Unit/integration/e2e tests mapped to requirement IDs including negative/edge cases.</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w:t>
            </w:r>
          </w:p>
        </w:tc>
      </w:tr>
      <w:tr>
        <w:trPr>
          <w:cantSplit/>
        </w:trPr>
        <w:tc>
          <w:tcPr>
            <w:tcW w:type="dxa" w:w="1440"/>
            <w:vAlign w:val="center"/>
            <w:tcMar>
              <w:top w:w="80" w:type="dxa"/>
              <w:start w:w="100" w:type="dxa"/>
              <w:bottom w:w="80" w:type="dxa"/>
              <w:end w:w="100" w:type="dxa"/>
            </w:tcMar>
          </w:tcPr>
          <w:p>
            <w:pPr>
              <w:spacing w:after="40" w:before="40"/>
            </w:pPr>
            <w:r>
              <w:rPr>
                <w:sz w:val="18"/>
              </w:rPr>
              <w:t>G7 UX &amp; accessibility</w:t>
            </w:r>
          </w:p>
        </w:tc>
        <w:tc>
          <w:tcPr>
            <w:tcW w:type="dxa" w:w="5184"/>
            <w:vAlign w:val="center"/>
            <w:tcMar>
              <w:top w:w="80" w:type="dxa"/>
              <w:start w:w="100" w:type="dxa"/>
              <w:bottom w:w="80" w:type="dxa"/>
              <w:end w:w="100" w:type="dxa"/>
            </w:tcMar>
          </w:tcPr>
          <w:p>
            <w:pPr>
              <w:spacing w:after="40" w:before="40"/>
            </w:pPr>
            <w:r>
              <w:rPr>
                <w:sz w:val="18"/>
              </w:rPr>
              <w:t>Keyboard, semantic markup, errors, focus, reflow and approved GIGW/WCAG checks for changed citizen flows.</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 for citizen UI</w:t>
            </w:r>
          </w:p>
        </w:tc>
      </w:tr>
      <w:tr>
        <w:trPr>
          <w:cantSplit/>
        </w:trPr>
        <w:tc>
          <w:tcPr>
            <w:tcW w:type="dxa" w:w="1440"/>
            <w:vAlign w:val="center"/>
            <w:tcMar>
              <w:top w:w="80" w:type="dxa"/>
              <w:start w:w="100" w:type="dxa"/>
              <w:bottom w:w="80" w:type="dxa"/>
              <w:end w:w="100" w:type="dxa"/>
            </w:tcMar>
          </w:tcPr>
          <w:p>
            <w:pPr>
              <w:spacing w:after="40" w:before="40"/>
            </w:pPr>
            <w:r>
              <w:rPr>
                <w:sz w:val="18"/>
              </w:rPr>
              <w:t>G8 Reliability</w:t>
            </w:r>
          </w:p>
        </w:tc>
        <w:tc>
          <w:tcPr>
            <w:tcW w:type="dxa" w:w="5184"/>
            <w:vAlign w:val="center"/>
            <w:tcMar>
              <w:top w:w="80" w:type="dxa"/>
              <w:start w:w="100" w:type="dxa"/>
              <w:bottom w:w="80" w:type="dxa"/>
              <w:end w:w="100" w:type="dxa"/>
            </w:tcMar>
          </w:tcPr>
          <w:p>
            <w:pPr>
              <w:spacing w:after="40" w:before="40"/>
            </w:pPr>
            <w:r>
              <w:rPr>
                <w:sz w:val="18"/>
              </w:rPr>
              <w:t>Timeout/retry/idempotency, chaos/failure path, telemetry and SLO impact reviewed.</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 for material path</w:t>
            </w:r>
          </w:p>
        </w:tc>
      </w:tr>
      <w:tr>
        <w:trPr>
          <w:cantSplit/>
        </w:trPr>
        <w:tc>
          <w:tcPr>
            <w:tcW w:type="dxa" w:w="1440"/>
            <w:vAlign w:val="center"/>
            <w:tcMar>
              <w:top w:w="80" w:type="dxa"/>
              <w:start w:w="100" w:type="dxa"/>
              <w:bottom w:w="80" w:type="dxa"/>
              <w:end w:w="100" w:type="dxa"/>
            </w:tcMar>
          </w:tcPr>
          <w:p>
            <w:pPr>
              <w:spacing w:after="40" w:before="40"/>
            </w:pPr>
            <w:r>
              <w:rPr>
                <w:sz w:val="18"/>
              </w:rPr>
              <w:t>G9 Performance</w:t>
            </w:r>
          </w:p>
        </w:tc>
        <w:tc>
          <w:tcPr>
            <w:tcW w:type="dxa" w:w="5184"/>
            <w:vAlign w:val="center"/>
            <w:tcMar>
              <w:top w:w="80" w:type="dxa"/>
              <w:start w:w="100" w:type="dxa"/>
              <w:bottom w:w="80" w:type="dxa"/>
              <w:end w:w="100" w:type="dxa"/>
            </w:tcMar>
          </w:tcPr>
          <w:p>
            <w:pPr>
              <w:spacing w:after="40" w:before="40"/>
            </w:pPr>
            <w:r>
              <w:rPr>
                <w:sz w:val="18"/>
              </w:rPr>
              <w:t>Budget/load tests for changed hot paths; no unbounded queries or N+1 patterns.</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Threshold based</w:t>
            </w:r>
          </w:p>
        </w:tc>
      </w:tr>
      <w:tr>
        <w:trPr>
          <w:cantSplit/>
        </w:trPr>
        <w:tc>
          <w:tcPr>
            <w:tcW w:type="dxa" w:w="1440"/>
            <w:vAlign w:val="center"/>
            <w:tcMar>
              <w:top w:w="80" w:type="dxa"/>
              <w:start w:w="100" w:type="dxa"/>
              <w:bottom w:w="80" w:type="dxa"/>
              <w:end w:w="100" w:type="dxa"/>
            </w:tcMar>
          </w:tcPr>
          <w:p>
            <w:pPr>
              <w:spacing w:after="40" w:before="40"/>
            </w:pPr>
            <w:r>
              <w:rPr>
                <w:sz w:val="18"/>
              </w:rPr>
              <w:t>G10 AI safety</w:t>
            </w:r>
          </w:p>
        </w:tc>
        <w:tc>
          <w:tcPr>
            <w:tcW w:type="dxa" w:w="5184"/>
            <w:vAlign w:val="center"/>
            <w:tcMar>
              <w:top w:w="80" w:type="dxa"/>
              <w:start w:w="100" w:type="dxa"/>
              <w:bottom w:w="80" w:type="dxa"/>
              <w:end w:w="100" w:type="dxa"/>
            </w:tcMar>
          </w:tcPr>
          <w:p>
            <w:pPr>
              <w:spacing w:after="40" w:before="40"/>
            </w:pPr>
            <w:r>
              <w:rPr>
                <w:sz w:val="18"/>
              </w:rPr>
              <w:t>Grounding, prompt-injection/tool-permission tests, model/version pinning and evaluation threshold for AI changes.</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 for AI capability</w:t>
            </w:r>
          </w:p>
        </w:tc>
      </w:tr>
      <w:tr>
        <w:trPr>
          <w:cantSplit/>
        </w:trPr>
        <w:tc>
          <w:tcPr>
            <w:tcW w:type="dxa" w:w="1440"/>
            <w:vAlign w:val="center"/>
            <w:tcMar>
              <w:top w:w="80" w:type="dxa"/>
              <w:start w:w="100" w:type="dxa"/>
              <w:bottom w:w="80" w:type="dxa"/>
              <w:end w:w="100" w:type="dxa"/>
            </w:tcMar>
          </w:tcPr>
          <w:p>
            <w:pPr>
              <w:spacing w:after="40" w:before="40"/>
            </w:pPr>
            <w:r>
              <w:rPr>
                <w:sz w:val="18"/>
              </w:rPr>
              <w:t>G11 Human approval</w:t>
            </w:r>
          </w:p>
        </w:tc>
        <w:tc>
          <w:tcPr>
            <w:tcW w:type="dxa" w:w="5184"/>
            <w:vAlign w:val="center"/>
            <w:tcMar>
              <w:top w:w="80" w:type="dxa"/>
              <w:start w:w="100" w:type="dxa"/>
              <w:bottom w:w="80" w:type="dxa"/>
              <w:end w:w="100" w:type="dxa"/>
            </w:tcMar>
          </w:tcPr>
          <w:p>
            <w:pPr>
              <w:spacing w:after="40" w:before="40"/>
            </w:pPr>
            <w:r>
              <w:rPr>
                <w:sz w:val="18"/>
              </w:rPr>
              <w:t>Code review plus policy/security/architecture approvals where change class requires them.</w:t>
            </w:r>
          </w:p>
        </w:tc>
        <w:tc>
          <w:tcPr>
            <w:tcW w:type="dxa" w:w="2304"/>
            <w:vAlign w:val="center"/>
            <w:tcMar>
              <w:top w:w="80" w:type="dxa"/>
              <w:start w:w="100" w:type="dxa"/>
              <w:bottom w:w="80" w:type="dxa"/>
              <w:end w:w="100" w:type="dxa"/>
            </w:tcMar>
          </w:tcPr>
          <w:p>
            <w:pPr>
              <w:spacing w:after="40" w:before="40"/>
            </w:pPr>
            <w:r>
              <w:rPr>
                <w:sz w:val="18"/>
              </w:rPr>
              <w:t>Machine-readable CI result + linked test/report</w:t>
            </w:r>
          </w:p>
        </w:tc>
        <w:tc>
          <w:tcPr>
            <w:tcW w:type="dxa" w:w="1152"/>
            <w:vAlign w:val="center"/>
            <w:tcMar>
              <w:top w:w="80" w:type="dxa"/>
              <w:start w:w="100" w:type="dxa"/>
              <w:bottom w:w="80" w:type="dxa"/>
              <w:end w:w="100" w:type="dxa"/>
            </w:tcMar>
          </w:tcPr>
          <w:p>
            <w:pPr>
              <w:spacing w:after="40" w:before="40"/>
            </w:pPr>
            <w:r>
              <w:rPr>
                <w:sz w:val="18"/>
              </w:rPr>
              <w:t>Block</w:t>
            </w:r>
          </w:p>
        </w:tc>
      </w:tr>
    </w:tbl>
    <w:p>
      <w:pPr>
        <w:pStyle w:val="Heading1"/>
        <w:keepNext/>
      </w:pPr>
      <w:r>
        <w:t>41. Production Readiness and Controlled Autonomy</w:t>
      </w:r>
    </w:p>
    <w:p>
      <w:r>
        <w:t>Autonomous agents may plan, code, test, refactor and prepare pull requests within approved scopes. They do not receive unrestricted authority to alter statutory rules, production data, security controls, keys, tenant boundaries or production release policy. Autonomy is increased only after measured evidence shows that the agent consistently passes the same architecture, security, QA and operational gates expected from human engineers.</w:t>
      </w:r>
    </w:p>
    <w:p>
      <w:pPr>
        <w:pStyle w:val="Heading2"/>
        <w:keepNext/>
      </w:pPr>
      <w:r>
        <w:t>41.1 Recommended proof sequence</w:t>
      </w:r>
    </w:p>
    <w:p>
      <w:r>
        <w:rPr>
          <w:b/>
        </w:rPr>
        <w:t xml:space="preserve">1. </w:t>
      </w:r>
      <w:r>
        <w:t>Run architecture-verification-only mode against the empty/reference repository and resolve all contradictions before feature coding.</w:t>
      </w:r>
    </w:p>
    <w:p>
      <w:r>
        <w:rPr>
          <w:b/>
        </w:rPr>
        <w:t xml:space="preserve">2. </w:t>
      </w:r>
      <w:r>
        <w:t>Build one Golden Vertical Slice for Residence Certificate using generic engines only.</w:t>
      </w:r>
    </w:p>
    <w:p>
      <w:r>
        <w:rPr>
          <w:b/>
        </w:rPr>
        <w:t xml:space="preserve">3. </w:t>
      </w:r>
      <w:r>
        <w:t>Configure at least ten materially different services (certificate, licence, benefit, municipal permission, payment, inspection and grievance) without service-specific runtime code.</w:t>
      </w:r>
    </w:p>
    <w:p>
      <w:r>
        <w:rPr>
          <w:b/>
        </w:rPr>
        <w:t xml:space="preserve">4. </w:t>
      </w:r>
      <w:r>
        <w:t>Run two-tenant and two-jurisdiction adversarial isolation tests, including search, cache, object storage, events and AI retrieval.</w:t>
      </w:r>
    </w:p>
    <w:p>
      <w:r>
        <w:rPr>
          <w:b/>
        </w:rPr>
        <w:t xml:space="preserve">5. </w:t>
      </w:r>
      <w:r>
        <w:t>Exercise external integration outage, retry, payment callback duplication, workflow concurrency and version-upgrade scenarios.</w:t>
      </w:r>
    </w:p>
    <w:p>
      <w:r>
        <w:rPr>
          <w:b/>
        </w:rPr>
        <w:t xml:space="preserve">6. </w:t>
      </w:r>
      <w:r>
        <w:t>Complete accessibility, privacy, threat model, DR restore and performance/load evidence.</w:t>
      </w:r>
    </w:p>
    <w:p>
      <w:r>
        <w:rPr>
          <w:b/>
        </w:rPr>
        <w:t xml:space="preserve">7. </w:t>
      </w:r>
      <w:r>
        <w:t>Only then expand service onboarding and agent autonomy in controlled stages.</w:t>
      </w:r>
    </w:p>
    <w:p>
      <w:pPr>
        <w:pStyle w:val="Heading2"/>
        <w:keepNext/>
      </w:pPr>
      <w:r>
        <w:t>41.2 Definition of world-class build readiness</w:t>
      </w:r>
    </w:p>
    <w:p>
      <w:r>
        <w:t>The design is considered build-ready when an independent engineering agent can select any approved requirement or service manifest, discover all applicable constraints without relying on hidden conversation history, implement a minimal compliant change, prove it through deterministic tests and produce a reviewable trace from requirement to runtime evidence. The authoritative system remains the combination of this human-readable source of truth and the synchronized machine-readable autonomous-agent build package.</w:t>
      </w:r>
    </w:p>
    <w:p>
      <w:pPr>
        <w:pStyle w:val="Heading2"/>
        <w:keepNext/>
      </w:pPr>
      <w:r>
        <w:t>41.3 Current tool integration references</w:t>
      </w:r>
    </w:p>
    <w:tbl>
      <w:tblPr>
        <w:tblStyle w:val="TableGrid"/>
        <w:tblW w:type="auto" w:w="0"/>
        <w:tblLayout w:type="fixed"/>
        <w:tblLook w:firstColumn="1" w:firstRow="1" w:lastColumn="0" w:lastRow="0" w:noHBand="0" w:noVBand="1" w:val="04A0"/>
      </w:tblPr>
      <w:tblGrid>
        <w:gridCol w:w="3360"/>
        <w:gridCol w:w="3360"/>
        <w:gridCol w:w="3360"/>
      </w:tblGrid>
      <w:tr>
        <w:trPr>
          <w:tblHeader w:val="true"/>
          <w:cantSplit/>
        </w:trPr>
        <w:tc>
          <w:tcPr>
            <w:tcW w:type="dxa" w:w="2304"/>
            <w:vAlign w:val="center"/>
            <w:tcMar>
              <w:top w:w="80" w:type="dxa"/>
              <w:start w:w="100" w:type="dxa"/>
              <w:bottom w:w="80" w:type="dxa"/>
              <w:end w:w="100" w:type="dxa"/>
            </w:tcMar>
            <w:shd w:fill="17365D"/>
          </w:tcPr>
          <w:p>
            <w:pPr>
              <w:spacing w:after="40" w:before="40"/>
            </w:pPr>
            <w:r>
              <w:rPr>
                <w:b/>
                <w:color w:val="FFFFFF"/>
                <w:sz w:val="18"/>
              </w:rPr>
              <w:t>Reference</w:t>
            </w:r>
          </w:p>
        </w:tc>
        <w:tc>
          <w:tcPr>
            <w:tcW w:type="dxa" w:w="4752"/>
            <w:vAlign w:val="center"/>
            <w:tcMar>
              <w:top w:w="80" w:type="dxa"/>
              <w:start w:w="100" w:type="dxa"/>
              <w:bottom w:w="80" w:type="dxa"/>
              <w:end w:w="100" w:type="dxa"/>
            </w:tcMar>
            <w:shd w:fill="17365D"/>
          </w:tcPr>
          <w:p>
            <w:pPr>
              <w:spacing w:after="40" w:before="40"/>
            </w:pPr>
            <w:r>
              <w:rPr>
                <w:b/>
                <w:color w:val="FFFFFF"/>
                <w:sz w:val="18"/>
              </w:rPr>
              <w:t>URL</w:t>
            </w:r>
          </w:p>
        </w:tc>
        <w:tc>
          <w:tcPr>
            <w:tcW w:type="dxa" w:w="2736"/>
            <w:vAlign w:val="center"/>
            <w:tcMar>
              <w:top w:w="80" w:type="dxa"/>
              <w:start w:w="100" w:type="dxa"/>
              <w:bottom w:w="80" w:type="dxa"/>
              <w:end w:w="100" w:type="dxa"/>
            </w:tcMar>
            <w:shd w:fill="17365D"/>
          </w:tcPr>
          <w:p>
            <w:pPr>
              <w:spacing w:after="40" w:before="40"/>
            </w:pPr>
            <w:r>
              <w:rPr>
                <w:b/>
                <w:color w:val="FFFFFF"/>
                <w:sz w:val="18"/>
              </w:rPr>
              <w:t>Use</w:t>
            </w:r>
          </w:p>
        </w:tc>
      </w:tr>
      <w:tr>
        <w:trPr>
          <w:cantSplit/>
        </w:trPr>
        <w:tc>
          <w:tcPr>
            <w:tcW w:type="dxa" w:w="2304"/>
            <w:vAlign w:val="center"/>
            <w:tcMar>
              <w:top w:w="80" w:type="dxa"/>
              <w:start w:w="100" w:type="dxa"/>
              <w:bottom w:w="80" w:type="dxa"/>
              <w:end w:w="100" w:type="dxa"/>
            </w:tcMar>
          </w:tcPr>
          <w:p>
            <w:pPr>
              <w:spacing w:after="40" w:before="40"/>
            </w:pPr>
            <w:r>
              <w:rPr>
                <w:sz w:val="18"/>
              </w:rPr>
              <w:t>Cursor Project Rules</w:t>
            </w:r>
          </w:p>
        </w:tc>
        <w:tc>
          <w:tcPr>
            <w:tcW w:type="dxa" w:w="4752"/>
            <w:vAlign w:val="center"/>
            <w:tcMar>
              <w:top w:w="80" w:type="dxa"/>
              <w:start w:w="100" w:type="dxa"/>
              <w:bottom w:w="80" w:type="dxa"/>
              <w:end w:w="100" w:type="dxa"/>
            </w:tcMar>
          </w:tcPr>
          <w:p>
            <w:pPr>
              <w:spacing w:after="40" w:before="40"/>
            </w:pPr>
            <w:r>
              <w:rPr>
                <w:sz w:val="18"/>
              </w:rPr>
              <w:t>https://cursor.com/docs/rules</w:t>
            </w:r>
          </w:p>
        </w:tc>
        <w:tc>
          <w:tcPr>
            <w:tcW w:type="dxa" w:w="2736"/>
            <w:vAlign w:val="center"/>
            <w:tcMar>
              <w:top w:w="80" w:type="dxa"/>
              <w:start w:w="100" w:type="dxa"/>
              <w:bottom w:w="80" w:type="dxa"/>
              <w:end w:w="100" w:type="dxa"/>
            </w:tcMar>
          </w:tcPr>
          <w:p>
            <w:pPr>
              <w:spacing w:after="40" w:before="40"/>
            </w:pPr>
            <w:r>
              <w:rPr>
                <w:sz w:val="18"/>
              </w:rPr>
              <w:t>Use .cursor/rules/*.mdc and scoped/nested rules; AGENTS.md is also supported.</w:t>
            </w:r>
          </w:p>
        </w:tc>
      </w:tr>
      <w:tr>
        <w:trPr>
          <w:cantSplit/>
        </w:trPr>
        <w:tc>
          <w:tcPr>
            <w:tcW w:type="dxa" w:w="2304"/>
            <w:vAlign w:val="center"/>
            <w:tcMar>
              <w:top w:w="80" w:type="dxa"/>
              <w:start w:w="100" w:type="dxa"/>
              <w:bottom w:w="80" w:type="dxa"/>
              <w:end w:w="100" w:type="dxa"/>
            </w:tcMar>
          </w:tcPr>
          <w:p>
            <w:pPr>
              <w:spacing w:after="40" w:before="40"/>
            </w:pPr>
            <w:r>
              <w:rPr>
                <w:sz w:val="18"/>
              </w:rPr>
              <w:t>GitHub Copilot repository instructions</w:t>
            </w:r>
          </w:p>
        </w:tc>
        <w:tc>
          <w:tcPr>
            <w:tcW w:type="dxa" w:w="4752"/>
            <w:vAlign w:val="center"/>
            <w:tcMar>
              <w:top w:w="80" w:type="dxa"/>
              <w:start w:w="100" w:type="dxa"/>
              <w:bottom w:w="80" w:type="dxa"/>
              <w:end w:w="100" w:type="dxa"/>
            </w:tcMar>
          </w:tcPr>
          <w:p>
            <w:pPr>
              <w:spacing w:after="40" w:before="40"/>
            </w:pPr>
            <w:r>
              <w:rPr>
                <w:sz w:val="18"/>
              </w:rPr>
              <w:t>https://docs.github.com/en/copilot/how-tos/copilot-on-github/customize-copilot/add-custom-instructions/add-repository-instructions</w:t>
            </w:r>
          </w:p>
        </w:tc>
        <w:tc>
          <w:tcPr>
            <w:tcW w:type="dxa" w:w="2736"/>
            <w:vAlign w:val="center"/>
            <w:tcMar>
              <w:top w:w="80" w:type="dxa"/>
              <w:start w:w="100" w:type="dxa"/>
              <w:bottom w:w="80" w:type="dxa"/>
              <w:end w:w="100" w:type="dxa"/>
            </w:tcMar>
          </w:tcPr>
          <w:p>
            <w:pPr>
              <w:spacing w:after="40" w:before="40"/>
            </w:pPr>
            <w:r>
              <w:rPr>
                <w:sz w:val="18"/>
              </w:rPr>
              <w:t>Repository-wide and path-specific instruction files.</w:t>
            </w:r>
          </w:p>
        </w:tc>
      </w:tr>
      <w:tr>
        <w:trPr>
          <w:cantSplit/>
        </w:trPr>
        <w:tc>
          <w:tcPr>
            <w:tcW w:type="dxa" w:w="2304"/>
            <w:vAlign w:val="center"/>
            <w:tcMar>
              <w:top w:w="80" w:type="dxa"/>
              <w:start w:w="100" w:type="dxa"/>
              <w:bottom w:w="80" w:type="dxa"/>
              <w:end w:w="100" w:type="dxa"/>
            </w:tcMar>
          </w:tcPr>
          <w:p>
            <w:pPr>
              <w:spacing w:after="40" w:before="40"/>
            </w:pPr>
            <w:r>
              <w:rPr>
                <w:sz w:val="18"/>
              </w:rPr>
              <w:t>GitHub Copilot customization</w:t>
            </w:r>
          </w:p>
        </w:tc>
        <w:tc>
          <w:tcPr>
            <w:tcW w:type="dxa" w:w="4752"/>
            <w:vAlign w:val="center"/>
            <w:tcMar>
              <w:top w:w="80" w:type="dxa"/>
              <w:start w:w="100" w:type="dxa"/>
              <w:bottom w:w="80" w:type="dxa"/>
              <w:end w:w="100" w:type="dxa"/>
            </w:tcMar>
          </w:tcPr>
          <w:p>
            <w:pPr>
              <w:spacing w:after="40" w:before="40"/>
            </w:pPr>
            <w:r>
              <w:rPr>
                <w:sz w:val="18"/>
              </w:rPr>
              <w:t>https://docs.github.com/en/copilot/reference/customization-cheat-sheet</w:t>
            </w:r>
          </w:p>
        </w:tc>
        <w:tc>
          <w:tcPr>
            <w:tcW w:type="dxa" w:w="2736"/>
            <w:vAlign w:val="center"/>
            <w:tcMar>
              <w:top w:w="80" w:type="dxa"/>
              <w:start w:w="100" w:type="dxa"/>
              <w:bottom w:w="80" w:type="dxa"/>
              <w:end w:w="100" w:type="dxa"/>
            </w:tcMar>
          </w:tcPr>
          <w:p>
            <w:pPr>
              <w:spacing w:after="40" w:before="40"/>
            </w:pPr>
            <w:r>
              <w:rPr>
                <w:sz w:val="18"/>
              </w:rPr>
              <w:t>Custom agents, prompt files and instruction locations.</w:t>
            </w:r>
          </w:p>
        </w:tc>
      </w:tr>
      <w:tr>
        <w:trPr>
          <w:cantSplit/>
        </w:trPr>
        <w:tc>
          <w:tcPr>
            <w:tcW w:type="dxa" w:w="2304"/>
            <w:vAlign w:val="center"/>
            <w:tcMar>
              <w:top w:w="80" w:type="dxa"/>
              <w:start w:w="100" w:type="dxa"/>
              <w:bottom w:w="80" w:type="dxa"/>
              <w:end w:w="100" w:type="dxa"/>
            </w:tcMar>
          </w:tcPr>
          <w:p>
            <w:pPr>
              <w:spacing w:after="40" w:before="40"/>
            </w:pPr>
            <w:r>
              <w:rPr>
                <w:sz w:val="18"/>
              </w:rPr>
              <w:t>GIGW 3.0</w:t>
            </w:r>
          </w:p>
        </w:tc>
        <w:tc>
          <w:tcPr>
            <w:tcW w:type="dxa" w:w="4752"/>
            <w:vAlign w:val="center"/>
            <w:tcMar>
              <w:top w:w="80" w:type="dxa"/>
              <w:start w:w="100" w:type="dxa"/>
              <w:bottom w:w="80" w:type="dxa"/>
              <w:end w:w="100" w:type="dxa"/>
            </w:tcMar>
          </w:tcPr>
          <w:p>
            <w:pPr>
              <w:spacing w:after="40" w:before="40"/>
            </w:pPr>
            <w:r>
              <w:rPr>
                <w:sz w:val="18"/>
              </w:rPr>
              <w:t>https://guidelines.india.gov.in/</w:t>
            </w:r>
          </w:p>
        </w:tc>
        <w:tc>
          <w:tcPr>
            <w:tcW w:type="dxa" w:w="2736"/>
            <w:vAlign w:val="center"/>
            <w:tcMar>
              <w:top w:w="80" w:type="dxa"/>
              <w:start w:w="100" w:type="dxa"/>
              <w:bottom w:w="80" w:type="dxa"/>
              <w:end w:w="100" w:type="dxa"/>
            </w:tcMar>
          </w:tcPr>
          <w:p>
            <w:pPr>
              <w:spacing w:after="40" w:before="40"/>
            </w:pPr>
            <w:r>
              <w:rPr>
                <w:sz w:val="18"/>
              </w:rPr>
              <w:t>Government quality, accessibility, cybersecurity and lifecycle baseline.</w:t>
            </w:r>
          </w:p>
        </w:tc>
      </w:tr>
      <w:tr>
        <w:trPr>
          <w:cantSplit/>
        </w:trPr>
        <w:tc>
          <w:tcPr>
            <w:tcW w:type="dxa" w:w="2304"/>
            <w:vAlign w:val="center"/>
            <w:tcMar>
              <w:top w:w="80" w:type="dxa"/>
              <w:start w:w="100" w:type="dxa"/>
              <w:bottom w:w="80" w:type="dxa"/>
              <w:end w:w="100" w:type="dxa"/>
            </w:tcMar>
          </w:tcPr>
          <w:p>
            <w:pPr>
              <w:spacing w:after="40" w:before="40"/>
            </w:pPr>
            <w:r>
              <w:rPr>
                <w:sz w:val="18"/>
              </w:rPr>
              <w:t>DPDP Rules 2025</w:t>
            </w:r>
          </w:p>
        </w:tc>
        <w:tc>
          <w:tcPr>
            <w:tcW w:type="dxa" w:w="4752"/>
            <w:vAlign w:val="center"/>
            <w:tcMar>
              <w:top w:w="80" w:type="dxa"/>
              <w:start w:w="100" w:type="dxa"/>
              <w:bottom w:w="80" w:type="dxa"/>
              <w:end w:w="100" w:type="dxa"/>
            </w:tcMar>
          </w:tcPr>
          <w:p>
            <w:pPr>
              <w:spacing w:after="40" w:before="40"/>
            </w:pPr>
            <w:r>
              <w:rPr>
                <w:sz w:val="18"/>
              </w:rPr>
              <w:t>https://www.meity.gov.in/documents/act-and-policies/digital-personal-data-protection-rules-2025-gDOxUjMtQWa?pageTitle=Digit</w:t>
            </w:r>
          </w:p>
        </w:tc>
        <w:tc>
          <w:tcPr>
            <w:tcW w:type="dxa" w:w="2736"/>
            <w:vAlign w:val="center"/>
            <w:tcMar>
              <w:top w:w="80" w:type="dxa"/>
              <w:start w:w="100" w:type="dxa"/>
              <w:bottom w:w="80" w:type="dxa"/>
              <w:end w:w="100" w:type="dxa"/>
            </w:tcMar>
          </w:tcPr>
          <w:p>
            <w:pPr>
              <w:spacing w:after="40" w:before="40"/>
            </w:pPr>
            <w:r>
              <w:rPr>
                <w:sz w:val="18"/>
              </w:rPr>
              <w:t>Official MeitY publication page.</w:t>
            </w:r>
          </w:p>
        </w:tc>
      </w:tr>
      <w:tr>
        <w:trPr>
          <w:cantSplit/>
        </w:trPr>
        <w:tc>
          <w:tcPr>
            <w:tcW w:type="dxa" w:w="2304"/>
            <w:vAlign w:val="center"/>
            <w:tcMar>
              <w:top w:w="80" w:type="dxa"/>
              <w:start w:w="100" w:type="dxa"/>
              <w:bottom w:w="80" w:type="dxa"/>
              <w:end w:w="100" w:type="dxa"/>
            </w:tcMar>
          </w:tcPr>
          <w:p>
            <w:pPr>
              <w:spacing w:after="40" w:before="40"/>
            </w:pPr>
            <w:r>
              <w:rPr>
                <w:sz w:val="18"/>
              </w:rPr>
              <w:t>W3C VC Data Model 2.0</w:t>
            </w:r>
          </w:p>
        </w:tc>
        <w:tc>
          <w:tcPr>
            <w:tcW w:type="dxa" w:w="4752"/>
            <w:vAlign w:val="center"/>
            <w:tcMar>
              <w:top w:w="80" w:type="dxa"/>
              <w:start w:w="100" w:type="dxa"/>
              <w:bottom w:w="80" w:type="dxa"/>
              <w:end w:w="100" w:type="dxa"/>
            </w:tcMar>
          </w:tcPr>
          <w:p>
            <w:pPr>
              <w:spacing w:after="40" w:before="40"/>
            </w:pPr>
            <w:r>
              <w:rPr>
                <w:sz w:val="18"/>
              </w:rPr>
              <w:t>https://www.w3.org/TR/vc-data-model-2.0/</w:t>
            </w:r>
          </w:p>
        </w:tc>
        <w:tc>
          <w:tcPr>
            <w:tcW w:type="dxa" w:w="2736"/>
            <w:vAlign w:val="center"/>
            <w:tcMar>
              <w:top w:w="80" w:type="dxa"/>
              <w:start w:w="100" w:type="dxa"/>
              <w:bottom w:w="80" w:type="dxa"/>
              <w:end w:w="100" w:type="dxa"/>
            </w:tcMar>
          </w:tcPr>
          <w:p>
            <w:pPr>
              <w:spacing w:after="40" w:before="40"/>
            </w:pPr>
            <w:r>
              <w:rPr>
                <w:sz w:val="18"/>
              </w:rPr>
              <w:t>Interoperable machine-verifiable credential model.</w:t>
            </w:r>
          </w:p>
        </w:tc>
      </w:tr>
      <w:tr>
        <w:trPr>
          <w:cantSplit/>
        </w:trPr>
        <w:tc>
          <w:tcPr>
            <w:tcW w:type="dxa" w:w="2304"/>
            <w:vAlign w:val="center"/>
            <w:tcMar>
              <w:top w:w="80" w:type="dxa"/>
              <w:start w:w="100" w:type="dxa"/>
              <w:bottom w:w="80" w:type="dxa"/>
              <w:end w:w="100" w:type="dxa"/>
            </w:tcMar>
          </w:tcPr>
          <w:p>
            <w:pPr>
              <w:spacing w:after="40" w:before="40"/>
            </w:pPr>
            <w:r>
              <w:rPr>
                <w:sz w:val="18"/>
              </w:rPr>
              <w:t>OpenAPI 3.1.2</w:t>
            </w:r>
          </w:p>
        </w:tc>
        <w:tc>
          <w:tcPr>
            <w:tcW w:type="dxa" w:w="4752"/>
            <w:vAlign w:val="center"/>
            <w:tcMar>
              <w:top w:w="80" w:type="dxa"/>
              <w:start w:w="100" w:type="dxa"/>
              <w:bottom w:w="80" w:type="dxa"/>
              <w:end w:w="100" w:type="dxa"/>
            </w:tcMar>
          </w:tcPr>
          <w:p>
            <w:pPr>
              <w:spacing w:after="40" w:before="40"/>
            </w:pPr>
            <w:r>
              <w:rPr>
                <w:sz w:val="18"/>
              </w:rPr>
              <w:t>https://spec.openapis.org/oas/v3.1.2.html</w:t>
            </w:r>
          </w:p>
        </w:tc>
        <w:tc>
          <w:tcPr>
            <w:tcW w:type="dxa" w:w="2736"/>
            <w:vAlign w:val="center"/>
            <w:tcMar>
              <w:top w:w="80" w:type="dxa"/>
              <w:start w:w="100" w:type="dxa"/>
              <w:bottom w:w="80" w:type="dxa"/>
              <w:end w:w="100" w:type="dxa"/>
            </w:tcMar>
          </w:tcPr>
          <w:p>
            <w:pPr>
              <w:spacing w:after="40" w:before="40"/>
            </w:pPr>
            <w:r>
              <w:rPr>
                <w:sz w:val="18"/>
              </w:rPr>
              <w:t>HTTP API contract baseline used by the build package.</w:t>
            </w:r>
          </w:p>
        </w:tc>
      </w:tr>
      <w:tr>
        <w:trPr>
          <w:cantSplit/>
        </w:trPr>
        <w:tc>
          <w:tcPr>
            <w:tcW w:type="dxa" w:w="2304"/>
            <w:vAlign w:val="center"/>
            <w:tcMar>
              <w:top w:w="80" w:type="dxa"/>
              <w:start w:w="100" w:type="dxa"/>
              <w:bottom w:w="80" w:type="dxa"/>
              <w:end w:w="100" w:type="dxa"/>
            </w:tcMar>
          </w:tcPr>
          <w:p>
            <w:pPr>
              <w:spacing w:after="40" w:before="40"/>
            </w:pPr>
            <w:r>
              <w:rPr>
                <w:sz w:val="18"/>
              </w:rPr>
              <w:t>AsyncAPI 3.0.0</w:t>
            </w:r>
          </w:p>
        </w:tc>
        <w:tc>
          <w:tcPr>
            <w:tcW w:type="dxa" w:w="4752"/>
            <w:vAlign w:val="center"/>
            <w:tcMar>
              <w:top w:w="80" w:type="dxa"/>
              <w:start w:w="100" w:type="dxa"/>
              <w:bottom w:w="80" w:type="dxa"/>
              <w:end w:w="100" w:type="dxa"/>
            </w:tcMar>
          </w:tcPr>
          <w:p>
            <w:pPr>
              <w:spacing w:after="40" w:before="40"/>
            </w:pPr>
            <w:r>
              <w:rPr>
                <w:sz w:val="18"/>
              </w:rPr>
              <w:t>https://www.asyncapi.com/docs/reference/specification/v3.0.0</w:t>
            </w:r>
          </w:p>
        </w:tc>
        <w:tc>
          <w:tcPr>
            <w:tcW w:type="dxa" w:w="2736"/>
            <w:vAlign w:val="center"/>
            <w:tcMar>
              <w:top w:w="80" w:type="dxa"/>
              <w:start w:w="100" w:type="dxa"/>
              <w:bottom w:w="80" w:type="dxa"/>
              <w:end w:w="100" w:type="dxa"/>
            </w:tcMar>
          </w:tcPr>
          <w:p>
            <w:pPr>
              <w:spacing w:after="40" w:before="40"/>
            </w:pPr>
            <w:r>
              <w:rPr>
                <w:sz w:val="18"/>
              </w:rPr>
              <w:t>Event-driven API contract baseline.</w:t>
            </w:r>
          </w:p>
        </w:tc>
      </w:tr>
      <w:tr>
        <w:trPr>
          <w:cantSplit/>
        </w:trPr>
        <w:tc>
          <w:tcPr>
            <w:tcW w:type="dxa" w:w="2304"/>
            <w:vAlign w:val="center"/>
            <w:tcMar>
              <w:top w:w="80" w:type="dxa"/>
              <w:start w:w="100" w:type="dxa"/>
              <w:bottom w:w="80" w:type="dxa"/>
              <w:end w:w="100" w:type="dxa"/>
            </w:tcMar>
          </w:tcPr>
          <w:p>
            <w:pPr>
              <w:spacing w:after="40" w:before="40"/>
            </w:pPr>
            <w:r>
              <w:rPr>
                <w:sz w:val="18"/>
              </w:rPr>
              <w:t>OWASP ASVS 5.0.0</w:t>
            </w:r>
          </w:p>
        </w:tc>
        <w:tc>
          <w:tcPr>
            <w:tcW w:type="dxa" w:w="4752"/>
            <w:vAlign w:val="center"/>
            <w:tcMar>
              <w:top w:w="80" w:type="dxa"/>
              <w:start w:w="100" w:type="dxa"/>
              <w:bottom w:w="80" w:type="dxa"/>
              <w:end w:w="100" w:type="dxa"/>
            </w:tcMar>
          </w:tcPr>
          <w:p>
            <w:pPr>
              <w:spacing w:after="40" w:before="40"/>
            </w:pPr>
            <w:r>
              <w:rPr>
                <w:sz w:val="18"/>
              </w:rPr>
              <w:t>https://github.com/OWASP/ASVS/releases/tag/v5.0.0</w:t>
            </w:r>
          </w:p>
        </w:tc>
        <w:tc>
          <w:tcPr>
            <w:tcW w:type="dxa" w:w="2736"/>
            <w:vAlign w:val="center"/>
            <w:tcMar>
              <w:top w:w="80" w:type="dxa"/>
              <w:start w:w="100" w:type="dxa"/>
              <w:bottom w:w="80" w:type="dxa"/>
              <w:end w:w="100" w:type="dxa"/>
            </w:tcMar>
          </w:tcPr>
          <w:p>
            <w:pPr>
              <w:spacing w:after="40" w:before="40"/>
            </w:pPr>
            <w:r>
              <w:rPr>
                <w:sz w:val="18"/>
              </w:rPr>
              <w:t>Application security verification baseline.</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Government Service OS - Architecture Source of Truth v2.0 | 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173" w:right="173"/>
    </w:pPr>
    <w:rPr>
      <w:rFonts w:ascii="Courier New" w:hAnsi="Courier New"/>
      <w:color w:val="333333"/>
      <w:sz w:val="16"/>
    </w:rPr>
  </w:style>
  <w:style w:type="paragraph" w:customStyle="1" w:styleId="FigureCaption">
    <w:name w:val="FigureCaption"/>
    <w:pPr>
      <w:spacing w:after="160"/>
      <w:jc w:val="center"/>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Service OS - AI-Buildable Master Specification</dc:title>
  <dc:subject>Multi-tenant government citizen service platform BRD FRD HLD LLD and AI build contract</dc:subject>
  <dc:creator>python-docx</dc:creator>
  <cp:keywords>government services, multi-tenant, forms, workflow, DigiLocker, ServicePlus, AI agents, citizen services,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