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EventMaster - Sistema de Gestão de Eventos Escalável</w:t>
      </w:r>
    </w:p>
    <w:p>
      <w:r>
        <w:t>Relatório Técnico</w:t>
        <w:br/>
        <w:t>Data: 27/02/2026</w:t>
      </w:r>
    </w:p>
    <w:p>
      <w:r>
        <w:br w:type="page"/>
      </w:r>
    </w:p>
    <w:p>
      <w:pPr>
        <w:pStyle w:val="Heading2"/>
      </w:pPr>
      <w:r>
        <w:t>1. Introdução</w:t>
      </w:r>
    </w:p>
    <w:p>
      <w:r>
        <w:t>A empresa enfrenta limitações técnicas em seu sistema monolítico atual, incluindo alta latência durante grandes lançamentos, inconsistência de dados e vulnerabilidades relacionadas a injeção de dados.</w:t>
      </w:r>
    </w:p>
    <w:p>
      <w:r>
        <w:t>A proposta deste projeto é redesenhar a arquitetura utilizando Microsserviços e Arquitetura Limpa, com foco em escalabilidade, resiliência, segurança e testabilidade.</w:t>
      </w:r>
    </w:p>
    <w:p>
      <w:pPr>
        <w:pStyle w:val="Heading2"/>
      </w:pPr>
      <w:r>
        <w:t>2. Problema Atual (Monolito)</w:t>
      </w:r>
    </w:p>
    <w:p>
      <w:r>
        <w:t>Arquitetura atual:</w:t>
      </w:r>
    </w:p>
    <w:p>
      <w:r>
        <w:br/>
        <w:t>[Frontend]</w:t>
        <w:br/>
        <w:t xml:space="preserve">     |</w:t>
        <w:br/>
        <w:t>[Aplicação Monolítica]</w:t>
        <w:br/>
        <w:t xml:space="preserve">     |</w:t>
        <w:br/>
        <w:t>[Banco de Dados Único]</w:t>
        <w:br/>
      </w:r>
    </w:p>
    <w:p>
      <w:r>
        <w:t>Principais problemas:</w:t>
      </w:r>
    </w:p>
    <w:p>
      <w:r>
        <w:t>- Escalabilidade limitada</w:t>
      </w:r>
    </w:p>
    <w:p>
      <w:r>
        <w:t>- Falhas em cascata durante picos</w:t>
      </w:r>
    </w:p>
    <w:p>
      <w:r>
        <w:t>- Alto acoplamento</w:t>
      </w:r>
    </w:p>
    <w:p>
      <w:r>
        <w:t>- Banco único compartilhado</w:t>
      </w:r>
    </w:p>
    <w:p>
      <w:r>
        <w:t>- Vulnerabilidade a SQL Injection</w:t>
      </w:r>
    </w:p>
    <w:p>
      <w:pPr>
        <w:pStyle w:val="Heading2"/>
      </w:pPr>
      <w:r>
        <w:t>3. Nova Arquitetura (Microsserviços)</w:t>
      </w:r>
    </w:p>
    <w:p>
      <w:r>
        <w:t>Arquitetura proposta:</w:t>
      </w:r>
    </w:p>
    <w:p>
      <w:r>
        <w:br/>
        <w:t>[Frontend]</w:t>
        <w:br/>
        <w:t xml:space="preserve">     |</w:t>
        <w:br/>
        <w:t>[API Gateway]</w:t>
        <w:br/>
        <w:t xml:space="preserve">     |</w:t>
        <w:br/>
        <w:t>-------------------------------------------------</w:t>
        <w:br/>
        <w:t>|         |            |            |</w:t>
        <w:br/>
        <w:t>Auth   Catálogo     Vendas      Pagamentos</w:t>
        <w:br/>
        <w:t xml:space="preserve"> |         |            |            |</w:t>
        <w:br/>
        <w:t>DB        DB           DB           DB</w:t>
        <w:br/>
      </w:r>
    </w:p>
    <w:p>
      <w:r>
        <w:t>Componentes adicionais:</w:t>
      </w:r>
    </w:p>
    <w:p>
      <w:r>
        <w:t>- Message Broker para eventos (SAGA)</w:t>
      </w:r>
    </w:p>
    <w:p>
      <w:r>
        <w:t>- Serviço de Monitoramento (Stream)</w:t>
      </w:r>
    </w:p>
    <w:p>
      <w:r>
        <w:t>- Serviço de Relatórios (Batch)</w:t>
      </w:r>
    </w:p>
    <w:p>
      <w:pPr>
        <w:pStyle w:val="Heading2"/>
      </w:pPr>
      <w:r>
        <w:t>4. Domain-Driven Design (DDD)</w:t>
      </w:r>
    </w:p>
    <w:p>
      <w:pPr>
        <w:pStyle w:val="Heading3"/>
      </w:pPr>
      <w:r>
        <w:t>4.1 Contexto: Catálogo de Eventos</w:t>
      </w:r>
    </w:p>
    <w:p>
      <w:r>
        <w:t>Responsável por cadastro de eventos e gestão de estoque.</w:t>
      </w:r>
    </w:p>
    <w:p>
      <w:r>
        <w:t>Entidades: Event, TicketLot</w:t>
      </w:r>
    </w:p>
    <w:p>
      <w:pPr>
        <w:pStyle w:val="Heading3"/>
      </w:pPr>
      <w:r>
        <w:t>4.2 Contexto: Vendas e Pagamentos</w:t>
      </w:r>
    </w:p>
    <w:p>
      <w:r>
        <w:t>Responsável por criação de pedidos e processamento financeiro.</w:t>
      </w:r>
    </w:p>
    <w:p>
      <w:r>
        <w:t>Entidades: Order, Payment, Transaction</w:t>
      </w:r>
    </w:p>
    <w:p>
      <w:pPr>
        <w:pStyle w:val="Heading2"/>
      </w:pPr>
      <w:r>
        <w:t>5. Padrões de Resiliência</w:t>
      </w:r>
    </w:p>
    <w:p>
      <w:r>
        <w:t>API Gateway: autenticação centralizada e rate limiting.</w:t>
      </w:r>
    </w:p>
    <w:p>
      <w:r>
        <w:t>Circuit Breaker: aplicado entre Vendas e Pagamentos.</w:t>
      </w:r>
    </w:p>
    <w:p>
      <w:r>
        <w:t>SAGA Coreografada: garante consistência eventual entre reserva de ingresso e pagamento.</w:t>
      </w:r>
    </w:p>
    <w:p>
      <w:pPr>
        <w:pStyle w:val="Heading2"/>
      </w:pPr>
      <w:r>
        <w:t>6. Processamento e Performance</w:t>
      </w:r>
    </w:p>
    <w:p>
      <w:r>
        <w:t>Stream: monitoramento em tempo real e métricas de acesso.</w:t>
      </w:r>
    </w:p>
    <w:p>
      <w:r>
        <w:t>Batch: geração de relatório financeiro diário.</w:t>
      </w:r>
    </w:p>
    <w:p>
      <w:pPr>
        <w:pStyle w:val="Heading2"/>
      </w:pPr>
      <w:r>
        <w:t>7. Segurança</w:t>
      </w:r>
    </w:p>
    <w:p>
      <w:r>
        <w:t>Autenticação via OAuth 2.0 com JWT.</w:t>
      </w:r>
    </w:p>
    <w:p>
      <w:r>
        <w:t>Zero Trust entre serviços (mTLS).</w:t>
      </w:r>
    </w:p>
    <w:p>
      <w:r>
        <w:t>Proteções OWASP Top 10:</w:t>
      </w:r>
    </w:p>
    <w:p>
      <w:r>
        <w:t>- Validação de inputs</w:t>
      </w:r>
    </w:p>
    <w:p>
      <w:r>
        <w:t>- ORM com Prepared Statements</w:t>
      </w:r>
    </w:p>
    <w:p>
      <w:r>
        <w:t>- Rate limiting</w:t>
      </w:r>
    </w:p>
    <w:p>
      <w:r>
        <w:t>- Logs auditáveis</w:t>
      </w:r>
    </w:p>
    <w:p>
      <w:r>
        <w:t>- Expiração curta de tokens</w:t>
      </w:r>
    </w:p>
    <w:p>
      <w:pPr>
        <w:pStyle w:val="Heading2"/>
      </w:pPr>
      <w:r>
        <w:t>8. Qualidade e Testes</w:t>
      </w:r>
    </w:p>
    <w:p>
      <w:r>
        <w:t>Clean Architecture aplicada ao Payment Service.</w:t>
      </w:r>
    </w:p>
    <w:p>
      <w:r>
        <w:t>Uso do Design Pattern Strategy para métodos de pagamento.</w:t>
      </w:r>
    </w:p>
    <w:p>
      <w:r>
        <w:t>Pirâmide de Testes:</w:t>
      </w:r>
    </w:p>
    <w:p>
      <w:r>
        <w:br/>
        <w:t xml:space="preserve">        E2E</w:t>
        <w:br/>
        <w:t xml:space="preserve">      Integração</w:t>
        <w:br/>
        <w:t xml:space="preserve">    Unitários</w:t>
        <w:br/>
      </w:r>
    </w:p>
    <w:p>
      <w:pPr>
        <w:pStyle w:val="Heading3"/>
      </w:pPr>
      <w:r>
        <w:t>8.1 Exemplo BDD</w:t>
      </w:r>
    </w:p>
    <w:p>
      <w:r>
        <w:br/>
        <w:t>Feature: Processamento de Pagamento</w:t>
        <w:br/>
        <w:br/>
        <w:t>Scenario: Pagamento aprovado</w:t>
        <w:br/>
        <w:t>Given um pedido válido</w:t>
        <w:br/>
        <w:t>When o pagamento é processado com cartão</w:t>
        <w:br/>
        <w:t>Then o status deve ser APROVADO</w:t>
        <w:br/>
      </w:r>
    </w:p>
    <w:p>
      <w:pPr>
        <w:pStyle w:val="Heading2"/>
      </w:pPr>
      <w:r>
        <w:t>9. Justificativa das Decisões Arquiteturais</w:t>
      </w:r>
    </w:p>
    <w:p>
      <w:r>
        <w:t>A separação em microsserviços permite escalabilidade horizontal independente. O uso de SAGA elimina transações distribuídas. A Arquitetura Limpa aumenta testabilidade e manutenção. A segurança é reforçada por autenticação padronizada e isolamento de bancos.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