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Оганнисян</w:t>
      </w:r>
      <w:r>
        <w:t xml:space="preserve"> </w:t>
      </w:r>
      <w:r>
        <w:t xml:space="preserve">Д.Б.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</w:t>
      </w:r>
      <w:r>
        <w:t xml:space="preserve"> </w:t>
      </w:r>
      <w:r>
        <w:t xml:space="preserve">каталогу отображается в заголовке панели. У активной панели заголовок и одна из её</w:t>
      </w:r>
      <w:r>
        <w:t xml:space="preserve"> </w:t>
      </w:r>
      <w:r>
        <w:t xml:space="preserve">строк подсвечиваются. Управление панелями осуществляется с помощью определённых</w:t>
      </w:r>
      <w:r>
        <w:t xml:space="preserve"> </w:t>
      </w:r>
      <w:r>
        <w:t xml:space="preserve">комбинаций клавиш или пунктов меню mc.</w:t>
      </w:r>
      <w:r>
        <w:t xml:space="preserve"> </w:t>
      </w:r>
      <w:r>
        <w:t xml:space="preserve">Панели можно поменять местами. Для этого и используется комбинация клавиш Ctrl-u</w:t>
      </w:r>
      <w:r>
        <w:t xml:space="preserve"> </w:t>
      </w:r>
      <w:r>
        <w:t xml:space="preserve">или команда меню mc Переставить панели . Также можно временно убрать отображение</w:t>
      </w:r>
      <w:r>
        <w:t xml:space="preserve"> </w:t>
      </w:r>
      <w:r>
        <w:t xml:space="preserve">панелей (отключить их) с помощью комбинации клавиш Ctrl-o или команды меню mc</w:t>
      </w:r>
      <w:r>
        <w:t xml:space="preserve"> </w:t>
      </w:r>
      <w:r>
        <w:t xml:space="preserve">Отключить панели . Это может быть полезно, например, если необходимо увидеть вывод</w:t>
      </w:r>
      <w:r>
        <w:t xml:space="preserve"> </w:t>
      </w:r>
      <w:r>
        <w:t xml:space="preserve">какой-то информации на экран после выполнения какой-либо команды shell.</w:t>
      </w:r>
      <w:r>
        <w:t xml:space="preserve"> </w:t>
      </w:r>
      <w:r>
        <w:t xml:space="preserve">С помощью последовательного применения комбинации клавиш Ctrl-x d есть</w:t>
      </w:r>
      <w:r>
        <w:t xml:space="preserve"> </w:t>
      </w:r>
      <w:r>
        <w:t xml:space="preserve">возможность сравнения каталогов, отображённых на двух панелях. Панели могут дополнительно быть переведены в один из двух режимов: Информация или Дерево . В режиме</w:t>
      </w:r>
      <w:r>
        <w:t xml:space="preserve"> </w:t>
      </w:r>
      <w:r>
        <w:t xml:space="preserve">Информация (рис. 7.2)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  <w:r>
        <w:t xml:space="preserve"> </w:t>
      </w:r>
      <w:r>
        <w:t xml:space="preserve">Управлять режимами отображения панелей можно через пункты меню mc Правая панель</w:t>
      </w:r>
      <w:r>
        <w:t xml:space="preserve"> </w:t>
      </w:r>
      <w:r>
        <w:t xml:space="preserve">и Левая панель (рис. 7.4).</w:t>
      </w:r>
    </w:p>
    <w:bookmarkEnd w:id="22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Изучите информацию о mc, вызвав в командной строке man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198620" cy="3101340"/>
            <wp:effectExtent b="0" l="0" r="0" t="0"/>
            <wp:docPr descr="Figure 1: 1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1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Запустите из командной строки mc, изучите его структуру и меню.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4175760" cy="3086100"/>
            <wp:effectExtent b="0" l="0" r="0" t="0"/>
            <wp:docPr descr="Figure 2: 2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2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4168140" cy="3162300"/>
            <wp:effectExtent b="0" l="0" r="0" t="0"/>
            <wp:docPr descr="Figure 3: 3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3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4152900" cy="3093720"/>
            <wp:effectExtent b="0" l="0" r="0" t="0"/>
            <wp:docPr descr="Figure 4: 4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4</w:t>
      </w:r>
    </w:p>
    <w:bookmarkEnd w:id="0"/>
    <w:bookmarkStart w:id="0" w:name="fig:005"/>
    <w:p>
      <w:pPr>
        <w:pStyle w:val="CaptionedFigure"/>
      </w:pPr>
      <w:bookmarkStart w:id="32" w:name="fig:005"/>
      <w:r>
        <w:drawing>
          <wp:inline>
            <wp:extent cx="4175760" cy="3063240"/>
            <wp:effectExtent b="0" l="0" r="0" t="0"/>
            <wp:docPr descr="Figure 5: 5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5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4213860" cy="3086100"/>
            <wp:effectExtent b="0" l="0" r="0" t="0"/>
            <wp:docPr descr="Figure 6: 6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6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4236720" cy="3108960"/>
            <wp:effectExtent b="0" l="0" r="0" t="0"/>
            <wp:docPr descr="Figure 7: 7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7</w:t>
      </w:r>
    </w:p>
    <w:bookmarkEnd w:id="0"/>
    <w:p>
      <w:pPr>
        <w:pStyle w:val="BodyText"/>
      </w:pP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4587240" cy="3147060"/>
            <wp:effectExtent b="0" l="0" r="0" t="0"/>
            <wp:docPr descr="Figure 8: 8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8</w:t>
      </w:r>
    </w:p>
    <w:bookmarkEnd w:id="0"/>
    <w:p>
      <w:pPr>
        <w:pStyle w:val="BodyText"/>
      </w:pPr>
      <w:r>
        <w:t xml:space="preserve">– создание каталога;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2217420" cy="1158240"/>
            <wp:effectExtent b="0" l="0" r="0" t="0"/>
            <wp:docPr descr="Figure 9: 9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9</w:t>
      </w:r>
    </w:p>
    <w:bookmarkEnd w:id="0"/>
    <w:p>
      <w:pPr>
        <w:pStyle w:val="BodyText"/>
      </w:pPr>
      <w:r>
        <w:t xml:space="preserve">– копирование в файлов в созданный каталог.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4572000" cy="3108960"/>
            <wp:effectExtent b="0" l="0" r="0" t="0"/>
            <wp:docPr descr="Figure 10: 10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10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4038600" cy="2872740"/>
            <wp:effectExtent b="0" l="0" r="0" t="0"/>
            <wp:docPr descr="Figure 11: 11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11</w:t>
      </w:r>
    </w:p>
    <w:bookmarkEnd w:id="0"/>
    <w:bookmarkStart w:id="0" w:name="fig:012"/>
    <w:p>
      <w:pPr>
        <w:pStyle w:val="CaptionedFigure"/>
      </w:pPr>
      <w:bookmarkStart w:id="46" w:name="fig:012"/>
      <w:r>
        <w:drawing>
          <wp:inline>
            <wp:extent cx="4114800" cy="2880360"/>
            <wp:effectExtent b="0" l="0" r="0" t="0"/>
            <wp:docPr descr="Figure 12: 12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12</w:t>
      </w:r>
    </w:p>
    <w:bookmarkEnd w:id="0"/>
    <w:p>
      <w:pPr>
        <w:pStyle w:val="BodyText"/>
      </w:pPr>
      <w:r>
        <w:t xml:space="preserve">– выбор и повторение одной из предыдущих команд;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2796540" cy="967740"/>
            <wp:effectExtent b="0" l="0" r="0" t="0"/>
            <wp:docPr descr="Figure 13: 13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13</w:t>
      </w:r>
    </w:p>
    <w:bookmarkEnd w:id="0"/>
    <w:p>
      <w:pPr>
        <w:pStyle w:val="BodyText"/>
      </w:pPr>
      <w:r>
        <w:t xml:space="preserve">– переход в домашний каталог;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4594860" cy="3169920"/>
            <wp:effectExtent b="0" l="0" r="0" t="0"/>
            <wp:docPr descr="Figure 14: 14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14</w:t>
      </w:r>
    </w:p>
    <w:bookmarkEnd w:id="0"/>
    <w:p>
      <w:pPr>
        <w:pStyle w:val="BodyText"/>
      </w:pPr>
      <w:r>
        <w:t xml:space="preserve">– анализ файла меню и файла расширений.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4587240" cy="3177540"/>
            <wp:effectExtent b="0" l="0" r="0" t="0"/>
            <wp:docPr descr="Figure 15: 15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15</w:t>
      </w:r>
    </w:p>
    <w:bookmarkEnd w:id="0"/>
    <w:bookmarkStart w:id="0" w:name="fig:016"/>
    <w:p>
      <w:pPr>
        <w:pStyle w:val="CaptionedFigure"/>
      </w:pPr>
      <w:bookmarkStart w:id="54" w:name="fig:016"/>
      <w:r>
        <w:drawing>
          <wp:inline>
            <wp:extent cx="4549140" cy="3208020"/>
            <wp:effectExtent b="0" l="0" r="0" t="0"/>
            <wp:docPr descr="Figure 16: 16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16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3710940" cy="2514600"/>
            <wp:effectExtent b="0" l="0" r="0" t="0"/>
            <wp:docPr descr="Figure 17: 17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17</w:t>
      </w:r>
    </w:p>
    <w:bookmarkEnd w:id="0"/>
    <w:bookmarkStart w:id="0" w:name="fig:018"/>
    <w:p>
      <w:pPr>
        <w:pStyle w:val="CaptionedFigure"/>
      </w:pPr>
      <w:bookmarkStart w:id="58" w:name="fig:018"/>
      <w:r>
        <w:drawing>
          <wp:inline>
            <wp:extent cx="4541520" cy="3246120"/>
            <wp:effectExtent b="0" l="0" r="0" t="0"/>
            <wp:docPr descr="Figure 18: 18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18</w:t>
      </w:r>
    </w:p>
    <w:bookmarkEnd w:id="0"/>
    <w:bookmarkStart w:id="0" w:name="fig:019"/>
    <w:p>
      <w:pPr>
        <w:pStyle w:val="CaptionedFigure"/>
      </w:pPr>
      <w:bookmarkStart w:id="60" w:name="fig:019"/>
      <w:r>
        <w:drawing>
          <wp:inline>
            <wp:extent cx="4511040" cy="3147060"/>
            <wp:effectExtent b="0" l="0" r="0" t="0"/>
            <wp:docPr descr="Figure 19: 19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19</w:t>
      </w:r>
    </w:p>
    <w:bookmarkEnd w:id="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освоенил основные возможности командной оболочки Midnight Commander. Приобрел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62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Оганнисян Д.Б.</dc:creator>
  <dc:language>ru-RU</dc:language>
  <cp:keywords/>
  <dcterms:created xsi:type="dcterms:W3CDTF">2023-03-24T18:01:57Z</dcterms:created>
  <dcterms:modified xsi:type="dcterms:W3CDTF">2023-03-24T18:01:57Z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