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</w:t>
      </w:r>
      <w:r>
        <w:t xml:space="preserve"> </w:t>
      </w:r>
      <w:r>
        <w:t xml:space="preserve">[-@fig:001]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208968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</w:t>
      </w:r>
    </w:p>
    <w:p>
      <w:pPr>
        <w:pStyle w:val="CaptionedFigure"/>
      </w:pPr>
      <w:r>
        <w:drawing>
          <wp:inline>
            <wp:extent cx="3733800" cy="3343471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[-@fig:003]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динамики размера окна TCP. Тип NewRen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NewReno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График динамики длины очереди и средней длины очереди. Тип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[-@fig:005]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График динамики размера окна TCP. Тип Vega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Vegas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График динамики длины очереди и средней длины очереди. Тип Vega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Start w:id="47" w:name="изменение-отображения-окон-с-графиками"/>
    <w:p>
      <w:pPr>
        <w:pStyle w:val="Heading2"/>
      </w:pP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название тайтла, а также добавив опцию 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Queues"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Blue"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puts $f \"q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puts $f \n\"ave_q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exec xgraph -bb -tk -x time -t "WindowVsTimeReno" -bg lightblue WindowVsTimeReno &amp;</w:t>
      </w:r>
      <w:r>
        <w:br/>
      </w:r>
      <w:r>
        <w:rPr>
          <w:rStyle w:val="VerbatimChar"/>
        </w:rPr>
        <w:t xml:space="preserve">exec xgraph -bg purple -bb -tk -x time -y q -bg lightyellow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Orange"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[-@fig:007]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073613" cy="3204242"/>
            <wp:effectExtent b="0" l="0" r="0" t="0"/>
            <wp:docPr descr="График динамики размера окна TCP с изменением отображен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 с изменением отображения</w:t>
      </w:r>
    </w:p>
    <w:p>
      <w:pPr>
        <w:pStyle w:val="CaptionedFigure"/>
      </w:pPr>
      <w:r>
        <w:drawing>
          <wp:inline>
            <wp:extent cx="3050561" cy="3204242"/>
            <wp:effectExtent b="0" l="0" r="0" t="0"/>
            <wp:docPr descr="График динамики длины очереди и средней длины очереди с изменением отображ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 с изменением отображения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Оганнисян Давит Багратович</dc:creator>
  <dc:language>ru-RU</dc:language>
  <cp:keywords/>
  <dcterms:created xsi:type="dcterms:W3CDTF">2025-02-21T14:06:15Z</dcterms:created>
  <dcterms:modified xsi:type="dcterms:W3CDTF">2025-02-21T14:06:15Z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