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Давит</w:t>
      </w:r>
      <w:r>
        <w:t xml:space="preserve"> </w:t>
      </w:r>
      <w:r>
        <w:t xml:space="preserve">Багратович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в в</w:t>
      </w:r>
      <w:r>
        <w:t xml:space="preserve"> </w:t>
      </w:r>
      <w:r>
        <w:rPr>
          <w:iCs/>
          <w:i/>
        </w:rPr>
        <w:t xml:space="preserve">xcos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с помощью блока Modelica в в</w:t>
      </w:r>
      <w:r>
        <w:t xml:space="preserve"> </w:t>
      </w:r>
      <w:r>
        <w:rPr>
          <w:iCs/>
          <w:i/>
        </w:rPr>
        <w:t xml:space="preserve">xcos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в OpenModelica;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numPr>
          <w:ilvl w:val="0"/>
          <w:numId w:val="1001"/>
        </w:numPr>
        <w:pStyle w:val="Compact"/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550023" cy="2074689"/>
            <wp:effectExtent b="0" l="0" r="0" t="0"/>
            <wp:docPr descr="Рис. 1: Задание переменных окружения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</w:t>
      </w:r>
    </w:p>
    <w:p>
      <w:pPr>
        <w:pStyle w:val="BodyText"/>
      </w:pPr>
      <w:r>
        <w:t xml:space="preserve">Для реализации модели (рис. 2) потребуются следующие блоки xcos: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p>
      <w:pPr>
        <w:pStyle w:val="CaptionedFigure"/>
      </w:pPr>
      <w:r>
        <w:drawing>
          <wp:inline>
            <wp:extent cx="3733800" cy="2388193"/>
            <wp:effectExtent b="0" l="0" r="0" t="0"/>
            <wp:docPr descr="Рис. 2: Модель SIR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SIR в xcos</w:t>
      </w:r>
    </w:p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 3,4).</w:t>
      </w:r>
    </w:p>
    <w:p>
      <w:pPr>
        <w:pStyle w:val="CaptionedFigure"/>
      </w:pPr>
      <w:r>
        <w:drawing>
          <wp:inline>
            <wp:extent cx="3196557" cy="2128477"/>
            <wp:effectExtent b="0" l="0" r="0" t="0"/>
            <wp:docPr descr="Рис. 3: 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242662" cy="2205317"/>
            <wp:effectExtent b="0" l="0" r="0" t="0"/>
            <wp:docPr descr="Рис. 4: Задание начальных значений в блоках интегр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начальных значений в блоках интегрирования</w:t>
      </w:r>
    </w:p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 (рис. 5).</w:t>
      </w:r>
    </w:p>
    <w:p>
      <w:pPr>
        <w:pStyle w:val="CaptionedFigure"/>
      </w:pPr>
      <w:r>
        <w:drawing>
          <wp:inline>
            <wp:extent cx="3733800" cy="1962028"/>
            <wp:effectExtent b="0" l="0" r="0" t="0"/>
            <wp:docPr descr="Рис. 5: Задание конечного времени интегрирования в xco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конечного времени интегрирования в xcos</w:t>
      </w:r>
    </w:p>
    <w:p>
      <w:pPr>
        <w:pStyle w:val="BodyText"/>
      </w:pPr>
      <w:r>
        <w:t xml:space="preserve">Результат моделирования представлен на рис. 6,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</w:t>
      </w:r>
      <w:r>
        <w:t xml:space="preserve"> </w:t>
      </w:r>
      <w:r>
        <w:t xml:space="preserve">линия определяет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наконец,</w:t>
      </w:r>
      <w:r>
        <w:t xml:space="preserve"> </w:t>
      </w:r>
      <w:r>
        <w:t xml:space="preserve">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</w:t>
      </w:r>
      <w:r>
        <w:t xml:space="preserve"> </w:t>
      </w:r>
      <w:r>
        <w:t xml:space="preserve">особей. Пересечение трёх линий определяет порог эпидемии.</w:t>
      </w:r>
    </w:p>
    <w:p>
      <w:pPr>
        <w:pStyle w:val="CaptionedFigure"/>
      </w:pPr>
      <w:r>
        <w:drawing>
          <wp:inline>
            <wp:extent cx="3733800" cy="2614237"/>
            <wp:effectExtent b="0" l="0" r="0" t="0"/>
            <wp:docPr descr="Рис. 6: Эпидемический порог модели SIR при \beta = 1, \nu = 0.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40"/>
    <w:bookmarkStart w:id="53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 7.</w:t>
      </w:r>
    </w:p>
    <w:p>
      <w:pPr>
        <w:pStyle w:val="BodyText"/>
      </w:pPr>
      <w:r>
        <w:t xml:space="preserve">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258274"/>
            <wp:effectExtent b="0" l="0" r="0" t="0"/>
            <wp:docPr descr="Рис. 7: Модель SIR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SIR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8,9.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843092" cy="2666359"/>
            <wp:effectExtent b="0" l="0" r="0" t="0"/>
            <wp:docPr descr="Рис. 8: Параметры блока Modelica для модели SIR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 SIR</w:t>
      </w:r>
    </w:p>
    <w:p>
      <w:pPr>
        <w:pStyle w:val="CaptionedFigure"/>
      </w:pPr>
      <w:r>
        <w:drawing>
          <wp:inline>
            <wp:extent cx="3733800" cy="3357173"/>
            <wp:effectExtent b="0" l="0" r="0" t="0"/>
            <wp:docPr descr="Рис. 9: Параметры блока Modelica для модели SIR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 SIR</w:t>
      </w:r>
    </w:p>
    <w:p>
      <w:pPr>
        <w:pStyle w:val="BodyText"/>
      </w:pPr>
      <w:r>
        <w:t xml:space="preserve">В результате получаем график (рис. 10), построенный с помощью блока Modelica идентичный графику (рис. 6), построенному без них.</w:t>
      </w:r>
    </w:p>
    <w:p>
      <w:pPr>
        <w:pStyle w:val="CaptionedFigure"/>
      </w:pPr>
      <w:r>
        <w:drawing>
          <wp:inline>
            <wp:extent cx="3733800" cy="2637466"/>
            <wp:effectExtent b="0" l="0" r="0" t="0"/>
            <wp:docPr descr="Рис. 10: Эпидемический порог модели SIR при \beta = 1, \nu = 0.3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Оганнисян Давит Багратович</dc:creator>
  <dc:language>ru-RU</dc:language>
  <cp:keywords/>
  <dcterms:created xsi:type="dcterms:W3CDTF">2025-03-06T18:07:07Z</dcterms:created>
  <dcterms:modified xsi:type="dcterms:W3CDTF">2025-03-06T18:07:07Z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эпидемии (SIR)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