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Давит</w:t>
      </w:r>
      <w:r>
        <w:t xml:space="preserve"> </w:t>
      </w:r>
      <w:r>
        <w:t xml:space="preserve">Багратович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01"/>
        </w:numPr>
        <w:pStyle w:val="Compact"/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01"/>
        </w:numPr>
        <w:pStyle w:val="Compact"/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01"/>
        </w:numPr>
        <w:pStyle w:val="Compact"/>
      </w:pPr>
      <w:r>
        <w:t xml:space="preserve">модель оформления заказов несколькими операторами.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b516a3146786bc3f8ee1a71dd1a2b522cd128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numPr>
          <w:ilvl w:val="0"/>
          <w:numId w:val="1002"/>
        </w:numPr>
        <w:pStyle w:val="Compact"/>
      </w:pPr>
      <w:r>
        <w:t xml:space="preserve">клиент оставляет заявку на заказ в интернет-магазине;</w:t>
      </w:r>
    </w:p>
    <w:p>
      <w:pPr>
        <w:numPr>
          <w:ilvl w:val="0"/>
          <w:numId w:val="1002"/>
        </w:numPr>
        <w:pStyle w:val="Compact"/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заявка от клиента принимается оператором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оператор оформляет заказ;</w:t>
      </w:r>
    </w:p>
    <w:p>
      <w:pPr>
        <w:numPr>
          <w:ilvl w:val="0"/>
          <w:numId w:val="1002"/>
        </w:numPr>
        <w:pStyle w:val="Compact"/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 1).</w:t>
      </w:r>
    </w:p>
    <w:p>
      <w:pPr>
        <w:pStyle w:val="CaptionedFigure"/>
      </w:pPr>
      <w:r>
        <w:drawing>
          <wp:inline>
            <wp:extent cx="3733800" cy="3960365"/>
            <wp:effectExtent b="0" l="0" r="0" t="0"/>
            <wp:docPr descr="Рис. 1: 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 2).</w:t>
      </w:r>
    </w:p>
    <w:p>
      <w:pPr>
        <w:pStyle w:val="CaptionedFigure"/>
      </w:pPr>
      <w:r>
        <w:drawing>
          <wp:inline>
            <wp:extent cx="3733800" cy="3112385"/>
            <wp:effectExtent b="0" l="0" r="0" t="0"/>
            <wp:docPr descr="Рис. 2: Отчёт по модели оформления заказов в интернет-магазин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3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3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3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3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3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numPr>
          <w:ilvl w:val="0"/>
          <w:numId w:val="1005"/>
        </w:numPr>
        <w:pStyle w:val="Compact"/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numPr>
          <w:ilvl w:val="0"/>
          <w:numId w:val="1005"/>
        </w:numPr>
        <w:pStyle w:val="Compact"/>
      </w:pPr>
      <w:r>
        <w:t xml:space="preserve">PRI=0 – все клиенты (из заявки) равноправны;</w:t>
      </w:r>
    </w:p>
    <w:p>
      <w:pPr>
        <w:numPr>
          <w:ilvl w:val="0"/>
          <w:numId w:val="1005"/>
        </w:numPr>
        <w:pStyle w:val="Compact"/>
      </w:pPr>
      <w:r>
        <w:t xml:space="preserve">BDT=489, 786 – время назначенного события, связанного с данным транзактом;</w:t>
      </w:r>
    </w:p>
    <w:p>
      <w:pPr>
        <w:numPr>
          <w:ilvl w:val="0"/>
          <w:numId w:val="1005"/>
        </w:numPr>
        <w:pStyle w:val="Compact"/>
      </w:pPr>
      <w:r>
        <w:t xml:space="preserve">ASSEM=33 – номер семейства транзактов;</w:t>
      </w:r>
    </w:p>
    <w:p>
      <w:pPr>
        <w:numPr>
          <w:ilvl w:val="0"/>
          <w:numId w:val="1005"/>
        </w:numPr>
        <w:pStyle w:val="Compact"/>
      </w:pPr>
      <w:r>
        <w:t xml:space="preserve">CURRENT=5 – номер блока, в котором находится транзакт;</w:t>
      </w:r>
    </w:p>
    <w:p>
      <w:pPr>
        <w:numPr>
          <w:ilvl w:val="0"/>
          <w:numId w:val="1005"/>
        </w:numPr>
        <w:pStyle w:val="Compact"/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 3).</w:t>
      </w:r>
    </w:p>
    <w:p>
      <w:pPr>
        <w:pStyle w:val="CaptionedFigure"/>
      </w:pPr>
      <w:r>
        <w:drawing>
          <wp:inline>
            <wp:extent cx="3733800" cy="4184927"/>
            <wp:effectExtent b="0" l="0" r="0" t="0"/>
            <wp:docPr descr="Рис. 3: Модель оформления заказов клиентов одним оператором с измененными интервалами заказов и времени оформления клиент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BodyText"/>
      </w:pPr>
      <w:r>
        <w:t xml:space="preserve">После запуска симуляции получаем отчёт (рис. 4).</w:t>
      </w:r>
    </w:p>
    <w:p>
      <w:pPr>
        <w:pStyle w:val="CaptionedFigure"/>
      </w:pPr>
      <w:r>
        <w:drawing>
          <wp:inline>
            <wp:extent cx="3733800" cy="3131399"/>
            <wp:effectExtent b="0" l="0" r="0" t="0"/>
            <wp:docPr descr="Рис. 4: Отчёт по модели оформления заказов в интернет-магазине с измененными интервалами заказов и времени оформления клиен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6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6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6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6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6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4"/>
    <w:bookmarkStart w:id="47" w:name="X465a88959967afd60072016bbed87fa0eb59b1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 5).</w:t>
      </w:r>
    </w:p>
    <w:p>
      <w:pPr>
        <w:pStyle w:val="CaptionedFigure"/>
      </w:pPr>
      <w:r>
        <w:drawing>
          <wp:inline>
            <wp:extent cx="3733800" cy="2544427"/>
            <wp:effectExtent b="0" l="0" r="0" t="0"/>
            <wp:docPr descr="Рис. 5: Построение гистограммы распределения заявок в очеред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 6, 7).</w:t>
      </w:r>
    </w:p>
    <w:p>
      <w:pPr>
        <w:pStyle w:val="CaptionedFigure"/>
      </w:pPr>
      <w:r>
        <w:drawing>
          <wp:inline>
            <wp:extent cx="3733800" cy="2813723"/>
            <wp:effectExtent b="0" l="0" r="0" t="0"/>
            <wp:docPr descr="Рис. 6: Отчёт по модели оформления заказов в интернет-магазине при построении гистограммы распределения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</w:pPr>
      <w:r>
        <w:drawing>
          <wp:inline>
            <wp:extent cx="3733800" cy="2250062"/>
            <wp:effectExtent b="0" l="0" r="0" t="0"/>
            <wp:docPr descr="Рис. 7: Отчёт по модели оформления заказов в интернет-магазине при построении гистограммы распределения заявок в очеред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9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9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numPr>
          <w:ilvl w:val="0"/>
          <w:numId w:val="1009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numPr>
          <w:ilvl w:val="0"/>
          <w:numId w:val="1009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9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 8).</w:t>
      </w:r>
    </w:p>
    <w:p>
      <w:pPr>
        <w:pStyle w:val="CaptionedFigure"/>
      </w:pPr>
      <w:r>
        <w:drawing>
          <wp:inline>
            <wp:extent cx="3733800" cy="2155383"/>
            <wp:effectExtent b="0" l="0" r="0" t="0"/>
            <wp:docPr descr="Рис. 8: Гистограмма распределения заявок в очеред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47"/>
    <w:bookmarkStart w:id="60" w:name="Xab70f7f71dda3505594ba065091fb052a4cefc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 9, 10).</w:t>
      </w:r>
    </w:p>
    <w:p>
      <w:pPr>
        <w:pStyle w:val="CaptionedFigure"/>
      </w:pPr>
      <w:r>
        <w:drawing>
          <wp:inline>
            <wp:extent cx="3733800" cy="4027630"/>
            <wp:effectExtent b="0" l="0" r="0" t="0"/>
            <wp:docPr descr="Рис. 9: Модель обслуживания двух типов заказов от клиентов в интернет-магазине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обслуживания двух типов заказов от клиентов в интернет-магазине</w:t>
      </w:r>
    </w:p>
    <w:p>
      <w:pPr>
        <w:pStyle w:val="CaptionedFigure"/>
      </w:pPr>
      <w:r>
        <w:drawing>
          <wp:inline>
            <wp:extent cx="3733800" cy="3722945"/>
            <wp:effectExtent b="0" l="0" r="0" t="0"/>
            <wp:docPr descr="Рис. 10: Отчёт по модели оформления заказов двух типов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2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2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2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numPr>
          <w:ilvl w:val="0"/>
          <w:numId w:val="1012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2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4"/>
        </w:numPr>
        <w:pStyle w:val="Compact"/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 11).</w:t>
      </w:r>
    </w:p>
    <w:p>
      <w:pPr>
        <w:pStyle w:val="CaptionedFigure"/>
      </w:pPr>
      <w:r>
        <w:drawing>
          <wp:inline>
            <wp:extent cx="3733800" cy="3966677"/>
            <wp:effectExtent b="0" l="0" r="0" t="0"/>
            <wp:docPr descr="Рис. 11: Модель обслуживания двух типов заказов с условием, что число заказов с дополнительным пакетом услуг составляет 30% от общего числа заказов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BodyText"/>
      </w:pPr>
      <w:r>
        <w:t xml:space="preserve">Проанализируем результаты моделирования (рис. 12).</w:t>
      </w:r>
    </w:p>
    <w:p>
      <w:pPr>
        <w:pStyle w:val="CaptionedFigure"/>
      </w:pPr>
      <w:r>
        <w:drawing>
          <wp:inline>
            <wp:extent cx="3733800" cy="3328994"/>
            <wp:effectExtent b="0" l="0" r="0" t="0"/>
            <wp:docPr descr="Рис. 12: Отчёт по модели оформления заказов двух типов заказов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Отчёт по модели оформления заказов двух типов заказов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5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5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5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numPr>
          <w:ilvl w:val="0"/>
          <w:numId w:val="1015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5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60"/>
    <w:bookmarkStart w:id="73" w:name="Xa54268e2994a40c2cb4c22f66d9471ebd08a80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 13).</w:t>
      </w:r>
    </w:p>
    <w:p>
      <w:pPr>
        <w:pStyle w:val="CaptionedFigure"/>
      </w:pPr>
      <w:r>
        <w:drawing>
          <wp:inline>
            <wp:extent cx="3733800" cy="4241213"/>
            <wp:effectExtent b="0" l="0" r="0" t="0"/>
            <wp:docPr descr="Рис. 13: Модель оформления заказов несколькими операторами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оформления заказов несколькими операторами</w:t>
      </w:r>
    </w:p>
    <w:p>
      <w:pPr>
        <w:pStyle w:val="BodyText"/>
      </w:pPr>
      <w:r>
        <w:t xml:space="preserve">Далее получим и проанализируем отчет (рис. 14).</w:t>
      </w:r>
    </w:p>
    <w:p>
      <w:pPr>
        <w:pStyle w:val="CaptionedFigure"/>
      </w:pPr>
      <w:r>
        <w:drawing>
          <wp:inline>
            <wp:extent cx="3733800" cy="3018817"/>
            <wp:effectExtent b="0" l="0" r="0" t="0"/>
            <wp:docPr descr="Рис. 14: Отчет по модели оформления заказов несколькими операторами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8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8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8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18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8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 15).</w:t>
      </w:r>
    </w:p>
    <w:p>
      <w:pPr>
        <w:pStyle w:val="CaptionedFigure"/>
      </w:pPr>
      <w:r>
        <w:drawing>
          <wp:inline>
            <wp:extent cx="3733800" cy="3888022"/>
            <wp:effectExtent b="0" l="0" r="0" t="0"/>
            <wp:docPr descr="Рис. 15: Модель оформления заказов несколькими операторами с учетом отказов клиентов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Проанализируем полученный отчет (рис. ~ 16).</w:t>
      </w:r>
    </w:p>
    <w:p>
      <w:pPr>
        <w:pStyle w:val="CaptionedFigure"/>
      </w:pPr>
      <w:r>
        <w:drawing>
          <wp:inline>
            <wp:extent cx="3733800" cy="3315402"/>
            <wp:effectExtent b="0" l="0" r="0" t="0"/>
            <wp:docPr descr="Рис. 16: Отчет по модели оформления заказов несколькими операторами с учетом отказов клиент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21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21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21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21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21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numPr>
          <w:ilvl w:val="0"/>
          <w:numId w:val="1024"/>
        </w:numPr>
        <w:pStyle w:val="Compact"/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24"/>
        </w:numPr>
        <w:pStyle w:val="Compact"/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24"/>
        </w:numPr>
        <w:pStyle w:val="Compact"/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24"/>
        </w:numPr>
        <w:pStyle w:val="Compact"/>
      </w:pPr>
      <w:r>
        <w:t xml:space="preserve">модель оформления заказов несколькими операторами.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Оганнисян Давит Багратович</dc:creator>
  <dc:language>ru-RU</dc:language>
  <cp:keywords/>
  <dcterms:created xsi:type="dcterms:W3CDTF">2025-05-08T20:11:09Z</dcterms:created>
  <dcterms:modified xsi:type="dcterms:W3CDTF">2025-05-08T20:11:09Z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Модели обработки заказов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